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696" w:rsidP="00BF0696" w:rsidRDefault="00BF0696" w14:paraId="73F93126" w14:textId="77777777">
      <w:r>
        <w:t>Geachte Voorzitter,</w:t>
      </w:r>
      <w:r>
        <w:br/>
      </w:r>
    </w:p>
    <w:p w:rsidRPr="007F3A34" w:rsidR="00BF0696" w:rsidP="00BF0696" w:rsidRDefault="00BF0696" w14:paraId="39DF7198" w14:textId="77777777">
      <w:pPr>
        <w:rPr>
          <w:szCs w:val="18"/>
        </w:rPr>
      </w:pPr>
      <w:r w:rsidRPr="007F3A34">
        <w:rPr>
          <w:szCs w:val="18"/>
        </w:rPr>
        <w:t xml:space="preserve">Hierbij zend ik u, mede namens de staatssecretaris van </w:t>
      </w:r>
      <w:r w:rsidRPr="007F3A34">
        <w:rPr>
          <w:rFonts w:eastAsia="Calibri" w:cs="Calibri"/>
          <w:kern w:val="2"/>
          <w:szCs w:val="18"/>
          <w:lang w:eastAsia="en-US"/>
          <w14:ligatures w14:val="standardContextual"/>
        </w:rPr>
        <w:t xml:space="preserve">Landbouw, Visserij, Voedselzekerheid en Natuur, </w:t>
      </w:r>
      <w:r w:rsidRPr="007F3A34">
        <w:rPr>
          <w:szCs w:val="18"/>
        </w:rPr>
        <w:t xml:space="preserve">de antwoorden op de vragen van het lid Van Oosterhout (PvdA-GroenLinks) over </w:t>
      </w:r>
      <w:r w:rsidRPr="007F3A34">
        <w:rPr>
          <w:rFonts w:eastAsia="Calibri" w:cs="Calibri"/>
          <w:kern w:val="2"/>
          <w:szCs w:val="18"/>
          <w:lang w:eastAsia="en-US"/>
          <w14:ligatures w14:val="standardContextual"/>
        </w:rPr>
        <w:t>de uitspraak van de rechtbank Noord-Nederland van 3 december 2025 aangaande de zout- en gaswinning onder de Waddenzee</w:t>
      </w:r>
      <w:r>
        <w:rPr>
          <w:rFonts w:eastAsia="Calibri" w:cs="Calibri"/>
          <w:kern w:val="2"/>
          <w:szCs w:val="18"/>
          <w:lang w:eastAsia="en-US"/>
          <w14:ligatures w14:val="standardContextual"/>
        </w:rPr>
        <w:t xml:space="preserve"> </w:t>
      </w:r>
      <w:r w:rsidRPr="007F3A34">
        <w:rPr>
          <w:szCs w:val="18"/>
        </w:rPr>
        <w:t xml:space="preserve">(kenmerknummer </w:t>
      </w:r>
      <w:r w:rsidRPr="007F3A34">
        <w:rPr>
          <w:rFonts w:eastAsia="Calibri" w:cs="Calibri"/>
          <w:bCs/>
          <w:kern w:val="2"/>
          <w:szCs w:val="18"/>
          <w:lang w:eastAsia="en-US"/>
          <w14:ligatures w14:val="standardContextual"/>
        </w:rPr>
        <w:t>2025Z22165</w:t>
      </w:r>
      <w:r>
        <w:rPr>
          <w:rFonts w:eastAsia="Calibri" w:cs="Calibri"/>
          <w:bCs/>
          <w:kern w:val="2"/>
          <w:szCs w:val="18"/>
          <w:lang w:eastAsia="en-US"/>
          <w14:ligatures w14:val="standardContextual"/>
        </w:rPr>
        <w:t xml:space="preserve">), </w:t>
      </w:r>
      <w:r w:rsidRPr="007F3A34">
        <w:rPr>
          <w:szCs w:val="18"/>
        </w:rPr>
        <w:t xml:space="preserve">ingezonden </w:t>
      </w:r>
      <w:r>
        <w:rPr>
          <w:szCs w:val="18"/>
        </w:rPr>
        <w:t>16 december 2025.</w:t>
      </w:r>
      <w:r w:rsidRPr="007F3A34">
        <w:rPr>
          <w:szCs w:val="18"/>
        </w:rPr>
        <w:t xml:space="preserve"> </w:t>
      </w:r>
    </w:p>
    <w:p w:rsidR="00BF0696" w:rsidP="00BF0696" w:rsidRDefault="00BF0696" w14:paraId="4C15B88C" w14:textId="77777777">
      <w:pPr>
        <w:rPr>
          <w:szCs w:val="18"/>
        </w:rPr>
      </w:pPr>
    </w:p>
    <w:p w:rsidR="00BF0696" w:rsidP="00BF0696" w:rsidRDefault="00BF0696" w14:paraId="7855B503" w14:textId="77777777">
      <w:pPr>
        <w:rPr>
          <w:szCs w:val="18"/>
        </w:rPr>
      </w:pPr>
    </w:p>
    <w:p w:rsidR="00BF0696" w:rsidP="00BF0696" w:rsidRDefault="00BF0696" w14:paraId="0B0E3259" w14:textId="77777777">
      <w:pPr>
        <w:rPr>
          <w:szCs w:val="18"/>
        </w:rPr>
      </w:pPr>
    </w:p>
    <w:p w:rsidR="00BF0696" w:rsidP="00BF0696" w:rsidRDefault="00BF0696" w14:paraId="3AAE365B" w14:textId="77777777">
      <w:pPr>
        <w:rPr>
          <w:szCs w:val="18"/>
        </w:rPr>
      </w:pPr>
    </w:p>
    <w:p w:rsidRPr="007F3A34" w:rsidR="00BF0696" w:rsidP="00BF0696" w:rsidRDefault="00BF0696" w14:paraId="48681979" w14:textId="77777777">
      <w:pPr>
        <w:rPr>
          <w:szCs w:val="18"/>
        </w:rPr>
      </w:pPr>
    </w:p>
    <w:p w:rsidRPr="00747885" w:rsidR="00BF0696" w:rsidP="00BF0696" w:rsidRDefault="00BF0696" w14:paraId="5CA61DAF" w14:textId="77777777">
      <w:pPr>
        <w:rPr>
          <w:szCs w:val="18"/>
        </w:rPr>
      </w:pPr>
      <w:r w:rsidRPr="005461DA">
        <w:rPr>
          <w:szCs w:val="18"/>
        </w:rPr>
        <w:t>Sophie Hermans</w:t>
      </w:r>
    </w:p>
    <w:p w:rsidRPr="005461DA" w:rsidR="00BF0696" w:rsidP="00BF0696" w:rsidRDefault="00BF0696" w14:paraId="6BCD9D89" w14:textId="77777777">
      <w:pPr>
        <w:rPr>
          <w:szCs w:val="18"/>
        </w:rPr>
      </w:pPr>
      <w:r>
        <w:rPr>
          <w:szCs w:val="18"/>
        </w:rPr>
        <w:t>Minister van Klimaat en Groene Groei</w:t>
      </w:r>
    </w:p>
    <w:p w:rsidR="00BF0696" w:rsidP="00BF0696" w:rsidRDefault="00BF0696" w14:paraId="4A217E3D" w14:textId="77777777">
      <w:pPr>
        <w:rPr>
          <w:b/>
        </w:rPr>
      </w:pPr>
    </w:p>
    <w:p w:rsidR="00BF0696" w:rsidP="00BF0696" w:rsidRDefault="00BF0696" w14:paraId="01F4D28A" w14:textId="77777777">
      <w:pPr>
        <w:rPr>
          <w:b/>
        </w:rPr>
      </w:pPr>
    </w:p>
    <w:p w:rsidR="00BF0696" w:rsidP="00BF0696" w:rsidRDefault="00BF0696" w14:paraId="283DAC96" w14:textId="77777777">
      <w:pPr>
        <w:rPr>
          <w:b/>
        </w:rPr>
      </w:pPr>
      <w:r>
        <w:rPr>
          <w:b/>
        </w:rPr>
        <w:br w:type="page"/>
      </w:r>
    </w:p>
    <w:p w:rsidR="00BF0696" w:rsidP="00BF0696" w:rsidRDefault="00BF0696" w14:paraId="6112AFAA" w14:textId="77777777">
      <w:pPr>
        <w:rPr>
          <w:rFonts w:eastAsia="Calibri" w:cs="Calibri"/>
          <w:b/>
          <w:kern w:val="2"/>
          <w:szCs w:val="18"/>
          <w:lang w:eastAsia="en-US"/>
          <w14:ligatures w14:val="standardContextual"/>
        </w:rPr>
      </w:pPr>
    </w:p>
    <w:p w:rsidR="00BF0696" w:rsidP="00BF0696" w:rsidRDefault="00BF0696" w14:paraId="24E9EDF1" w14:textId="77777777">
      <w:pPr>
        <w:rPr>
          <w:rStyle w:val="Zwaar"/>
          <w:b w:val="0"/>
        </w:rPr>
      </w:pPr>
      <w:r w:rsidRPr="00C76CA1">
        <w:rPr>
          <w:rFonts w:eastAsia="Calibri" w:cs="Calibri"/>
          <w:b/>
          <w:kern w:val="2"/>
          <w:szCs w:val="18"/>
          <w:lang w:eastAsia="en-US"/>
          <w14:ligatures w14:val="standardContextual"/>
        </w:rPr>
        <w:t>2025Z22165</w:t>
      </w:r>
      <w:r w:rsidRPr="008C6B1A">
        <w:rPr>
          <w:rStyle w:val="Zwaar"/>
          <w:bCs w:val="0"/>
        </w:rPr>
        <w:t>1</w:t>
      </w:r>
    </w:p>
    <w:p w:rsidRPr="00C76CA1" w:rsidR="00BF0696" w:rsidP="00BF0696" w:rsidRDefault="00BF0696" w14:paraId="3D5A0095" w14:textId="77777777">
      <w:pPr>
        <w:rPr>
          <w:rFonts w:eastAsia="Aptos"/>
          <w:kern w:val="2"/>
          <w:szCs w:val="18"/>
          <w:lang w:eastAsia="en-US"/>
          <w14:ligatures w14:val="standardContextual"/>
        </w:rPr>
      </w:pPr>
      <w:r w:rsidRPr="00C76CA1">
        <w:rPr>
          <w:rStyle w:val="Zwaar"/>
          <w:b w:val="0"/>
        </w:rPr>
        <w:br/>
      </w:r>
      <w:r w:rsidRPr="00C76CA1">
        <w:rPr>
          <w:rFonts w:eastAsia="Calibri" w:cs="Calibri"/>
          <w:kern w:val="2"/>
          <w:szCs w:val="18"/>
          <w:lang w:eastAsia="en-US"/>
          <w14:ligatures w14:val="standardContextual"/>
        </w:rPr>
        <w:t>1</w:t>
      </w:r>
    </w:p>
    <w:p w:rsidRPr="00C76CA1" w:rsidR="00BF0696" w:rsidP="00BF0696" w:rsidRDefault="00BF0696" w14:paraId="40D5194A"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Bent u op de hoogte van de uitspraak van de rechtbank Noord-Nederland waarin de rechter vaststelt dat de staatssecretaris van Landbouw, Visserij, Voedselzekerheid en Natuur (LVVN) de mogelijke nadelige gevolgen van mijnbouwactiviteiten op de Waddenzee onvoldoende in overweging had genomen, onder andere door informatie van het Koninklijk Nederlands Meteorologisch Instituut (KNMI) over klimaatverandering en zeespiegelstijging rond de Waddenzee niet mee in zijn beoordeling op te nemen?</w:t>
      </w:r>
      <w:r>
        <w:rPr>
          <w:rStyle w:val="Voetnootmarkering"/>
          <w:rFonts w:eastAsia="Calibri" w:cs="Calibri"/>
          <w:kern w:val="2"/>
          <w:szCs w:val="18"/>
          <w:lang w:eastAsia="en-US"/>
          <w14:ligatures w14:val="standardContextual"/>
        </w:rPr>
        <w:footnoteReference w:id="1"/>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 xml:space="preserve"> </w:t>
      </w:r>
    </w:p>
    <w:p w:rsidRPr="00C76CA1" w:rsidR="00BF0696" w:rsidP="00BF0696" w:rsidRDefault="00BF0696" w14:paraId="4A37F876"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Antwoord</w:t>
      </w:r>
    </w:p>
    <w:p w:rsidRPr="00C76CA1" w:rsidR="00BF0696" w:rsidP="00BF0696" w:rsidRDefault="00BF0696" w14:paraId="604392C5"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Ja.</w:t>
      </w:r>
    </w:p>
    <w:p w:rsidRPr="00C76CA1" w:rsidR="00BF0696" w:rsidP="00BF0696" w:rsidRDefault="00BF0696" w14:paraId="1B62697C"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 </w:t>
      </w:r>
    </w:p>
    <w:p w:rsidRPr="00C76CA1" w:rsidR="00BF0696" w:rsidP="00BF0696" w:rsidRDefault="00BF0696" w14:paraId="29756C53"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2</w:t>
      </w:r>
    </w:p>
    <w:p w:rsidRPr="00C76CA1" w:rsidR="00BF0696" w:rsidP="00BF0696" w:rsidRDefault="00BF0696" w14:paraId="18C9816C"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Wat betekent deze uitspraak voor huidige en nieuwe mijnbouw in de Wadden?</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 xml:space="preserve"> </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Antwoord</w:t>
      </w:r>
    </w:p>
    <w:p w:rsidRPr="00C76CA1" w:rsidR="00BF0696" w:rsidP="00BF0696" w:rsidRDefault="00BF0696" w14:paraId="0576DAD7"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De uitspraak heeft geen effect op de huidige mijnbouw onder de Waddenzee.</w:t>
      </w:r>
      <w:r>
        <w:rPr>
          <w:rFonts w:eastAsia="Calibri" w:cs="Calibri"/>
          <w:kern w:val="2"/>
          <w:szCs w:val="18"/>
          <w:lang w:eastAsia="en-US"/>
          <w14:ligatures w14:val="standardContextual"/>
        </w:rPr>
        <w:t xml:space="preserve"> Op 10 februari 2023 heeft het ministerie van LVVN een handhavingsverzoek over de natuurvergunning voor gas- en zoutwinning in de Waddenzee afgewezen. De Waddenvereniging is hiertegen in bezwaar gegaan. De uitspraak van de rechtbank Noord-Nederland gaat over dit bezwaar.</w:t>
      </w:r>
      <w:r w:rsidRPr="00C76CA1">
        <w:rPr>
          <w:rFonts w:eastAsia="Calibri" w:cs="Calibri"/>
          <w:kern w:val="2"/>
          <w:szCs w:val="18"/>
          <w:lang w:eastAsia="en-US"/>
          <w14:ligatures w14:val="standardContextual"/>
        </w:rPr>
        <w:t xml:space="preserve"> </w:t>
      </w:r>
      <w:r>
        <w:rPr>
          <w:rFonts w:eastAsia="Calibri" w:cs="Calibri"/>
          <w:kern w:val="2"/>
          <w:szCs w:val="18"/>
          <w:lang w:eastAsia="en-US"/>
          <w14:ligatures w14:val="standardContextual"/>
        </w:rPr>
        <w:t>Het handhavingsverzoek had,</w:t>
      </w:r>
      <w:r w:rsidRPr="00C76CA1">
        <w:rPr>
          <w:rFonts w:eastAsia="Calibri" w:cs="Calibri"/>
          <w:kern w:val="2"/>
          <w:szCs w:val="18"/>
          <w:lang w:eastAsia="en-US"/>
          <w14:ligatures w14:val="standardContextual"/>
        </w:rPr>
        <w:t xml:space="preserve"> volgens de rechtbank</w:t>
      </w:r>
      <w:r>
        <w:rPr>
          <w:rFonts w:eastAsia="Calibri" w:cs="Calibri"/>
          <w:kern w:val="2"/>
          <w:szCs w:val="18"/>
          <w:lang w:eastAsia="en-US"/>
          <w14:ligatures w14:val="standardContextual"/>
        </w:rPr>
        <w:t xml:space="preserve">, </w:t>
      </w:r>
      <w:r w:rsidRPr="00C76CA1">
        <w:rPr>
          <w:rFonts w:eastAsia="Calibri" w:cs="Calibri"/>
          <w:kern w:val="2"/>
          <w:szCs w:val="18"/>
          <w:lang w:eastAsia="en-US"/>
          <w14:ligatures w14:val="standardContextual"/>
        </w:rPr>
        <w:t>moeten worden gezien als een verzoek om de natuurvergunning te wijzigingen</w:t>
      </w:r>
      <w:r>
        <w:rPr>
          <w:rFonts w:eastAsia="Calibri" w:cs="Calibri"/>
          <w:kern w:val="2"/>
          <w:szCs w:val="18"/>
          <w:lang w:eastAsia="en-US"/>
          <w14:ligatures w14:val="standardContextual"/>
        </w:rPr>
        <w:t>. In de afwijzing</w:t>
      </w:r>
      <w:r w:rsidRPr="00C76CA1">
        <w:rPr>
          <w:rFonts w:eastAsia="Calibri" w:cs="Calibri"/>
          <w:kern w:val="2"/>
          <w:szCs w:val="18"/>
          <w:lang w:eastAsia="en-US"/>
          <w14:ligatures w14:val="standardContextual"/>
        </w:rPr>
        <w:t xml:space="preserve"> is volgens de rechtbank niet voldoende rekening gehouden met de laatste inzichten van het KNMI. De rechtbank heeft het betreffende besluit</w:t>
      </w:r>
      <w:r>
        <w:rPr>
          <w:rFonts w:eastAsia="Calibri" w:cs="Calibri"/>
          <w:kern w:val="2"/>
          <w:szCs w:val="18"/>
          <w:lang w:eastAsia="en-US"/>
          <w14:ligatures w14:val="standardContextual"/>
        </w:rPr>
        <w:t xml:space="preserve"> over het afwijzen van het handhavingsverzoek</w:t>
      </w:r>
      <w:r w:rsidRPr="00C76CA1">
        <w:rPr>
          <w:rFonts w:eastAsia="Calibri" w:cs="Calibri"/>
          <w:kern w:val="2"/>
          <w:szCs w:val="18"/>
          <w:lang w:eastAsia="en-US"/>
          <w14:ligatures w14:val="standardContextual"/>
        </w:rPr>
        <w:t xml:space="preserve"> daarom vernietigd. </w:t>
      </w:r>
    </w:p>
    <w:p w:rsidRPr="00C76CA1" w:rsidR="00BF0696" w:rsidP="00BF0696" w:rsidRDefault="00BF0696" w14:paraId="3BB60BF9" w14:textId="77777777">
      <w:pPr>
        <w:rPr>
          <w:rFonts w:eastAsia="Calibri" w:cs="Calibri"/>
          <w:kern w:val="2"/>
          <w:szCs w:val="18"/>
          <w:lang w:eastAsia="en-US"/>
          <w14:ligatures w14:val="standardContextual"/>
        </w:rPr>
      </w:pPr>
    </w:p>
    <w:p w:rsidR="00BF0696" w:rsidP="00BF0696" w:rsidRDefault="00BF0696" w14:paraId="51F62D31"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Sinds het besluit</w:t>
      </w:r>
      <w:r>
        <w:rPr>
          <w:rFonts w:eastAsia="Calibri" w:cs="Calibri"/>
          <w:kern w:val="2"/>
          <w:szCs w:val="18"/>
          <w:lang w:eastAsia="en-US"/>
          <w14:ligatures w14:val="standardContextual"/>
        </w:rPr>
        <w:t xml:space="preserve"> over het afwijzen van het handhavingsverzoek</w:t>
      </w:r>
      <w:r w:rsidRPr="00C76CA1">
        <w:rPr>
          <w:rFonts w:eastAsia="Calibri" w:cs="Calibri"/>
          <w:kern w:val="2"/>
          <w:szCs w:val="18"/>
          <w:lang w:eastAsia="en-US"/>
          <w14:ligatures w14:val="standardContextual"/>
        </w:rPr>
        <w:t xml:space="preserve"> </w:t>
      </w:r>
      <w:r>
        <w:rPr>
          <w:rFonts w:eastAsia="Calibri" w:cs="Calibri"/>
          <w:kern w:val="2"/>
          <w:szCs w:val="18"/>
          <w:lang w:eastAsia="en-US"/>
          <w14:ligatures w14:val="standardContextual"/>
        </w:rPr>
        <w:t>(</w:t>
      </w:r>
      <w:r w:rsidRPr="00C76CA1">
        <w:rPr>
          <w:rFonts w:eastAsia="Calibri" w:cs="Calibri"/>
          <w:kern w:val="2"/>
          <w:szCs w:val="18"/>
          <w:lang w:eastAsia="en-US"/>
          <w14:ligatures w14:val="standardContextual"/>
        </w:rPr>
        <w:t>10 februari 2023</w:t>
      </w:r>
      <w:r>
        <w:rPr>
          <w:rFonts w:eastAsia="Calibri" w:cs="Calibri"/>
          <w:kern w:val="2"/>
          <w:szCs w:val="18"/>
          <w:lang w:eastAsia="en-US"/>
          <w14:ligatures w14:val="standardContextual"/>
        </w:rPr>
        <w:t>)</w:t>
      </w:r>
      <w:r w:rsidRPr="00C76CA1">
        <w:rPr>
          <w:rFonts w:eastAsia="Calibri" w:cs="Calibri"/>
          <w:kern w:val="2"/>
          <w:szCs w:val="18"/>
          <w:lang w:eastAsia="en-US"/>
          <w14:ligatures w14:val="standardContextual"/>
        </w:rPr>
        <w:t xml:space="preserve"> zijn </w:t>
      </w:r>
      <w:r>
        <w:rPr>
          <w:rFonts w:eastAsia="Calibri" w:cs="Calibri"/>
          <w:kern w:val="2"/>
          <w:szCs w:val="18"/>
          <w:lang w:eastAsia="en-US"/>
          <w14:ligatures w14:val="standardContextual"/>
        </w:rPr>
        <w:t xml:space="preserve">nieuwe </w:t>
      </w:r>
      <w:r w:rsidRPr="00C76CA1">
        <w:rPr>
          <w:rFonts w:eastAsia="Calibri" w:cs="Calibri"/>
          <w:kern w:val="2"/>
          <w:szCs w:val="18"/>
          <w:lang w:eastAsia="en-US"/>
          <w14:ligatures w14:val="standardContextual"/>
        </w:rPr>
        <w:t>gebruiksruimtebesluiten gepubliceerd (</w:t>
      </w:r>
      <w:r>
        <w:rPr>
          <w:rFonts w:eastAsia="Calibri" w:cs="Calibri"/>
          <w:kern w:val="2"/>
          <w:szCs w:val="18"/>
          <w:lang w:eastAsia="en-US"/>
          <w14:ligatures w14:val="standardContextual"/>
        </w:rPr>
        <w:t>meest recent</w:t>
      </w:r>
      <w:r w:rsidRPr="00C76CA1">
        <w:rPr>
          <w:rFonts w:eastAsia="Calibri" w:cs="Calibri"/>
          <w:kern w:val="2"/>
          <w:szCs w:val="18"/>
          <w:lang w:eastAsia="en-US"/>
          <w14:ligatures w14:val="standardContextual"/>
        </w:rPr>
        <w:t xml:space="preserve"> </w:t>
      </w:r>
      <w:r>
        <w:rPr>
          <w:rFonts w:eastAsia="Calibri" w:cs="Calibri"/>
          <w:kern w:val="2"/>
          <w:szCs w:val="18"/>
          <w:lang w:eastAsia="en-US"/>
          <w14:ligatures w14:val="standardContextual"/>
        </w:rPr>
        <w:t xml:space="preserve">op </w:t>
      </w:r>
      <w:r w:rsidRPr="00C76CA1">
        <w:rPr>
          <w:rFonts w:eastAsia="Calibri" w:cs="Calibri"/>
          <w:kern w:val="2"/>
          <w:szCs w:val="18"/>
          <w:lang w:eastAsia="en-US"/>
          <w14:ligatures w14:val="standardContextual"/>
        </w:rPr>
        <w:t>25 april 2024</w:t>
      </w:r>
      <w:r>
        <w:rPr>
          <w:rFonts w:eastAsia="Calibri" w:cs="Calibri"/>
          <w:kern w:val="2"/>
          <w:szCs w:val="18"/>
          <w:lang w:eastAsia="en-US"/>
          <w14:ligatures w14:val="standardContextual"/>
        </w:rPr>
        <w:t>). Mijnbouwprojecten in de Waddenzee moeten aan die gebruiksruimte voldoen. Voor elk nieuw gebruiksruimtebesluit wordt advies gevraagd aan experts, waaronder het KNMI, over de zeespiegelstijging. Daarbij worden de nieuwste inzichten betrokken. Het gebruiksruimtebesluit geeft</w:t>
      </w:r>
      <w:r w:rsidRPr="00C76CA1">
        <w:rPr>
          <w:rFonts w:eastAsia="Calibri" w:cs="Calibri"/>
          <w:kern w:val="2"/>
          <w:szCs w:val="18"/>
          <w:lang w:eastAsia="en-US"/>
          <w14:ligatures w14:val="standardContextual"/>
        </w:rPr>
        <w:t xml:space="preserve"> daarmee een actueel beeld weer van de ruimte die er met het oog </w:t>
      </w:r>
      <w:r>
        <w:rPr>
          <w:rFonts w:eastAsia="Calibri" w:cs="Calibri"/>
          <w:kern w:val="2"/>
          <w:szCs w:val="18"/>
          <w:lang w:eastAsia="en-US"/>
          <w14:ligatures w14:val="standardContextual"/>
        </w:rPr>
        <w:t xml:space="preserve">op </w:t>
      </w:r>
      <w:r w:rsidRPr="00C76CA1">
        <w:rPr>
          <w:rFonts w:eastAsia="Calibri" w:cs="Calibri"/>
          <w:kern w:val="2"/>
          <w:szCs w:val="18"/>
          <w:lang w:eastAsia="en-US"/>
          <w14:ligatures w14:val="standardContextual"/>
        </w:rPr>
        <w:t>de te beschermen natuurwaarden van de Waddenzee is voor gas- en zoutwinning.</w:t>
      </w:r>
      <w:r>
        <w:rPr>
          <w:rFonts w:eastAsia="Calibri" w:cs="Calibri"/>
          <w:kern w:val="2"/>
          <w:szCs w:val="18"/>
          <w:lang w:eastAsia="en-US"/>
          <w14:ligatures w14:val="standardContextual"/>
        </w:rPr>
        <w:t xml:space="preserve"> De uitspraak van de rechter is daarmee inmiddels achterhaald; in het thans geldende gebruiksruimtebesluit, waarbinnen de (bestaande) mijnbouwactiviteiten moeten opereren, is de informatie van het KNMI meegenomen. </w:t>
      </w:r>
    </w:p>
    <w:p w:rsidRPr="00C76CA1" w:rsidR="00BF0696" w:rsidP="00BF0696" w:rsidRDefault="00BF0696" w14:paraId="6C30938E" w14:textId="77777777">
      <w:pPr>
        <w:rPr>
          <w:rFonts w:eastAsia="Aptos"/>
          <w:kern w:val="2"/>
          <w:szCs w:val="18"/>
          <w:lang w:eastAsia="en-US"/>
          <w14:ligatures w14:val="standardContextual"/>
        </w:rPr>
      </w:pPr>
    </w:p>
    <w:p w:rsidRPr="00C76CA1" w:rsidR="00BF0696" w:rsidP="00BF0696" w:rsidRDefault="00BF0696" w14:paraId="1E9997DD"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3</w:t>
      </w:r>
    </w:p>
    <w:p w:rsidRPr="00C76CA1" w:rsidR="00BF0696" w:rsidP="00BF0696" w:rsidRDefault="00BF0696" w14:paraId="0563B4B5"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Wat betekent de uitspraak specifiek voor bestaande zoutwinning onder de Wadden? Hoeveel zoutwinningsprojecten zijn momenteel actief onder de Waddenzee? Hoe wordt gemonitord dat deze aan de voorwaarden van de </w:t>
      </w:r>
      <w:r w:rsidRPr="00C76CA1">
        <w:rPr>
          <w:rFonts w:eastAsia="Calibri" w:cs="Calibri"/>
          <w:kern w:val="2"/>
          <w:szCs w:val="18"/>
          <w:lang w:eastAsia="en-US"/>
          <w14:ligatures w14:val="standardContextual"/>
        </w:rPr>
        <w:lastRenderedPageBreak/>
        <w:t>milieuvergunningen blijven voldoen, ook wanneer er nieuwe wetenschappelijke informatie beschikbaar komt over de mogelijke negatieve gevolgen van die zoutwinning?</w:t>
      </w:r>
      <w:r w:rsidRPr="00C76CA1">
        <w:rPr>
          <w:rFonts w:eastAsia="Aptos"/>
          <w:kern w:val="2"/>
          <w:szCs w:val="18"/>
          <w:lang w:eastAsia="en-US"/>
          <w14:ligatures w14:val="standardContextual"/>
        </w:rPr>
        <w:br/>
      </w:r>
    </w:p>
    <w:p w:rsidRPr="00C76CA1" w:rsidR="00BF0696" w:rsidP="00BF0696" w:rsidRDefault="00BF0696" w14:paraId="5D1838CD"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Antwoord</w:t>
      </w:r>
    </w:p>
    <w:p w:rsidR="00BF0696" w:rsidP="00BF0696" w:rsidRDefault="00BF0696" w14:paraId="05480165" w14:textId="17AAD1A0">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 xml:space="preserve">Zoals in het antwoord van vraag 2 wordt aangegeven heeft de uitspraak geen effect op de huidige mijnbouw onder de Waddenzee, dus ook niet voor de huidige zoutwinning. Op dit moment wordt </w:t>
      </w:r>
      <w:r>
        <w:rPr>
          <w:rFonts w:eastAsia="Calibri" w:cs="Calibri"/>
          <w:kern w:val="2"/>
          <w:szCs w:val="18"/>
          <w:lang w:eastAsia="en-US"/>
          <w14:ligatures w14:val="standardContextual"/>
        </w:rPr>
        <w:t xml:space="preserve">onder de Waddenzee </w:t>
      </w:r>
      <w:r w:rsidRPr="00C76CA1">
        <w:rPr>
          <w:rFonts w:eastAsia="Calibri" w:cs="Calibri"/>
          <w:kern w:val="2"/>
          <w:szCs w:val="18"/>
          <w:lang w:eastAsia="en-US"/>
          <w14:ligatures w14:val="standardContextual"/>
        </w:rPr>
        <w:t xml:space="preserve">alleen zout gewonnen in het zogenaamde Havenmond gebied, </w:t>
      </w:r>
      <w:r>
        <w:rPr>
          <w:rFonts w:eastAsia="Calibri" w:cs="Calibri"/>
          <w:kern w:val="2"/>
          <w:szCs w:val="18"/>
          <w:lang w:eastAsia="en-US"/>
          <w14:ligatures w14:val="standardContextual"/>
        </w:rPr>
        <w:t>na</w:t>
      </w:r>
      <w:r w:rsidRPr="00C76CA1">
        <w:rPr>
          <w:rFonts w:eastAsia="Calibri" w:cs="Calibri"/>
          <w:kern w:val="2"/>
          <w:szCs w:val="18"/>
          <w:lang w:eastAsia="en-US"/>
          <w14:ligatures w14:val="standardContextual"/>
        </w:rPr>
        <w:t>bij Harlingen</w:t>
      </w:r>
      <w:r>
        <w:rPr>
          <w:rFonts w:eastAsia="Calibri" w:cs="Calibri"/>
          <w:kern w:val="2"/>
          <w:szCs w:val="18"/>
          <w:lang w:eastAsia="en-US"/>
          <w14:ligatures w14:val="standardContextual"/>
        </w:rPr>
        <w:t>.</w:t>
      </w:r>
      <w:r w:rsidRPr="00C76CA1">
        <w:rPr>
          <w:rFonts w:eastAsia="Calibri" w:cs="Calibri"/>
          <w:kern w:val="2"/>
          <w:szCs w:val="18"/>
          <w:lang w:eastAsia="en-US"/>
          <w14:ligatures w14:val="standardContextual"/>
        </w:rPr>
        <w:t xml:space="preserve"> Delfstoffenwinning onder de Waddenzee vindt plaats via het ‘hand aan de kraan’ principe. In dit kader moeten vergunninghouders jaarlijks rapporteren over de bodemdaling, de gebruiksruimte en de ecologische monitoring. Deze rapportages worden beoordeeld door de Auditcommissie gaswinning onder de Waddenzee of de Auditcommissie zoutwinning onder de Waddenzee. Het advies van deze Auditcommissies wordt jaarlijks met de Tweede Kamer gedeeld. </w:t>
      </w:r>
      <w:r>
        <w:rPr>
          <w:rFonts w:eastAsia="Calibri" w:cs="Calibri"/>
          <w:kern w:val="2"/>
          <w:szCs w:val="18"/>
          <w:lang w:eastAsia="en-US"/>
          <w14:ligatures w14:val="standardContextual"/>
        </w:rPr>
        <w:t>De</w:t>
      </w:r>
      <w:r w:rsidRPr="00C76CA1">
        <w:rPr>
          <w:rFonts w:eastAsia="Calibri" w:cs="Calibri"/>
          <w:kern w:val="2"/>
          <w:szCs w:val="18"/>
          <w:lang w:eastAsia="en-US"/>
          <w14:ligatures w14:val="standardContextual"/>
        </w:rPr>
        <w:t xml:space="preserve"> Kamer heeft op 18 december 2025 de meest recente adviezen ontvangen</w:t>
      </w:r>
      <w:r>
        <w:rPr>
          <w:rStyle w:val="Voetnootmarkering"/>
          <w:rFonts w:eastAsia="Calibri" w:cs="Calibri"/>
          <w:kern w:val="2"/>
          <w:szCs w:val="18"/>
          <w:lang w:eastAsia="en-US"/>
          <w14:ligatures w14:val="standardContextual"/>
        </w:rPr>
        <w:footnoteReference w:id="2"/>
      </w:r>
      <w:r w:rsidRPr="00C76CA1">
        <w:rPr>
          <w:rFonts w:eastAsia="Calibri" w:cs="Calibri"/>
          <w:kern w:val="2"/>
          <w:szCs w:val="18"/>
          <w:lang w:eastAsia="en-US"/>
          <w14:ligatures w14:val="standardContextual"/>
        </w:rPr>
        <w:t>. De Auditcommissies geven in hun adviezen aan dat de winning binnen de vastgestelde gebruiksruimte blijft en dat er geen aantasting van de natuur in en rondom de Waddenzee is geconstateerd.</w:t>
      </w:r>
      <w:r>
        <w:rPr>
          <w:rFonts w:eastAsia="Calibri" w:cs="Calibri"/>
          <w:kern w:val="2"/>
          <w:szCs w:val="18"/>
          <w:lang w:eastAsia="en-US"/>
          <w14:ligatures w14:val="standardContextual"/>
        </w:rPr>
        <w:t xml:space="preserve"> Hierbij wordt verwezen naar het gebruiksruimtebesluit 2024 waarbij de nieuwste informatie van het KNMI is meegenomen.</w:t>
      </w:r>
      <w:r w:rsidRPr="00C76CA1">
        <w:rPr>
          <w:rFonts w:eastAsia="Calibri" w:cs="Calibri"/>
          <w:kern w:val="2"/>
          <w:szCs w:val="18"/>
          <w:lang w:eastAsia="en-US"/>
          <w14:ligatures w14:val="standardContextual"/>
        </w:rPr>
        <w:t xml:space="preserve"> Het gebruiksruimtebesluit wordt elke 5</w:t>
      </w:r>
      <w:r>
        <w:rPr>
          <w:rFonts w:eastAsia="Calibri" w:cs="Calibri"/>
          <w:kern w:val="2"/>
          <w:szCs w:val="18"/>
          <w:lang w:eastAsia="en-US"/>
          <w14:ligatures w14:val="standardContextual"/>
        </w:rPr>
        <w:t> </w:t>
      </w:r>
      <w:r w:rsidRPr="00C76CA1">
        <w:rPr>
          <w:rFonts w:eastAsia="Calibri" w:cs="Calibri"/>
          <w:kern w:val="2"/>
          <w:szCs w:val="18"/>
          <w:lang w:eastAsia="en-US"/>
          <w14:ligatures w14:val="standardContextual"/>
        </w:rPr>
        <w:t>jaar herzien met de nieuwste inzichten over de zeespiegelstijging. Indien er tussentijds nieuwe inzichten zijn dan kan het kabinet deze eerder aanpassen. Ook biedt het ‘hand aan de kraan’-principe – met de systematiek van voortdurende monitoring van natuurwaarden, bodemdaling en zeespiegelstijging –</w:t>
      </w:r>
      <w:r>
        <w:rPr>
          <w:rFonts w:eastAsia="Calibri" w:cs="Calibri"/>
          <w:kern w:val="2"/>
          <w:szCs w:val="18"/>
          <w:lang w:eastAsia="en-US"/>
          <w14:ligatures w14:val="standardContextual"/>
        </w:rPr>
        <w:t xml:space="preserve"> </w:t>
      </w:r>
      <w:r w:rsidRPr="00C76CA1">
        <w:rPr>
          <w:rFonts w:eastAsia="Calibri" w:cs="Calibri"/>
          <w:kern w:val="2"/>
          <w:szCs w:val="18"/>
          <w:lang w:eastAsia="en-US"/>
          <w14:ligatures w14:val="standardContextual"/>
        </w:rPr>
        <w:t xml:space="preserve">inzicht in de ontwikkelingen in het gebied waardoor tijdig ingegrepen kan worden als dit nodig is. </w:t>
      </w:r>
    </w:p>
    <w:p w:rsidRPr="00C76CA1" w:rsidR="00BF0696" w:rsidP="00BF0696" w:rsidRDefault="00BF0696" w14:paraId="366A28E7" w14:textId="77777777">
      <w:pPr>
        <w:rPr>
          <w:rFonts w:eastAsia="Calibri" w:cs="Calibri"/>
          <w:kern w:val="2"/>
          <w:szCs w:val="18"/>
          <w:lang w:eastAsia="en-US"/>
          <w14:ligatures w14:val="standardContextual"/>
        </w:rPr>
      </w:pPr>
    </w:p>
    <w:p w:rsidRPr="00C76CA1" w:rsidR="00BF0696" w:rsidP="00BF0696" w:rsidRDefault="00BF0696" w14:paraId="21AFFC03"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4</w:t>
      </w:r>
    </w:p>
    <w:p w:rsidRPr="00C76CA1" w:rsidR="00BF0696" w:rsidP="00BF0696" w:rsidRDefault="00BF0696" w14:paraId="7763CD9D"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 xml:space="preserve">Wat betekent de uitspraak voor de bij het ministerie van Klimaat en Groene Groei (KGG) lopende vergunningsaanvraag van het Duitse bedrijf ESCO voor extra zoutwinning onder de Waddenzee, gezien de mogelijkheid van een bodemdaling van anderhalve meter onder het Wad en meer bodemdaling dan verwacht onder de zeedijk in </w:t>
      </w:r>
      <w:proofErr w:type="spellStart"/>
      <w:r w:rsidRPr="00C76CA1">
        <w:rPr>
          <w:rFonts w:eastAsia="Calibri" w:cs="Calibri"/>
          <w:kern w:val="2"/>
          <w:szCs w:val="18"/>
          <w:lang w:eastAsia="en-US"/>
          <w14:ligatures w14:val="standardContextual"/>
        </w:rPr>
        <w:t>Noord-West</w:t>
      </w:r>
      <w:proofErr w:type="spellEnd"/>
      <w:r w:rsidRPr="00C76CA1">
        <w:rPr>
          <w:rFonts w:eastAsia="Calibri" w:cs="Calibri"/>
          <w:kern w:val="2"/>
          <w:szCs w:val="18"/>
          <w:lang w:eastAsia="en-US"/>
          <w14:ligatures w14:val="standardContextual"/>
        </w:rPr>
        <w:t xml:space="preserve"> Friesland?</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 xml:space="preserve"> </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Antwoord</w:t>
      </w:r>
    </w:p>
    <w:p w:rsidRPr="00C76CA1" w:rsidR="00BF0696" w:rsidP="00BF0696" w:rsidRDefault="00BF0696" w14:paraId="4AD3E7A9"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 xml:space="preserve">De uitspraak heeft geen invloed op de aanvraag van </w:t>
      </w:r>
      <w:proofErr w:type="spellStart"/>
      <w:r w:rsidRPr="00C76CA1">
        <w:rPr>
          <w:rFonts w:eastAsia="Calibri" w:cs="Calibri"/>
          <w:kern w:val="2"/>
          <w:szCs w:val="18"/>
          <w:lang w:eastAsia="en-US"/>
          <w14:ligatures w14:val="standardContextual"/>
        </w:rPr>
        <w:t>Frisia</w:t>
      </w:r>
      <w:proofErr w:type="spellEnd"/>
      <w:r w:rsidRPr="00C76CA1">
        <w:rPr>
          <w:rFonts w:eastAsia="Calibri" w:cs="Calibri"/>
          <w:kern w:val="2"/>
          <w:szCs w:val="18"/>
          <w:lang w:eastAsia="en-US"/>
          <w14:ligatures w14:val="standardContextual"/>
        </w:rPr>
        <w:t xml:space="preserve">. </w:t>
      </w:r>
      <w:r>
        <w:rPr>
          <w:rFonts w:eastAsia="Calibri" w:cs="Calibri"/>
          <w:kern w:val="2"/>
          <w:szCs w:val="18"/>
          <w:lang w:eastAsia="en-US"/>
          <w14:ligatures w14:val="standardContextual"/>
        </w:rPr>
        <w:t>Z</w:t>
      </w:r>
      <w:r w:rsidRPr="00C76CA1">
        <w:rPr>
          <w:rFonts w:eastAsia="Calibri" w:cs="Calibri"/>
          <w:kern w:val="2"/>
          <w:szCs w:val="18"/>
          <w:lang w:eastAsia="en-US"/>
          <w14:ligatures w14:val="standardContextual"/>
        </w:rPr>
        <w:t xml:space="preserve">oals bij vraag 2 aangegeven is ondertussen een nieuw gebruiksruimtebesluit vastgesteld. De aanvraag van </w:t>
      </w:r>
      <w:proofErr w:type="spellStart"/>
      <w:r w:rsidRPr="00C76CA1">
        <w:rPr>
          <w:rFonts w:eastAsia="Calibri" w:cs="Calibri"/>
          <w:kern w:val="2"/>
          <w:szCs w:val="18"/>
          <w:lang w:eastAsia="en-US"/>
          <w14:ligatures w14:val="standardContextual"/>
        </w:rPr>
        <w:t>Frisia</w:t>
      </w:r>
      <w:proofErr w:type="spellEnd"/>
      <w:r w:rsidRPr="00C76CA1">
        <w:rPr>
          <w:rFonts w:eastAsia="Calibri" w:cs="Calibri"/>
          <w:kern w:val="2"/>
          <w:szCs w:val="18"/>
          <w:lang w:eastAsia="en-US"/>
          <w14:ligatures w14:val="standardContextual"/>
        </w:rPr>
        <w:t xml:space="preserve"> moet aan dit gebruiksruimtebesluit voldoen.   </w:t>
      </w:r>
    </w:p>
    <w:p w:rsidRPr="00C76CA1" w:rsidR="00BF0696" w:rsidP="00BF0696" w:rsidRDefault="00BF0696" w14:paraId="3E6B2054" w14:textId="77777777">
      <w:pPr>
        <w:rPr>
          <w:rFonts w:eastAsia="Calibri" w:cs="Calibri"/>
          <w:kern w:val="2"/>
          <w:szCs w:val="18"/>
          <w:lang w:eastAsia="en-US"/>
          <w14:ligatures w14:val="standardContextual"/>
        </w:rPr>
      </w:pPr>
    </w:p>
    <w:p w:rsidRPr="00C76CA1" w:rsidR="00BF0696" w:rsidP="00BF0696" w:rsidRDefault="00BF0696" w14:paraId="2EC3F981"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5</w:t>
      </w:r>
    </w:p>
    <w:p w:rsidRPr="00C76CA1" w:rsidR="00BF0696" w:rsidP="00BF0696" w:rsidRDefault="00BF0696" w14:paraId="2F478C2D"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Kan deze uitspraak volgens u als basis dienen om geen nieuwe vergunningen te leveren voor zoutwinning onder de Waddenzee? Zo ja, waarom? Zo nee, waarom niet?</w:t>
      </w:r>
      <w:r w:rsidRPr="00C76CA1">
        <w:rPr>
          <w:rFonts w:eastAsia="Aptos"/>
          <w:kern w:val="2"/>
          <w:szCs w:val="18"/>
          <w:lang w:eastAsia="en-US"/>
          <w14:ligatures w14:val="standardContextual"/>
        </w:rPr>
        <w:br/>
      </w:r>
    </w:p>
    <w:p w:rsidRPr="00C76CA1" w:rsidR="00BF0696" w:rsidP="00BF0696" w:rsidRDefault="00BF0696" w14:paraId="66D96AAB"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Antwoord</w:t>
      </w:r>
    </w:p>
    <w:p w:rsidRPr="00C76CA1" w:rsidR="00BF0696" w:rsidP="00BF0696" w:rsidRDefault="00BF0696" w14:paraId="3DDE1789"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Nee, zoals al opgemerkt onder 2 heeft de uitspraak van de rechtbank betrekking op een eerder gebruiksruimtebesluit. Het thans geldende gebruiksruimtebesluit is van 25 april 2024. Dit besluit is genomen op basis van de meest recente wetenschappelijke inzichten</w:t>
      </w:r>
      <w:r>
        <w:rPr>
          <w:rFonts w:eastAsia="Calibri" w:cs="Calibri"/>
          <w:kern w:val="2"/>
          <w:szCs w:val="18"/>
          <w:lang w:eastAsia="en-US"/>
          <w14:ligatures w14:val="standardContextual"/>
        </w:rPr>
        <w:t>, inclusief de informatie van het KNMI</w:t>
      </w:r>
      <w:r w:rsidRPr="00C76CA1">
        <w:rPr>
          <w:rFonts w:eastAsia="Calibri" w:cs="Calibri"/>
          <w:kern w:val="2"/>
          <w:szCs w:val="18"/>
          <w:lang w:eastAsia="en-US"/>
          <w14:ligatures w14:val="standardContextual"/>
        </w:rPr>
        <w:t xml:space="preserve">. Mijnbouwprojecten moeten aan dit gebruiksruimtebesluit voldoen. Nieuwe winning van delfstoffen is met de aanpassing van de Mijnbouwwet in mei 2024 niet meer mogelijk onder de Waddenzee, tenzij </w:t>
      </w:r>
      <w:r>
        <w:rPr>
          <w:rFonts w:eastAsia="Calibri" w:cs="Calibri"/>
          <w:kern w:val="2"/>
          <w:szCs w:val="18"/>
          <w:lang w:eastAsia="en-US"/>
          <w14:ligatures w14:val="standardContextual"/>
        </w:rPr>
        <w:t>een</w:t>
      </w:r>
      <w:r w:rsidRPr="00C76CA1">
        <w:rPr>
          <w:rFonts w:eastAsia="Calibri" w:cs="Calibri"/>
          <w:kern w:val="2"/>
          <w:szCs w:val="18"/>
          <w:lang w:eastAsia="en-US"/>
          <w14:ligatures w14:val="standardContextual"/>
        </w:rPr>
        <w:t xml:space="preserve"> aanvraag voor 1 mei 2024 was ingediend.</w:t>
      </w:r>
    </w:p>
    <w:p w:rsidR="00BF0696" w:rsidP="00BF0696" w:rsidRDefault="00BF0696" w14:paraId="0C39AE73" w14:textId="77777777">
      <w:pPr>
        <w:rPr>
          <w:rFonts w:eastAsia="Calibri" w:cs="Calibri"/>
          <w:kern w:val="2"/>
          <w:szCs w:val="18"/>
          <w:lang w:eastAsia="en-US"/>
          <w14:ligatures w14:val="standardContextual"/>
        </w:rPr>
      </w:pPr>
    </w:p>
    <w:p w:rsidRPr="00C76CA1" w:rsidR="00BF0696" w:rsidP="00BF0696" w:rsidRDefault="00BF0696" w14:paraId="1BE636CA"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6</w:t>
      </w:r>
    </w:p>
    <w:p w:rsidRPr="00C76CA1" w:rsidR="00BF0696" w:rsidP="00BF0696" w:rsidRDefault="00BF0696" w14:paraId="69D0A205"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Heeft het ministerie van KGG of het ministerie van LVVN momenteel weet van andere bestaande aanvragen of potentiële aanvragen die door marktpartijen voorbereid worden voor zoutwinning onder de Waddenzee?</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 xml:space="preserve"> </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Antwoord</w:t>
      </w:r>
    </w:p>
    <w:p w:rsidRPr="00C76CA1" w:rsidR="00BF0696" w:rsidP="00BF0696" w:rsidRDefault="00BF0696" w14:paraId="03E49454"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Nee, er zijn geen andere aanvragen of potentiële aanvragen voor zoutwinning onder de Waddenzee bekend anders dan de aanvraag van </w:t>
      </w:r>
      <w:proofErr w:type="spellStart"/>
      <w:r w:rsidRPr="00C76CA1">
        <w:rPr>
          <w:rFonts w:eastAsia="Calibri" w:cs="Calibri"/>
          <w:kern w:val="2"/>
          <w:szCs w:val="18"/>
          <w:lang w:eastAsia="en-US"/>
          <w14:ligatures w14:val="standardContextual"/>
        </w:rPr>
        <w:t>Frisia</w:t>
      </w:r>
      <w:proofErr w:type="spellEnd"/>
      <w:r w:rsidRPr="00C76CA1">
        <w:rPr>
          <w:rFonts w:eastAsia="Calibri" w:cs="Calibri"/>
          <w:kern w:val="2"/>
          <w:szCs w:val="18"/>
          <w:lang w:eastAsia="en-US"/>
          <w14:ligatures w14:val="standardContextual"/>
        </w:rPr>
        <w:t xml:space="preserve"> die </w:t>
      </w:r>
      <w:r>
        <w:rPr>
          <w:rFonts w:eastAsia="Calibri" w:cs="Calibri"/>
          <w:kern w:val="2"/>
          <w:szCs w:val="18"/>
          <w:lang w:eastAsia="en-US"/>
          <w14:ligatures w14:val="standardContextual"/>
        </w:rPr>
        <w:t xml:space="preserve">voor de aanpassing van de Mijnbouwwet is ingediend. </w:t>
      </w:r>
      <w:r w:rsidRPr="00C76CA1">
        <w:rPr>
          <w:rFonts w:eastAsia="Calibri" w:cs="Calibri"/>
          <w:kern w:val="2"/>
          <w:szCs w:val="18"/>
          <w:lang w:eastAsia="en-US"/>
          <w14:ligatures w14:val="standardContextual"/>
        </w:rPr>
        <w:t xml:space="preserve"> </w:t>
      </w:r>
    </w:p>
    <w:p w:rsidRPr="00C76CA1" w:rsidR="00BF0696" w:rsidP="00BF0696" w:rsidRDefault="00BF0696" w14:paraId="731B0D50"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 </w:t>
      </w:r>
    </w:p>
    <w:p w:rsidRPr="00C76CA1" w:rsidR="00BF0696" w:rsidP="00BF0696" w:rsidRDefault="00BF0696" w14:paraId="6FDABC1B"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7</w:t>
      </w:r>
    </w:p>
    <w:p w:rsidRPr="00C76CA1" w:rsidR="00BF0696" w:rsidP="00BF0696" w:rsidRDefault="00BF0696" w14:paraId="356F565D"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Hoe beoordeelt u het geldende Gebruiksruimtebesluit onder de Wadden in het licht van deze uitspraak?</w:t>
      </w:r>
    </w:p>
    <w:p w:rsidRPr="00C76CA1" w:rsidR="00BF0696" w:rsidP="00BF0696" w:rsidRDefault="00BF0696" w14:paraId="0B50FFAF"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 </w:t>
      </w:r>
    </w:p>
    <w:p w:rsidRPr="00C76CA1" w:rsidR="00BF0696" w:rsidP="00BF0696" w:rsidRDefault="00BF0696" w14:paraId="3D6DA482"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Antwoord</w:t>
      </w:r>
    </w:p>
    <w:p w:rsidRPr="00C76CA1" w:rsidR="00BF0696" w:rsidP="00BF0696" w:rsidRDefault="00BF0696" w14:paraId="324CD117"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 xml:space="preserve">Zoals al opgemerkt onder 2 heeft de uitspraak van de rechtbank betrekking op een eerder gebruiksruimtebesluit. Het thans geldende gebruiksruimtebesluit is vastgesteld op 25 april 2024. Dit besluit is genomen op basis van de meest recente wetenschappelijke inzichten. </w:t>
      </w:r>
      <w:r>
        <w:rPr>
          <w:rFonts w:eastAsia="Calibri" w:cs="Calibri"/>
          <w:kern w:val="2"/>
          <w:szCs w:val="18"/>
          <w:lang w:eastAsia="en-US"/>
          <w14:ligatures w14:val="standardContextual"/>
        </w:rPr>
        <w:t>D</w:t>
      </w:r>
      <w:r w:rsidRPr="00C76CA1">
        <w:rPr>
          <w:rFonts w:eastAsia="Calibri" w:cs="Calibri"/>
          <w:kern w:val="2"/>
          <w:szCs w:val="18"/>
          <w:lang w:eastAsia="en-US"/>
          <w14:ligatures w14:val="standardContextual"/>
        </w:rPr>
        <w:t>e uitspraak</w:t>
      </w:r>
      <w:r>
        <w:rPr>
          <w:rFonts w:eastAsia="Calibri" w:cs="Calibri"/>
          <w:kern w:val="2"/>
          <w:szCs w:val="18"/>
          <w:lang w:eastAsia="en-US"/>
          <w14:ligatures w14:val="standardContextual"/>
        </w:rPr>
        <w:t xml:space="preserve"> heeft</w:t>
      </w:r>
      <w:r w:rsidRPr="00C76CA1">
        <w:rPr>
          <w:rFonts w:eastAsia="Calibri" w:cs="Calibri"/>
          <w:kern w:val="2"/>
          <w:szCs w:val="18"/>
          <w:lang w:eastAsia="en-US"/>
          <w14:ligatures w14:val="standardContextual"/>
        </w:rPr>
        <w:t xml:space="preserve"> daarom geen gevolgen voor het thans geldende gebruiksruimtebesluit.</w:t>
      </w:r>
    </w:p>
    <w:p w:rsidRPr="00C76CA1" w:rsidR="00BF0696" w:rsidP="00BF0696" w:rsidRDefault="00BF0696" w14:paraId="47FE2C3B"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 </w:t>
      </w:r>
    </w:p>
    <w:p w:rsidRPr="00C76CA1" w:rsidR="00BF0696" w:rsidP="00BF0696" w:rsidRDefault="00BF0696" w14:paraId="7CF3BB35"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8</w:t>
      </w:r>
    </w:p>
    <w:p w:rsidRPr="00C76CA1" w:rsidR="00BF0696" w:rsidP="00BF0696" w:rsidRDefault="00BF0696" w14:paraId="2D61D00C"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In welke mate werden specifiek de in de uitspraak aangehaalde scenario's van het KNMI meegenomen in het geldende Gebruiksruimtebesluit onder de Wadden?</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 xml:space="preserve"> </w:t>
      </w:r>
    </w:p>
    <w:p w:rsidRPr="00C76CA1" w:rsidR="00BF0696" w:rsidP="00BF0696" w:rsidRDefault="00BF0696" w14:paraId="1C773680"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Antwoord</w:t>
      </w:r>
    </w:p>
    <w:p w:rsidRPr="00C76CA1" w:rsidR="00BF0696" w:rsidP="00BF0696" w:rsidRDefault="00BF0696" w14:paraId="247293AF"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De in de uitspraak aangehaalde scenario's van het KNMI zijn meegenomen in het thans geldende gebruiksruimtebesluit van 25 april 2024. Dit besluit is gebaseerd op het advies van experts (van het KNMI, </w:t>
      </w:r>
      <w:proofErr w:type="spellStart"/>
      <w:r w:rsidRPr="00C76CA1">
        <w:rPr>
          <w:rFonts w:eastAsia="Calibri" w:cs="Calibri"/>
          <w:kern w:val="2"/>
          <w:szCs w:val="18"/>
          <w:lang w:eastAsia="en-US"/>
          <w14:ligatures w14:val="standardContextual"/>
        </w:rPr>
        <w:t>Deltares</w:t>
      </w:r>
      <w:proofErr w:type="spellEnd"/>
      <w:r w:rsidRPr="00C76CA1">
        <w:rPr>
          <w:rFonts w:eastAsia="Calibri" w:cs="Calibri"/>
          <w:kern w:val="2"/>
          <w:szCs w:val="18"/>
          <w:lang w:eastAsia="en-US"/>
          <w14:ligatures w14:val="standardContextual"/>
        </w:rPr>
        <w:t xml:space="preserve">, NIOZ, TU Delft, TNO-Geologische dienst en de Universiteit Utrecht) van 31 januari 2024 over zeespiegelstijgingsscenario’s voor de Waddenzee. Dit advies volgde op de publicatie van de klimaatscenario's van het KNMI (9 oktober 2023). </w:t>
      </w:r>
    </w:p>
    <w:p w:rsidRPr="00C76CA1" w:rsidR="00BF0696" w:rsidP="00BF0696" w:rsidRDefault="00BF0696" w14:paraId="5A98697A"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 </w:t>
      </w:r>
    </w:p>
    <w:p w:rsidRPr="00C76CA1" w:rsidR="00BF0696" w:rsidP="00BF0696" w:rsidRDefault="00BF0696" w14:paraId="24136369"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9</w:t>
      </w:r>
    </w:p>
    <w:p w:rsidRPr="00C76CA1" w:rsidR="00BF0696" w:rsidP="00BF0696" w:rsidRDefault="00BF0696" w14:paraId="16D970D0"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Hoe schat u op basis van deze uitspraak de toegenomen waarschijnlijkheid in dat de Raad van State in 2026 zal oordelen dat de gebruiksruimte zou moeten worden herzien?</w:t>
      </w:r>
      <w:r w:rsidRPr="00C76CA1">
        <w:rPr>
          <w:rFonts w:eastAsia="Aptos"/>
          <w:kern w:val="2"/>
          <w:szCs w:val="18"/>
          <w:lang w:eastAsia="en-US"/>
          <w14:ligatures w14:val="standardContextual"/>
        </w:rPr>
        <w:br/>
      </w:r>
    </w:p>
    <w:p w:rsidR="00BF0696" w:rsidP="00BF0696" w:rsidRDefault="00BF0696" w14:paraId="2EC9A1D9"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Antwoord</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 xml:space="preserve">Tegen het huidige gebruiksruimtebesluit van 25 april 2024 </w:t>
      </w:r>
      <w:r>
        <w:rPr>
          <w:rFonts w:eastAsia="Calibri" w:cs="Calibri"/>
          <w:kern w:val="2"/>
          <w:szCs w:val="18"/>
          <w:lang w:eastAsia="en-US"/>
          <w14:ligatures w14:val="standardContextual"/>
        </w:rPr>
        <w:t xml:space="preserve">is </w:t>
      </w:r>
      <w:r w:rsidRPr="00C76CA1">
        <w:rPr>
          <w:rFonts w:eastAsia="Calibri" w:cs="Calibri"/>
          <w:kern w:val="2"/>
          <w:szCs w:val="18"/>
          <w:lang w:eastAsia="en-US"/>
          <w14:ligatures w14:val="standardContextual"/>
        </w:rPr>
        <w:t xml:space="preserve">een aantal beroepen ingesteld. Naar verwachting zullen deze beroepen in 2026 door de Afdeling </w:t>
      </w:r>
      <w:r>
        <w:rPr>
          <w:rFonts w:eastAsia="Calibri" w:cs="Calibri"/>
          <w:kern w:val="2"/>
          <w:szCs w:val="18"/>
          <w:lang w:eastAsia="en-US"/>
          <w14:ligatures w14:val="standardContextual"/>
        </w:rPr>
        <w:t>b</w:t>
      </w:r>
      <w:r w:rsidRPr="00C76CA1">
        <w:rPr>
          <w:rFonts w:eastAsia="Calibri" w:cs="Calibri"/>
          <w:kern w:val="2"/>
          <w:szCs w:val="18"/>
          <w:lang w:eastAsia="en-US"/>
          <w14:ligatures w14:val="standardContextual"/>
        </w:rPr>
        <w:t xml:space="preserve">estuursrechtspraak ter zitting worden behandeld. </w:t>
      </w:r>
      <w:r w:rsidRPr="00D70ECA">
        <w:rPr>
          <w:rFonts w:eastAsia="Calibri" w:cs="Calibri"/>
          <w:kern w:val="2"/>
          <w:szCs w:val="18"/>
          <w:lang w:eastAsia="en-US"/>
          <w14:ligatures w14:val="standardContextual"/>
        </w:rPr>
        <w:t>Het is</w:t>
      </w:r>
      <w:r>
        <w:rPr>
          <w:rFonts w:eastAsia="Calibri" w:cs="Calibri"/>
          <w:kern w:val="2"/>
          <w:szCs w:val="18"/>
          <w:lang w:eastAsia="en-US"/>
          <w14:ligatures w14:val="standardContextual"/>
        </w:rPr>
        <w:t xml:space="preserve"> uiteraard</w:t>
      </w:r>
      <w:r w:rsidRPr="00D70ECA">
        <w:rPr>
          <w:rFonts w:eastAsia="Calibri" w:cs="Calibri"/>
          <w:kern w:val="2"/>
          <w:szCs w:val="18"/>
          <w:lang w:eastAsia="en-US"/>
          <w14:ligatures w14:val="standardContextual"/>
        </w:rPr>
        <w:t xml:space="preserve"> niet aan</w:t>
      </w:r>
      <w:r>
        <w:rPr>
          <w:rFonts w:eastAsia="Calibri" w:cs="Calibri"/>
          <w:kern w:val="2"/>
          <w:szCs w:val="18"/>
          <w:lang w:eastAsia="en-US"/>
          <w14:ligatures w14:val="standardContextual"/>
        </w:rPr>
        <w:t xml:space="preserve"> het kabinet</w:t>
      </w:r>
      <w:r w:rsidRPr="00D70ECA">
        <w:rPr>
          <w:rFonts w:eastAsia="Calibri" w:cs="Calibri"/>
          <w:kern w:val="2"/>
          <w:szCs w:val="18"/>
          <w:lang w:eastAsia="en-US"/>
          <w14:ligatures w14:val="standardContextual"/>
        </w:rPr>
        <w:t xml:space="preserve"> om iets te zeggen over hoe de Afdeling uiteindelijk zal oordelen. </w:t>
      </w:r>
    </w:p>
    <w:p w:rsidR="00BF0696" w:rsidP="00BF0696" w:rsidRDefault="00BF0696" w14:paraId="0852C3D9" w14:textId="77777777">
      <w:pPr>
        <w:rPr>
          <w:rFonts w:eastAsia="Calibri" w:cs="Calibri"/>
          <w:kern w:val="2"/>
          <w:szCs w:val="18"/>
          <w:lang w:eastAsia="en-US"/>
          <w14:ligatures w14:val="standardContextual"/>
        </w:rPr>
      </w:pPr>
    </w:p>
    <w:p w:rsidRPr="00C76CA1" w:rsidR="00BF0696" w:rsidP="00BF0696" w:rsidRDefault="00BF0696" w14:paraId="6A301048"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10</w:t>
      </w:r>
    </w:p>
    <w:p w:rsidRPr="00C76CA1" w:rsidR="00BF0696" w:rsidP="00BF0696" w:rsidRDefault="00BF0696" w14:paraId="50ED79B0"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Aangezien u in uw antwoord van 5 december 2025 op vraag 20 van mijn schriftelijke vragen heeft geantwoord dat in geval van een dergelijke uitspraak van de Raad van State het kabinet de gebruiksruimte zou herzien, deelt u de mening dat het in het licht van deze uitspraak van de rechtbank Noord-Nederland wijselijk is een dergelijke wijzing reeds voor te bereiden om een strikte natuurbescherming van de Wadden te garanderen? Zo ja, waarom? Zo nee, waarom niet?</w:t>
      </w:r>
      <w:r w:rsidRPr="00C76CA1">
        <w:rPr>
          <w:rFonts w:eastAsia="Aptos"/>
          <w:kern w:val="2"/>
          <w:szCs w:val="18"/>
          <w:lang w:eastAsia="en-US"/>
          <w14:ligatures w14:val="standardContextual"/>
        </w:rPr>
        <w:br/>
      </w:r>
    </w:p>
    <w:p w:rsidRPr="00C76CA1" w:rsidR="00BF0696" w:rsidP="00BF0696" w:rsidRDefault="00BF0696" w14:paraId="4162457B"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Antwoord</w:t>
      </w:r>
    </w:p>
    <w:p w:rsidRPr="00C76CA1" w:rsidR="00BF0696" w:rsidP="00BF0696" w:rsidRDefault="00BF0696" w14:paraId="721052C7"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Nee, zoals in het antwoord van vraag 2 wordt aangegeven heeft de uitspraak geen effect op de huidige mijnbouw onder de Waddenzee. In het thans geldende gebruiksruimtebesluit zijn de meest recente inzichten over de zeespiegelstijging, die in de uitspraak worden aangehaald, meegenomen. </w:t>
      </w:r>
      <w:r>
        <w:rPr>
          <w:rFonts w:eastAsia="Calibri" w:cs="Calibri"/>
          <w:kern w:val="2"/>
          <w:szCs w:val="18"/>
          <w:lang w:eastAsia="en-US"/>
          <w14:ligatures w14:val="standardContextual"/>
        </w:rPr>
        <w:t xml:space="preserve">Daarmee </w:t>
      </w:r>
      <w:r w:rsidRPr="00410E74">
        <w:rPr>
          <w:szCs w:val="18"/>
        </w:rPr>
        <w:t xml:space="preserve">geeft </w:t>
      </w:r>
      <w:r>
        <w:rPr>
          <w:szCs w:val="18"/>
        </w:rPr>
        <w:t xml:space="preserve">het thans geldende gebruiksruimtebesluit </w:t>
      </w:r>
      <w:r w:rsidRPr="00410E74">
        <w:rPr>
          <w:szCs w:val="18"/>
        </w:rPr>
        <w:t xml:space="preserve">een actueel beeld weer van de ruimte die er met het oog </w:t>
      </w:r>
      <w:r>
        <w:rPr>
          <w:szCs w:val="18"/>
        </w:rPr>
        <w:t xml:space="preserve">op </w:t>
      </w:r>
      <w:r w:rsidRPr="00410E74">
        <w:rPr>
          <w:szCs w:val="18"/>
        </w:rPr>
        <w:t>de te</w:t>
      </w:r>
      <w:r>
        <w:rPr>
          <w:szCs w:val="18"/>
        </w:rPr>
        <w:t xml:space="preserve"> </w:t>
      </w:r>
      <w:r w:rsidRPr="00410E74">
        <w:rPr>
          <w:szCs w:val="18"/>
        </w:rPr>
        <w:t>beschermen natuurwaarden van de Waddenzee is voor gas- en zoutwinning.</w:t>
      </w:r>
      <w:r>
        <w:rPr>
          <w:szCs w:val="18"/>
        </w:rPr>
        <w:t xml:space="preserve"> Het kabinet ziet daarom vooralsnog geen aanleiding om een wijziging van het gebruiksruimtebesluit voor te bereiden.</w:t>
      </w:r>
      <w:r>
        <w:rPr>
          <w:szCs w:val="18"/>
        </w:rPr>
        <w:br/>
      </w:r>
      <w:r w:rsidRPr="00C76CA1">
        <w:rPr>
          <w:rFonts w:eastAsia="Calibri" w:cs="Calibri"/>
          <w:kern w:val="2"/>
          <w:szCs w:val="18"/>
          <w:lang w:eastAsia="en-US"/>
          <w14:ligatures w14:val="standardContextual"/>
        </w:rPr>
        <w:t xml:space="preserve"> </w:t>
      </w:r>
    </w:p>
    <w:p w:rsidRPr="00C76CA1" w:rsidR="00BF0696" w:rsidP="00BF0696" w:rsidRDefault="00BF0696" w14:paraId="774486FD"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11</w:t>
      </w:r>
    </w:p>
    <w:p w:rsidRPr="00C76CA1" w:rsidR="00BF0696" w:rsidP="00BF0696" w:rsidRDefault="00BF0696" w14:paraId="1AFB8AED"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Gezien uw antwoord van 5 december 2025 op vraag 21 van mijn schriftelijke vragen dat de modellen van het KNMI te beperkt zouden zijn of niet toegespitst zouden zijn op de Nederlandse situatie, maar dat de rechtbank Noord-Nederland tegelijk aangeeft dat de informatie van het KNMI wel degelijk relevant is in de context van zoutwinning, bent u bereid uw eerdere antwoord te herzien en aan het KNMI alsnog te vragen een actualisatie van het Gebruiksruimtebesluit Waddenzee te laten maken op basis van de meest recente wetenschappelijk inzichten over klimaatverandering en zeespiegelstijging en indien nodig de modellen meer toe te spitsen op de Nederlandse situatie? Zo ja, waarom? Zo nee, waarom niet?</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 xml:space="preserve"> </w:t>
      </w:r>
    </w:p>
    <w:p w:rsidRPr="00C76CA1" w:rsidR="00BF0696" w:rsidP="00BF0696" w:rsidRDefault="00BF0696" w14:paraId="3F0D790B"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Antwoord</w:t>
      </w:r>
    </w:p>
    <w:p w:rsidRPr="00C76CA1" w:rsidR="00BF0696" w:rsidP="00BF0696" w:rsidRDefault="00BF0696" w14:paraId="02E977C3"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 xml:space="preserve">Vraag 21 ging niet over nieuwe inzichten van het KNMI maar over generieke nieuwe wetenschappelijke inzichten over klimaatverandering en zeespiegelstijging. De laatste publicatie van het KNMI over klimaatscenario’s is van 9 oktober 2023. Deze publicatie is meegenomen in het advies door experts van 31 januari 2024. Zoals aangegeven in het antwoord op vraag 8 is het KNMI een van deze experts. Het is de verwachting dat in het geval het KNMI nieuwe klimaatscenario’s publiceert, deze dan weer zullen worden meegenomen in een nieuw advies door experts en een nieuw gebruiksruimtebesluit. Daarbij is het belangrijk om te benadrukken dat nieuwe wetenschappelijke inzichten niet altijd direct toepasbaar zijn op de Nederlandse situatie. Hiervoor is vaak </w:t>
      </w:r>
      <w:r>
        <w:rPr>
          <w:rFonts w:eastAsia="Calibri" w:cs="Calibri"/>
          <w:kern w:val="2"/>
          <w:szCs w:val="18"/>
          <w:lang w:eastAsia="en-US"/>
          <w14:ligatures w14:val="standardContextual"/>
        </w:rPr>
        <w:t xml:space="preserve">een vertaling of </w:t>
      </w:r>
      <w:r w:rsidRPr="00C76CA1">
        <w:rPr>
          <w:rFonts w:eastAsia="Calibri" w:cs="Calibri"/>
          <w:kern w:val="2"/>
          <w:szCs w:val="18"/>
          <w:lang w:eastAsia="en-US"/>
          <w14:ligatures w14:val="standardContextual"/>
        </w:rPr>
        <w:t xml:space="preserve">aanvullend onderzoek nodig.  </w:t>
      </w:r>
    </w:p>
    <w:p w:rsidRPr="00C76CA1" w:rsidR="00BF0696" w:rsidP="00BF0696" w:rsidRDefault="00BF0696" w14:paraId="51A4225F" w14:textId="77777777">
      <w:pPr>
        <w:ind w:left="360"/>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 </w:t>
      </w:r>
    </w:p>
    <w:p w:rsidRPr="00C76CA1" w:rsidR="00BF0696" w:rsidP="00BF0696" w:rsidRDefault="00BF0696" w14:paraId="20C768A3"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12</w:t>
      </w:r>
    </w:p>
    <w:p w:rsidR="00BF0696" w:rsidP="00BF0696" w:rsidRDefault="00BF0696" w14:paraId="1D0602B1"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Wat is uw inzet in het overleg met de provinciale en lokale overheden in de noordelijke provincies rond zoutwinning en de schade als gevolg daarvan? Wat bent u van plan met de vragen en bezwaren van deze lokale overheden over dit onderwerp?</w:t>
      </w:r>
      <w:r w:rsidRPr="00C76CA1">
        <w:rPr>
          <w:rFonts w:eastAsia="Aptos"/>
          <w:kern w:val="2"/>
          <w:szCs w:val="18"/>
          <w:lang w:eastAsia="en-US"/>
          <w14:ligatures w14:val="standardContextual"/>
        </w:rPr>
        <w:br/>
      </w:r>
    </w:p>
    <w:p w:rsidRPr="00C76CA1" w:rsidR="00BF0696" w:rsidP="00BF0696" w:rsidRDefault="00BF0696" w14:paraId="0AA2131A"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Antwoord</w:t>
      </w:r>
    </w:p>
    <w:p w:rsidRPr="00C76CA1" w:rsidR="00BF0696" w:rsidP="00BF0696" w:rsidRDefault="00BF0696" w14:paraId="06C374E9"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Er is regelmatig contact met de provinciale en lokale overheden in de noordelijke provincies rond zoutwinning en de gevolgen daarvan. De vragen en bezwaren van de decentrale overheden worden in elke procedure bekeken en meegenomen. </w:t>
      </w:r>
    </w:p>
    <w:p w:rsidRPr="00C76CA1" w:rsidR="00BF0696" w:rsidP="00BF0696" w:rsidRDefault="00BF0696" w14:paraId="1368C56C"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 xml:space="preserve"> </w:t>
      </w:r>
    </w:p>
    <w:p w:rsidRPr="00C76CA1" w:rsidR="00BF0696" w:rsidP="00BF0696" w:rsidRDefault="00BF0696" w14:paraId="356A6B3F"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13</w:t>
      </w:r>
    </w:p>
    <w:p w:rsidRPr="00C76CA1" w:rsidR="00BF0696" w:rsidP="00BF0696" w:rsidRDefault="00BF0696" w14:paraId="4EA10D67" w14:textId="77777777">
      <w:pPr>
        <w:rPr>
          <w:rFonts w:eastAsia="Calibri" w:cs="Calibri"/>
          <w:kern w:val="2"/>
          <w:szCs w:val="18"/>
          <w:lang w:eastAsia="en-US"/>
          <w14:ligatures w14:val="standardContextual"/>
        </w:rPr>
      </w:pPr>
      <w:r w:rsidRPr="00C76CA1">
        <w:rPr>
          <w:rFonts w:eastAsia="Calibri" w:cs="Calibri"/>
          <w:kern w:val="2"/>
          <w:szCs w:val="18"/>
          <w:lang w:eastAsia="en-US"/>
          <w14:ligatures w14:val="standardContextual"/>
        </w:rPr>
        <w:t>Kunt u deze vragen beantwoorden ruim voorafgaand aan het commissiedebat Mijnbouw op 29 januari 2026?</w:t>
      </w:r>
      <w:r w:rsidRPr="00C76CA1">
        <w:rPr>
          <w:rFonts w:eastAsia="Aptos"/>
          <w:kern w:val="2"/>
          <w:szCs w:val="18"/>
          <w:lang w:eastAsia="en-US"/>
          <w14:ligatures w14:val="standardContextual"/>
        </w:rPr>
        <w:br/>
      </w:r>
      <w:r w:rsidRPr="00C76CA1">
        <w:rPr>
          <w:rFonts w:eastAsia="Calibri" w:cs="Calibri"/>
          <w:kern w:val="2"/>
          <w:szCs w:val="18"/>
          <w:lang w:eastAsia="en-US"/>
          <w14:ligatures w14:val="standardContextual"/>
        </w:rPr>
        <w:t xml:space="preserve"> </w:t>
      </w:r>
    </w:p>
    <w:p w:rsidRPr="00C76CA1" w:rsidR="00BF0696" w:rsidP="00BF0696" w:rsidRDefault="00BF0696" w14:paraId="138C0721"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Antwoord</w:t>
      </w:r>
    </w:p>
    <w:p w:rsidRPr="00C76CA1" w:rsidR="00BF0696" w:rsidP="00BF0696" w:rsidRDefault="00BF0696" w14:paraId="7DFA473D" w14:textId="77777777">
      <w:pPr>
        <w:rPr>
          <w:rFonts w:eastAsia="Aptos"/>
          <w:kern w:val="2"/>
          <w:szCs w:val="18"/>
          <w:lang w:eastAsia="en-US"/>
          <w14:ligatures w14:val="standardContextual"/>
        </w:rPr>
      </w:pPr>
      <w:r w:rsidRPr="00C76CA1">
        <w:rPr>
          <w:rFonts w:eastAsia="Calibri" w:cs="Calibri"/>
          <w:kern w:val="2"/>
          <w:szCs w:val="18"/>
          <w:lang w:eastAsia="en-US"/>
          <w14:ligatures w14:val="standardContextual"/>
        </w:rPr>
        <w:t>Ja.</w:t>
      </w:r>
    </w:p>
    <w:p w:rsidRPr="00C76CA1" w:rsidR="00BF0696" w:rsidP="00BF0696" w:rsidRDefault="00BF0696" w14:paraId="058BEF97" w14:textId="15E20679">
      <w:pPr>
        <w:rPr>
          <w:szCs w:val="18"/>
        </w:rPr>
      </w:pPr>
      <w:r w:rsidRPr="00C76CA1">
        <w:rPr>
          <w:rFonts w:eastAsia="Calibri" w:cs="Calibri"/>
          <w:kern w:val="2"/>
          <w:szCs w:val="18"/>
          <w:lang w:eastAsia="en-US"/>
          <w14:ligatures w14:val="standardContextual"/>
        </w:rPr>
        <w:t xml:space="preserve"> </w:t>
      </w:r>
    </w:p>
    <w:sectPr w:rsidRPr="00C76CA1" w:rsidR="00BF069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0566" w14:textId="77777777" w:rsidR="00255566" w:rsidRDefault="00255566">
      <w:r>
        <w:separator/>
      </w:r>
    </w:p>
    <w:p w14:paraId="679313A9" w14:textId="77777777" w:rsidR="00255566" w:rsidRDefault="00255566"/>
  </w:endnote>
  <w:endnote w:type="continuationSeparator" w:id="0">
    <w:p w14:paraId="3BC35E30" w14:textId="77777777" w:rsidR="00255566" w:rsidRDefault="00255566">
      <w:r>
        <w:continuationSeparator/>
      </w:r>
    </w:p>
    <w:p w14:paraId="510126F0" w14:textId="77777777" w:rsidR="00255566" w:rsidRDefault="00255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769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6459" w14:paraId="1A4575C4" w14:textId="77777777" w:rsidTr="00CA6A25">
      <w:trPr>
        <w:trHeight w:hRule="exact" w:val="240"/>
      </w:trPr>
      <w:tc>
        <w:tcPr>
          <w:tcW w:w="7601" w:type="dxa"/>
        </w:tcPr>
        <w:p w14:paraId="01AAE8E8" w14:textId="77777777" w:rsidR="00527BD4" w:rsidRDefault="00527BD4" w:rsidP="003F1F6B">
          <w:pPr>
            <w:pStyle w:val="Huisstijl-Rubricering"/>
          </w:pPr>
        </w:p>
      </w:tc>
      <w:tc>
        <w:tcPr>
          <w:tcW w:w="2156" w:type="dxa"/>
        </w:tcPr>
        <w:p w14:paraId="14B5B74B" w14:textId="3D4C0F7F" w:rsidR="00527BD4" w:rsidRPr="00645414" w:rsidRDefault="006259F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D93282">
              <w:t>6</w:t>
            </w:r>
          </w:fldSimple>
        </w:p>
      </w:tc>
    </w:tr>
  </w:tbl>
  <w:p w14:paraId="75C3AF8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6459" w14:paraId="5D9F5D9F" w14:textId="77777777" w:rsidTr="00CA6A25">
      <w:trPr>
        <w:trHeight w:hRule="exact" w:val="240"/>
      </w:trPr>
      <w:tc>
        <w:tcPr>
          <w:tcW w:w="7601" w:type="dxa"/>
        </w:tcPr>
        <w:p w14:paraId="30B227BA" w14:textId="77777777" w:rsidR="00527BD4" w:rsidRDefault="00527BD4" w:rsidP="008C356D">
          <w:pPr>
            <w:pStyle w:val="Huisstijl-Rubricering"/>
          </w:pPr>
        </w:p>
      </w:tc>
      <w:tc>
        <w:tcPr>
          <w:tcW w:w="2170" w:type="dxa"/>
        </w:tcPr>
        <w:p w14:paraId="3DAAD44D" w14:textId="66C0EE45" w:rsidR="00527BD4" w:rsidRPr="00ED539E" w:rsidRDefault="006259F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93282">
              <w:t>6</w:t>
            </w:r>
          </w:fldSimple>
        </w:p>
      </w:tc>
    </w:tr>
  </w:tbl>
  <w:p w14:paraId="45D779D3" w14:textId="77777777" w:rsidR="00527BD4" w:rsidRPr="00BC3B53" w:rsidRDefault="00527BD4" w:rsidP="008C356D">
    <w:pPr>
      <w:pStyle w:val="Voettekst"/>
      <w:spacing w:line="240" w:lineRule="auto"/>
      <w:rPr>
        <w:sz w:val="2"/>
        <w:szCs w:val="2"/>
      </w:rPr>
    </w:pPr>
  </w:p>
  <w:p w14:paraId="76695E0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94C0" w14:textId="77777777" w:rsidR="00255566" w:rsidRDefault="00255566">
      <w:r>
        <w:separator/>
      </w:r>
    </w:p>
    <w:p w14:paraId="28B573ED" w14:textId="77777777" w:rsidR="00255566" w:rsidRDefault="00255566"/>
  </w:footnote>
  <w:footnote w:type="continuationSeparator" w:id="0">
    <w:p w14:paraId="5F656598" w14:textId="77777777" w:rsidR="00255566" w:rsidRDefault="00255566">
      <w:r>
        <w:continuationSeparator/>
      </w:r>
    </w:p>
    <w:p w14:paraId="4FF771C0" w14:textId="77777777" w:rsidR="00255566" w:rsidRDefault="00255566"/>
  </w:footnote>
  <w:footnote w:id="1">
    <w:p w14:paraId="1BBDD8D4" w14:textId="77777777" w:rsidR="00BF0696" w:rsidRPr="00C76CA1" w:rsidRDefault="00BF0696" w:rsidP="00BF0696">
      <w:pPr>
        <w:pStyle w:val="Voetnoottekst"/>
      </w:pPr>
      <w:r>
        <w:rPr>
          <w:rStyle w:val="Voetnootmarkering"/>
        </w:rPr>
        <w:footnoteRef/>
      </w:r>
      <w:r>
        <w:t xml:space="preserve"> </w:t>
      </w:r>
      <w:r w:rsidRPr="00C76CA1">
        <w:t>Rechtbank Noord-Nederland, 3 december 2025, ECLI:NL:RBNNE:2025:5015.</w:t>
      </w:r>
    </w:p>
  </w:footnote>
  <w:footnote w:id="2">
    <w:p w14:paraId="5D33F92E" w14:textId="77777777" w:rsidR="00BF0696" w:rsidRPr="00DE430C" w:rsidRDefault="00BF0696" w:rsidP="00BF0696">
      <w:pPr>
        <w:pStyle w:val="Voetnoottekst"/>
        <w:rPr>
          <w:lang w:val="en-US"/>
        </w:rPr>
      </w:pPr>
      <w:r>
        <w:rPr>
          <w:rStyle w:val="Voetnootmarkering"/>
        </w:rPr>
        <w:footnoteRef/>
      </w:r>
      <w:r>
        <w:t xml:space="preserve"> Kamerstuk </w:t>
      </w:r>
      <w:r w:rsidRPr="00DE430C">
        <w:t>32849-292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6459" w14:paraId="2AB336B5" w14:textId="77777777" w:rsidTr="00A50CF6">
      <w:tc>
        <w:tcPr>
          <w:tcW w:w="2156" w:type="dxa"/>
        </w:tcPr>
        <w:p w14:paraId="03388782" w14:textId="77777777" w:rsidR="00527BD4" w:rsidRPr="005819CE" w:rsidRDefault="006259F3" w:rsidP="00A50CF6">
          <w:pPr>
            <w:pStyle w:val="Huisstijl-Adres"/>
            <w:rPr>
              <w:b/>
            </w:rPr>
          </w:pPr>
          <w:r>
            <w:rPr>
              <w:b/>
            </w:rPr>
            <w:t>Klimaat en groene Groei</w:t>
          </w:r>
          <w:r w:rsidRPr="005819CE">
            <w:rPr>
              <w:b/>
            </w:rPr>
            <w:br/>
          </w:r>
        </w:p>
      </w:tc>
    </w:tr>
    <w:tr w:rsidR="00746459" w14:paraId="04724A95" w14:textId="77777777" w:rsidTr="00A50CF6">
      <w:trPr>
        <w:trHeight w:hRule="exact" w:val="200"/>
      </w:trPr>
      <w:tc>
        <w:tcPr>
          <w:tcW w:w="2156" w:type="dxa"/>
        </w:tcPr>
        <w:p w14:paraId="3846853D" w14:textId="77777777" w:rsidR="00527BD4" w:rsidRPr="005819CE" w:rsidRDefault="00527BD4" w:rsidP="00A50CF6"/>
      </w:tc>
    </w:tr>
    <w:tr w:rsidR="00746459" w14:paraId="185E2AEE" w14:textId="77777777" w:rsidTr="00502512">
      <w:trPr>
        <w:trHeight w:hRule="exact" w:val="774"/>
      </w:trPr>
      <w:tc>
        <w:tcPr>
          <w:tcW w:w="2156" w:type="dxa"/>
        </w:tcPr>
        <w:p w14:paraId="2FA3EC4E" w14:textId="77777777" w:rsidR="00527BD4" w:rsidRDefault="006259F3" w:rsidP="003A5290">
          <w:pPr>
            <w:pStyle w:val="Huisstijl-Kopje"/>
          </w:pPr>
          <w:r>
            <w:t>Ons kenmerk</w:t>
          </w:r>
        </w:p>
        <w:p w14:paraId="73B1643A" w14:textId="77777777" w:rsidR="00CC6702" w:rsidRPr="00CC6702" w:rsidRDefault="006259F3" w:rsidP="00CC6702">
          <w:pPr>
            <w:shd w:val="clear" w:color="auto" w:fill="FFFFFF"/>
            <w:spacing w:line="240" w:lineRule="auto"/>
            <w:textAlignment w:val="baseline"/>
            <w:rPr>
              <w:rFonts w:cs="Helvetica"/>
              <w:color w:val="000000"/>
              <w:sz w:val="13"/>
              <w:szCs w:val="13"/>
            </w:rPr>
          </w:pPr>
          <w:r w:rsidRPr="00CC6702">
            <w:rPr>
              <w:sz w:val="13"/>
              <w:szCs w:val="13"/>
            </w:rPr>
            <w:t xml:space="preserve">KGG / </w:t>
          </w:r>
          <w:sdt>
            <w:sdtPr>
              <w:rPr>
                <w:b/>
                <w:sz w:val="13"/>
                <w:szCs w:val="13"/>
              </w:rPr>
              <w:alias w:val="documentId"/>
              <w:id w:val="762191242"/>
              <w:placeholder>
                <w:docPart w:val="DefaultPlaceholder_-1854013440"/>
              </w:placeholder>
            </w:sdtPr>
            <w:sdtEndPr/>
            <w:sdtContent>
              <w:r w:rsidR="00721AE1" w:rsidRPr="00CC6702">
                <w:rPr>
                  <w:b/>
                  <w:sz w:val="13"/>
                  <w:szCs w:val="13"/>
                </w:rPr>
                <w:fldChar w:fldCharType="begin"/>
              </w:r>
              <w:r w:rsidR="00721AE1" w:rsidRPr="00CC6702">
                <w:rPr>
                  <w:sz w:val="13"/>
                  <w:szCs w:val="13"/>
                </w:rPr>
                <w:instrText xml:space="preserve"> DOCPROPERTY  "documentId"  \* MERGEFORMAT </w:instrText>
              </w:r>
              <w:r w:rsidR="00721AE1" w:rsidRPr="00CC6702">
                <w:rPr>
                  <w:b/>
                  <w:sz w:val="13"/>
                  <w:szCs w:val="13"/>
                </w:rPr>
                <w:fldChar w:fldCharType="separate"/>
              </w:r>
              <w:r w:rsidR="00721AE1" w:rsidRPr="00CC6702">
                <w:rPr>
                  <w:b/>
                  <w:sz w:val="13"/>
                  <w:szCs w:val="13"/>
                </w:rPr>
                <w:fldChar w:fldCharType="end"/>
              </w:r>
            </w:sdtContent>
          </w:sdt>
          <w:r w:rsidR="00CC6702" w:rsidRPr="00CC6702">
            <w:rPr>
              <w:rFonts w:cs="Helvetica"/>
              <w:color w:val="000000"/>
              <w:sz w:val="13"/>
              <w:szCs w:val="13"/>
              <w:bdr w:val="none" w:sz="0" w:space="0" w:color="auto" w:frame="1"/>
            </w:rPr>
            <w:t>103614188</w:t>
          </w:r>
        </w:p>
        <w:p w14:paraId="3EAD2C53" w14:textId="775F0259" w:rsidR="00502512" w:rsidRPr="00502512" w:rsidRDefault="00502512" w:rsidP="003A5290">
          <w:pPr>
            <w:pStyle w:val="Huisstijl-Kopje"/>
            <w:rPr>
              <w:b w:val="0"/>
            </w:rPr>
          </w:pPr>
        </w:p>
        <w:p w14:paraId="148A4AA4" w14:textId="77777777" w:rsidR="00527BD4" w:rsidRPr="005819CE" w:rsidRDefault="00527BD4" w:rsidP="00361A56">
          <w:pPr>
            <w:pStyle w:val="Huisstijl-Kopje"/>
          </w:pPr>
        </w:p>
      </w:tc>
    </w:tr>
  </w:tbl>
  <w:p w14:paraId="6FA1AC86" w14:textId="77777777" w:rsidR="00527BD4" w:rsidRDefault="00527BD4" w:rsidP="008C356D">
    <w:pPr>
      <w:pStyle w:val="Koptekst"/>
      <w:rPr>
        <w:rFonts w:cs="Verdana-Bold"/>
        <w:b/>
        <w:bCs/>
        <w:smallCaps/>
        <w:szCs w:val="18"/>
      </w:rPr>
    </w:pPr>
  </w:p>
  <w:p w14:paraId="28647622" w14:textId="77777777" w:rsidR="00527BD4" w:rsidRDefault="00527BD4" w:rsidP="008C356D"/>
  <w:p w14:paraId="3114CE18" w14:textId="77777777" w:rsidR="00527BD4" w:rsidRPr="00740712" w:rsidRDefault="00527BD4" w:rsidP="008C356D"/>
  <w:p w14:paraId="06333D19" w14:textId="77777777" w:rsidR="00527BD4" w:rsidRPr="00217880" w:rsidRDefault="00527BD4" w:rsidP="008C356D">
    <w:pPr>
      <w:spacing w:line="0" w:lineRule="atLeast"/>
      <w:rPr>
        <w:sz w:val="2"/>
        <w:szCs w:val="2"/>
      </w:rPr>
    </w:pPr>
  </w:p>
  <w:p w14:paraId="76BB9B68" w14:textId="77777777" w:rsidR="00527BD4" w:rsidRDefault="00527BD4" w:rsidP="004F44C2">
    <w:pPr>
      <w:pStyle w:val="Koptekst"/>
      <w:rPr>
        <w:rFonts w:cs="Verdana-Bold"/>
        <w:b/>
        <w:bCs/>
        <w:smallCaps/>
        <w:szCs w:val="18"/>
      </w:rPr>
    </w:pPr>
  </w:p>
  <w:p w14:paraId="1645CEE2" w14:textId="77777777" w:rsidR="00527BD4" w:rsidRDefault="00527BD4" w:rsidP="004F44C2"/>
  <w:p w14:paraId="0F1E6F60" w14:textId="77777777" w:rsidR="00527BD4" w:rsidRPr="00740712" w:rsidRDefault="00527BD4" w:rsidP="004F44C2"/>
  <w:p w14:paraId="1DA35CF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6459" w14:paraId="3B9BB895" w14:textId="77777777" w:rsidTr="00751A6A">
      <w:trPr>
        <w:trHeight w:val="2636"/>
      </w:trPr>
      <w:tc>
        <w:tcPr>
          <w:tcW w:w="737" w:type="dxa"/>
        </w:tcPr>
        <w:p w14:paraId="038ED5F9" w14:textId="77777777" w:rsidR="00527BD4" w:rsidRDefault="00527BD4" w:rsidP="00D0609E">
          <w:pPr>
            <w:framePr w:w="6340" w:h="2750" w:hRule="exact" w:hSpace="180" w:wrap="around" w:vAnchor="page" w:hAnchor="text" w:x="3873" w:y="-140"/>
            <w:spacing w:line="240" w:lineRule="auto"/>
          </w:pPr>
        </w:p>
      </w:tc>
      <w:tc>
        <w:tcPr>
          <w:tcW w:w="5156" w:type="dxa"/>
        </w:tcPr>
        <w:p w14:paraId="19B3593F" w14:textId="77777777" w:rsidR="00527BD4" w:rsidRDefault="006259F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338454C" wp14:editId="20C7168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0738AAD" w14:textId="77777777" w:rsidR="00F4553F" w:rsidRDefault="00F4553F" w:rsidP="00651CEE">
          <w:pPr>
            <w:framePr w:w="6340" w:h="2750" w:hRule="exact" w:hSpace="180" w:wrap="around" w:vAnchor="page" w:hAnchor="text" w:x="3873" w:y="-140"/>
            <w:spacing w:line="240" w:lineRule="auto"/>
          </w:pPr>
        </w:p>
      </w:tc>
    </w:tr>
  </w:tbl>
  <w:p w14:paraId="60050CA3" w14:textId="77777777" w:rsidR="00527BD4" w:rsidRDefault="00527BD4" w:rsidP="00D0609E">
    <w:pPr>
      <w:framePr w:w="6340" w:h="2750" w:hRule="exact" w:hSpace="180" w:wrap="around" w:vAnchor="page" w:hAnchor="text" w:x="3873" w:y="-140"/>
    </w:pPr>
  </w:p>
  <w:p w14:paraId="3CC2A14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6459" w:rsidRPr="009D770C" w14:paraId="772F9514" w14:textId="77777777" w:rsidTr="00A50CF6">
      <w:tc>
        <w:tcPr>
          <w:tcW w:w="2160" w:type="dxa"/>
        </w:tcPr>
        <w:p w14:paraId="11B124DD" w14:textId="77777777" w:rsidR="00527BD4" w:rsidRPr="005819CE" w:rsidRDefault="006259F3" w:rsidP="00A50CF6">
          <w:pPr>
            <w:pStyle w:val="Huisstijl-Adres"/>
            <w:rPr>
              <w:b/>
            </w:rPr>
          </w:pPr>
          <w:r>
            <w:rPr>
              <w:b/>
            </w:rPr>
            <w:t>Klimaat en groene Groei</w:t>
          </w:r>
          <w:r w:rsidRPr="005819CE">
            <w:rPr>
              <w:b/>
            </w:rPr>
            <w:br/>
          </w:r>
        </w:p>
        <w:p w14:paraId="53DFFB7D" w14:textId="77777777" w:rsidR="00527BD4" w:rsidRPr="00BE5ED9" w:rsidRDefault="006259F3" w:rsidP="00A50CF6">
          <w:pPr>
            <w:pStyle w:val="Huisstijl-Adres"/>
          </w:pPr>
          <w:r>
            <w:rPr>
              <w:b/>
            </w:rPr>
            <w:t>Bezoekadres</w:t>
          </w:r>
          <w:r>
            <w:rPr>
              <w:b/>
            </w:rPr>
            <w:br/>
          </w:r>
          <w:r>
            <w:t>Bezuidenhoutseweg 73</w:t>
          </w:r>
          <w:r w:rsidRPr="005819CE">
            <w:br/>
          </w:r>
          <w:r>
            <w:t>2594 AC Den Haag</w:t>
          </w:r>
        </w:p>
        <w:p w14:paraId="52BFD602" w14:textId="77777777" w:rsidR="00EF495B" w:rsidRDefault="006259F3" w:rsidP="0098788A">
          <w:pPr>
            <w:pStyle w:val="Huisstijl-Adres"/>
          </w:pPr>
          <w:r>
            <w:rPr>
              <w:b/>
            </w:rPr>
            <w:t>Postadres</w:t>
          </w:r>
          <w:r>
            <w:rPr>
              <w:b/>
            </w:rPr>
            <w:br/>
          </w:r>
          <w:r>
            <w:t>Postbus 20401</w:t>
          </w:r>
          <w:r w:rsidRPr="005819CE">
            <w:br/>
            <w:t>2500 E</w:t>
          </w:r>
          <w:r>
            <w:t>K</w:t>
          </w:r>
          <w:r w:rsidRPr="005819CE">
            <w:t xml:space="preserve"> Den Haag</w:t>
          </w:r>
        </w:p>
        <w:p w14:paraId="2481DE46" w14:textId="77777777" w:rsidR="00EF495B" w:rsidRPr="005B3814" w:rsidRDefault="006259F3" w:rsidP="0098788A">
          <w:pPr>
            <w:pStyle w:val="Huisstijl-Adres"/>
          </w:pPr>
          <w:r>
            <w:rPr>
              <w:b/>
            </w:rPr>
            <w:t>Overheidsidentificatienr</w:t>
          </w:r>
          <w:r>
            <w:rPr>
              <w:b/>
            </w:rPr>
            <w:br/>
          </w:r>
          <w:r w:rsidR="002D0DDB" w:rsidRPr="002D0DDB">
            <w:t>00000003952069570000</w:t>
          </w:r>
        </w:p>
        <w:p w14:paraId="21C0A967" w14:textId="456406DA" w:rsidR="00527BD4" w:rsidRPr="00BC3F1A" w:rsidRDefault="006259F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46459" w:rsidRPr="009D770C" w14:paraId="2EBE1D95" w14:textId="77777777" w:rsidTr="00BC3F1A">
      <w:trPr>
        <w:trHeight w:hRule="exact" w:val="80"/>
      </w:trPr>
      <w:tc>
        <w:tcPr>
          <w:tcW w:w="2160" w:type="dxa"/>
        </w:tcPr>
        <w:p w14:paraId="77771719" w14:textId="77777777" w:rsidR="00527BD4" w:rsidRPr="007914FE" w:rsidRDefault="00527BD4" w:rsidP="00A50CF6">
          <w:pPr>
            <w:rPr>
              <w:lang w:val="de-DE"/>
            </w:rPr>
          </w:pPr>
        </w:p>
      </w:tc>
    </w:tr>
    <w:tr w:rsidR="00746459" w14:paraId="10EB552B" w14:textId="77777777" w:rsidTr="00A50CF6">
      <w:tc>
        <w:tcPr>
          <w:tcW w:w="2160" w:type="dxa"/>
        </w:tcPr>
        <w:p w14:paraId="4E81AE93" w14:textId="77777777" w:rsidR="000C0163" w:rsidRPr="005819CE" w:rsidRDefault="006259F3" w:rsidP="000C0163">
          <w:pPr>
            <w:pStyle w:val="Huisstijl-Kopje"/>
          </w:pPr>
          <w:r>
            <w:t>Ons kenmerk</w:t>
          </w:r>
          <w:r w:rsidRPr="005819CE">
            <w:t xml:space="preserve"> </w:t>
          </w:r>
        </w:p>
        <w:p w14:paraId="0E969EB6" w14:textId="77777777" w:rsidR="00CC6702" w:rsidRPr="00CC6702" w:rsidRDefault="006259F3" w:rsidP="00CC6702">
          <w:pPr>
            <w:shd w:val="clear" w:color="auto" w:fill="FFFFFF"/>
            <w:spacing w:line="240" w:lineRule="auto"/>
            <w:textAlignment w:val="baseline"/>
            <w:rPr>
              <w:rFonts w:cs="Helvetica"/>
              <w:color w:val="000000"/>
              <w:sz w:val="13"/>
              <w:szCs w:val="13"/>
            </w:rPr>
          </w:pPr>
          <w:r w:rsidRPr="00CC6702">
            <w:rPr>
              <w:sz w:val="13"/>
              <w:szCs w:val="13"/>
            </w:rPr>
            <w:t>KGG</w:t>
          </w:r>
          <w:r w:rsidR="00926AE2" w:rsidRPr="00CC6702">
            <w:rPr>
              <w:sz w:val="13"/>
              <w:szCs w:val="13"/>
            </w:rPr>
            <w:t xml:space="preserve"> /</w:t>
          </w:r>
          <w:r w:rsidR="00EB4E8D" w:rsidRPr="00CC6702">
            <w:rPr>
              <w:sz w:val="13"/>
              <w:szCs w:val="13"/>
            </w:rPr>
            <w:t xml:space="preserve"> </w:t>
          </w:r>
          <w:r w:rsidR="00CC6702" w:rsidRPr="00CC6702">
            <w:rPr>
              <w:rFonts w:cs="Helvetica"/>
              <w:color w:val="000000"/>
              <w:sz w:val="13"/>
              <w:szCs w:val="13"/>
              <w:bdr w:val="none" w:sz="0" w:space="0" w:color="auto" w:frame="1"/>
            </w:rPr>
            <w:t>103614188</w:t>
          </w:r>
        </w:p>
        <w:p w14:paraId="60132840" w14:textId="4353746C" w:rsidR="000C0163" w:rsidRPr="005819CE" w:rsidRDefault="000C0163" w:rsidP="000C0163">
          <w:pPr>
            <w:pStyle w:val="Huisstijl-Gegeven"/>
          </w:pPr>
        </w:p>
        <w:p w14:paraId="59FBF9D6" w14:textId="77777777" w:rsidR="00527BD4" w:rsidRPr="005819CE" w:rsidRDefault="006259F3" w:rsidP="00A50CF6">
          <w:pPr>
            <w:pStyle w:val="Huisstijl-Kopje"/>
          </w:pPr>
          <w:r>
            <w:t>Uw kenmerk</w:t>
          </w:r>
        </w:p>
        <w:p w14:paraId="32AC77BC" w14:textId="77777777" w:rsidR="00527BD4" w:rsidRPr="005819CE" w:rsidRDefault="006259F3" w:rsidP="00A50CF6">
          <w:pPr>
            <w:pStyle w:val="Huisstijl-Gegeven"/>
          </w:pPr>
          <w:r>
            <w:t>2025Z22165</w:t>
          </w:r>
        </w:p>
        <w:p w14:paraId="75A33313" w14:textId="77777777" w:rsidR="00527BD4" w:rsidRPr="005819CE" w:rsidRDefault="00527BD4" w:rsidP="00BC3F1A">
          <w:pPr>
            <w:pStyle w:val="Huisstijl-Kopje"/>
          </w:pPr>
        </w:p>
      </w:tc>
    </w:tr>
  </w:tbl>
  <w:p w14:paraId="2F2F107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6459" w:rsidRPr="007914FE" w14:paraId="14DCE06B" w14:textId="77777777" w:rsidTr="007610AA">
      <w:trPr>
        <w:trHeight w:val="400"/>
      </w:trPr>
      <w:tc>
        <w:tcPr>
          <w:tcW w:w="7520" w:type="dxa"/>
          <w:gridSpan w:val="2"/>
        </w:tcPr>
        <w:p w14:paraId="3B966CE8" w14:textId="77777777" w:rsidR="00527BD4" w:rsidRPr="007914FE" w:rsidRDefault="006259F3" w:rsidP="00A50CF6">
          <w:pPr>
            <w:pStyle w:val="Huisstijl-Retouradres"/>
            <w:rPr>
              <w:lang w:val="de-DE"/>
            </w:rPr>
          </w:pPr>
          <w:r w:rsidRPr="007914FE">
            <w:rPr>
              <w:lang w:val="de-DE"/>
            </w:rPr>
            <w:t>&gt; Retouradres Postbus 20401 2500 EK Den Haag</w:t>
          </w:r>
        </w:p>
      </w:tc>
    </w:tr>
    <w:tr w:rsidR="00746459" w:rsidRPr="007914FE" w14:paraId="4B807107" w14:textId="77777777" w:rsidTr="007610AA">
      <w:tc>
        <w:tcPr>
          <w:tcW w:w="7520" w:type="dxa"/>
          <w:gridSpan w:val="2"/>
        </w:tcPr>
        <w:p w14:paraId="789A1E11" w14:textId="77777777" w:rsidR="00527BD4" w:rsidRPr="007914FE" w:rsidRDefault="00527BD4" w:rsidP="00A50CF6">
          <w:pPr>
            <w:pStyle w:val="Huisstijl-Rubricering"/>
            <w:rPr>
              <w:lang w:val="de-DE"/>
            </w:rPr>
          </w:pPr>
        </w:p>
      </w:tc>
    </w:tr>
    <w:tr w:rsidR="00746459" w14:paraId="65A617BA" w14:textId="77777777" w:rsidTr="007610AA">
      <w:trPr>
        <w:trHeight w:hRule="exact" w:val="2440"/>
      </w:trPr>
      <w:tc>
        <w:tcPr>
          <w:tcW w:w="7520" w:type="dxa"/>
          <w:gridSpan w:val="2"/>
        </w:tcPr>
        <w:p w14:paraId="197D0751" w14:textId="77777777" w:rsidR="00527BD4" w:rsidRDefault="006259F3" w:rsidP="00A50CF6">
          <w:pPr>
            <w:pStyle w:val="Huisstijl-NAW"/>
          </w:pPr>
          <w:r>
            <w:t xml:space="preserve">De Voorzitter van de Tweede Kamer </w:t>
          </w:r>
        </w:p>
        <w:p w14:paraId="6C8E65DF" w14:textId="77777777" w:rsidR="00D87195" w:rsidRDefault="006259F3" w:rsidP="00D87195">
          <w:pPr>
            <w:pStyle w:val="Huisstijl-NAW"/>
          </w:pPr>
          <w:r>
            <w:t>der Staten-Generaal</w:t>
          </w:r>
        </w:p>
        <w:p w14:paraId="2DE705BD" w14:textId="77777777" w:rsidR="00EA0F13" w:rsidRDefault="006259F3" w:rsidP="00EA0F13">
          <w:pPr>
            <w:rPr>
              <w:szCs w:val="18"/>
            </w:rPr>
          </w:pPr>
          <w:r>
            <w:rPr>
              <w:szCs w:val="18"/>
            </w:rPr>
            <w:t>Prinses Irenestraat 6</w:t>
          </w:r>
        </w:p>
        <w:p w14:paraId="12D3E287" w14:textId="77777777" w:rsidR="00985E56" w:rsidRDefault="006259F3" w:rsidP="00EA0F13">
          <w:r>
            <w:rPr>
              <w:szCs w:val="18"/>
            </w:rPr>
            <w:t>2595 BD  DEN HAAG</w:t>
          </w:r>
        </w:p>
      </w:tc>
    </w:tr>
    <w:tr w:rsidR="00746459" w14:paraId="1F8C661B" w14:textId="77777777" w:rsidTr="007610AA">
      <w:trPr>
        <w:trHeight w:hRule="exact" w:val="400"/>
      </w:trPr>
      <w:tc>
        <w:tcPr>
          <w:tcW w:w="7520" w:type="dxa"/>
          <w:gridSpan w:val="2"/>
        </w:tcPr>
        <w:p w14:paraId="2FE92DB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6459" w14:paraId="5ED09224" w14:textId="77777777" w:rsidTr="007610AA">
      <w:trPr>
        <w:trHeight w:val="240"/>
      </w:trPr>
      <w:tc>
        <w:tcPr>
          <w:tcW w:w="900" w:type="dxa"/>
        </w:tcPr>
        <w:p w14:paraId="6835E75B" w14:textId="77777777" w:rsidR="00527BD4" w:rsidRPr="007709EF" w:rsidRDefault="006259F3" w:rsidP="00A50CF6">
          <w:pPr>
            <w:rPr>
              <w:szCs w:val="18"/>
            </w:rPr>
          </w:pPr>
          <w:r>
            <w:rPr>
              <w:szCs w:val="18"/>
            </w:rPr>
            <w:t>Datum</w:t>
          </w:r>
        </w:p>
      </w:tc>
      <w:tc>
        <w:tcPr>
          <w:tcW w:w="6620" w:type="dxa"/>
        </w:tcPr>
        <w:p w14:paraId="76F98E2F" w14:textId="1876FF3D" w:rsidR="00527BD4" w:rsidRPr="007709EF" w:rsidRDefault="006009EF" w:rsidP="00A50CF6">
          <w:r>
            <w:t>27 januari 2026</w:t>
          </w:r>
        </w:p>
      </w:tc>
    </w:tr>
    <w:tr w:rsidR="00746459" w14:paraId="43D3FAEC" w14:textId="77777777" w:rsidTr="007610AA">
      <w:trPr>
        <w:trHeight w:val="240"/>
      </w:trPr>
      <w:tc>
        <w:tcPr>
          <w:tcW w:w="900" w:type="dxa"/>
        </w:tcPr>
        <w:p w14:paraId="02834CAB" w14:textId="77777777" w:rsidR="00527BD4" w:rsidRPr="007709EF" w:rsidRDefault="006259F3" w:rsidP="00A50CF6">
          <w:pPr>
            <w:rPr>
              <w:szCs w:val="18"/>
            </w:rPr>
          </w:pPr>
          <w:r>
            <w:rPr>
              <w:szCs w:val="18"/>
            </w:rPr>
            <w:t>Betreft</w:t>
          </w:r>
        </w:p>
      </w:tc>
      <w:tc>
        <w:tcPr>
          <w:tcW w:w="6620" w:type="dxa"/>
        </w:tcPr>
        <w:p w14:paraId="0220EA95" w14:textId="3AA247A0" w:rsidR="00527BD4" w:rsidRPr="007709EF" w:rsidRDefault="00BC3F1A" w:rsidP="00A50CF6">
          <w:r>
            <w:t xml:space="preserve">Beantwoording </w:t>
          </w:r>
          <w:r w:rsidR="006259F3">
            <w:t>Kamervragen aangaande de zout- en gaswinning onder de Waddenzee</w:t>
          </w:r>
        </w:p>
      </w:tc>
    </w:tr>
  </w:tbl>
  <w:p w14:paraId="364E015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ACEF2FC">
      <w:start w:val="1"/>
      <w:numFmt w:val="bullet"/>
      <w:pStyle w:val="Lijstopsomteken"/>
      <w:lvlText w:val="•"/>
      <w:lvlJc w:val="left"/>
      <w:pPr>
        <w:tabs>
          <w:tab w:val="num" w:pos="227"/>
        </w:tabs>
        <w:ind w:left="227" w:hanging="227"/>
      </w:pPr>
      <w:rPr>
        <w:rFonts w:ascii="Verdana" w:hAnsi="Verdana" w:hint="default"/>
        <w:sz w:val="18"/>
        <w:szCs w:val="18"/>
      </w:rPr>
    </w:lvl>
    <w:lvl w:ilvl="1" w:tplc="4CAE33AC" w:tentative="1">
      <w:start w:val="1"/>
      <w:numFmt w:val="bullet"/>
      <w:lvlText w:val="o"/>
      <w:lvlJc w:val="left"/>
      <w:pPr>
        <w:tabs>
          <w:tab w:val="num" w:pos="1440"/>
        </w:tabs>
        <w:ind w:left="1440" w:hanging="360"/>
      </w:pPr>
      <w:rPr>
        <w:rFonts w:ascii="Courier New" w:hAnsi="Courier New" w:cs="Courier New" w:hint="default"/>
      </w:rPr>
    </w:lvl>
    <w:lvl w:ilvl="2" w:tplc="C270D610" w:tentative="1">
      <w:start w:val="1"/>
      <w:numFmt w:val="bullet"/>
      <w:lvlText w:val=""/>
      <w:lvlJc w:val="left"/>
      <w:pPr>
        <w:tabs>
          <w:tab w:val="num" w:pos="2160"/>
        </w:tabs>
        <w:ind w:left="2160" w:hanging="360"/>
      </w:pPr>
      <w:rPr>
        <w:rFonts w:ascii="Wingdings" w:hAnsi="Wingdings" w:hint="default"/>
      </w:rPr>
    </w:lvl>
    <w:lvl w:ilvl="3" w:tplc="BA5CF41C" w:tentative="1">
      <w:start w:val="1"/>
      <w:numFmt w:val="bullet"/>
      <w:lvlText w:val=""/>
      <w:lvlJc w:val="left"/>
      <w:pPr>
        <w:tabs>
          <w:tab w:val="num" w:pos="2880"/>
        </w:tabs>
        <w:ind w:left="2880" w:hanging="360"/>
      </w:pPr>
      <w:rPr>
        <w:rFonts w:ascii="Symbol" w:hAnsi="Symbol" w:hint="default"/>
      </w:rPr>
    </w:lvl>
    <w:lvl w:ilvl="4" w:tplc="614E8C28" w:tentative="1">
      <w:start w:val="1"/>
      <w:numFmt w:val="bullet"/>
      <w:lvlText w:val="o"/>
      <w:lvlJc w:val="left"/>
      <w:pPr>
        <w:tabs>
          <w:tab w:val="num" w:pos="3600"/>
        </w:tabs>
        <w:ind w:left="3600" w:hanging="360"/>
      </w:pPr>
      <w:rPr>
        <w:rFonts w:ascii="Courier New" w:hAnsi="Courier New" w:cs="Courier New" w:hint="default"/>
      </w:rPr>
    </w:lvl>
    <w:lvl w:ilvl="5" w:tplc="68D40736" w:tentative="1">
      <w:start w:val="1"/>
      <w:numFmt w:val="bullet"/>
      <w:lvlText w:val=""/>
      <w:lvlJc w:val="left"/>
      <w:pPr>
        <w:tabs>
          <w:tab w:val="num" w:pos="4320"/>
        </w:tabs>
        <w:ind w:left="4320" w:hanging="360"/>
      </w:pPr>
      <w:rPr>
        <w:rFonts w:ascii="Wingdings" w:hAnsi="Wingdings" w:hint="default"/>
      </w:rPr>
    </w:lvl>
    <w:lvl w:ilvl="6" w:tplc="FAD8CBD4" w:tentative="1">
      <w:start w:val="1"/>
      <w:numFmt w:val="bullet"/>
      <w:lvlText w:val=""/>
      <w:lvlJc w:val="left"/>
      <w:pPr>
        <w:tabs>
          <w:tab w:val="num" w:pos="5040"/>
        </w:tabs>
        <w:ind w:left="5040" w:hanging="360"/>
      </w:pPr>
      <w:rPr>
        <w:rFonts w:ascii="Symbol" w:hAnsi="Symbol" w:hint="default"/>
      </w:rPr>
    </w:lvl>
    <w:lvl w:ilvl="7" w:tplc="0BA03B10" w:tentative="1">
      <w:start w:val="1"/>
      <w:numFmt w:val="bullet"/>
      <w:lvlText w:val="o"/>
      <w:lvlJc w:val="left"/>
      <w:pPr>
        <w:tabs>
          <w:tab w:val="num" w:pos="5760"/>
        </w:tabs>
        <w:ind w:left="5760" w:hanging="360"/>
      </w:pPr>
      <w:rPr>
        <w:rFonts w:ascii="Courier New" w:hAnsi="Courier New" w:cs="Courier New" w:hint="default"/>
      </w:rPr>
    </w:lvl>
    <w:lvl w:ilvl="8" w:tplc="3424C6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2E4CAE8">
      <w:start w:val="1"/>
      <w:numFmt w:val="bullet"/>
      <w:pStyle w:val="Lijstopsomteken2"/>
      <w:lvlText w:val="–"/>
      <w:lvlJc w:val="left"/>
      <w:pPr>
        <w:tabs>
          <w:tab w:val="num" w:pos="227"/>
        </w:tabs>
        <w:ind w:left="227" w:firstLine="0"/>
      </w:pPr>
      <w:rPr>
        <w:rFonts w:ascii="Verdana" w:hAnsi="Verdana" w:hint="default"/>
      </w:rPr>
    </w:lvl>
    <w:lvl w:ilvl="1" w:tplc="9D06943E" w:tentative="1">
      <w:start w:val="1"/>
      <w:numFmt w:val="bullet"/>
      <w:lvlText w:val="o"/>
      <w:lvlJc w:val="left"/>
      <w:pPr>
        <w:tabs>
          <w:tab w:val="num" w:pos="1440"/>
        </w:tabs>
        <w:ind w:left="1440" w:hanging="360"/>
      </w:pPr>
      <w:rPr>
        <w:rFonts w:ascii="Courier New" w:hAnsi="Courier New" w:cs="Courier New" w:hint="default"/>
      </w:rPr>
    </w:lvl>
    <w:lvl w:ilvl="2" w:tplc="8FEA857E" w:tentative="1">
      <w:start w:val="1"/>
      <w:numFmt w:val="bullet"/>
      <w:lvlText w:val=""/>
      <w:lvlJc w:val="left"/>
      <w:pPr>
        <w:tabs>
          <w:tab w:val="num" w:pos="2160"/>
        </w:tabs>
        <w:ind w:left="2160" w:hanging="360"/>
      </w:pPr>
      <w:rPr>
        <w:rFonts w:ascii="Wingdings" w:hAnsi="Wingdings" w:hint="default"/>
      </w:rPr>
    </w:lvl>
    <w:lvl w:ilvl="3" w:tplc="B59A4ECA" w:tentative="1">
      <w:start w:val="1"/>
      <w:numFmt w:val="bullet"/>
      <w:lvlText w:val=""/>
      <w:lvlJc w:val="left"/>
      <w:pPr>
        <w:tabs>
          <w:tab w:val="num" w:pos="2880"/>
        </w:tabs>
        <w:ind w:left="2880" w:hanging="360"/>
      </w:pPr>
      <w:rPr>
        <w:rFonts w:ascii="Symbol" w:hAnsi="Symbol" w:hint="default"/>
      </w:rPr>
    </w:lvl>
    <w:lvl w:ilvl="4" w:tplc="EB7A6754" w:tentative="1">
      <w:start w:val="1"/>
      <w:numFmt w:val="bullet"/>
      <w:lvlText w:val="o"/>
      <w:lvlJc w:val="left"/>
      <w:pPr>
        <w:tabs>
          <w:tab w:val="num" w:pos="3600"/>
        </w:tabs>
        <w:ind w:left="3600" w:hanging="360"/>
      </w:pPr>
      <w:rPr>
        <w:rFonts w:ascii="Courier New" w:hAnsi="Courier New" w:cs="Courier New" w:hint="default"/>
      </w:rPr>
    </w:lvl>
    <w:lvl w:ilvl="5" w:tplc="8DDA6940" w:tentative="1">
      <w:start w:val="1"/>
      <w:numFmt w:val="bullet"/>
      <w:lvlText w:val=""/>
      <w:lvlJc w:val="left"/>
      <w:pPr>
        <w:tabs>
          <w:tab w:val="num" w:pos="4320"/>
        </w:tabs>
        <w:ind w:left="4320" w:hanging="360"/>
      </w:pPr>
      <w:rPr>
        <w:rFonts w:ascii="Wingdings" w:hAnsi="Wingdings" w:hint="default"/>
      </w:rPr>
    </w:lvl>
    <w:lvl w:ilvl="6" w:tplc="2FC27DEE" w:tentative="1">
      <w:start w:val="1"/>
      <w:numFmt w:val="bullet"/>
      <w:lvlText w:val=""/>
      <w:lvlJc w:val="left"/>
      <w:pPr>
        <w:tabs>
          <w:tab w:val="num" w:pos="5040"/>
        </w:tabs>
        <w:ind w:left="5040" w:hanging="360"/>
      </w:pPr>
      <w:rPr>
        <w:rFonts w:ascii="Symbol" w:hAnsi="Symbol" w:hint="default"/>
      </w:rPr>
    </w:lvl>
    <w:lvl w:ilvl="7" w:tplc="8464704E" w:tentative="1">
      <w:start w:val="1"/>
      <w:numFmt w:val="bullet"/>
      <w:lvlText w:val="o"/>
      <w:lvlJc w:val="left"/>
      <w:pPr>
        <w:tabs>
          <w:tab w:val="num" w:pos="5760"/>
        </w:tabs>
        <w:ind w:left="5760" w:hanging="360"/>
      </w:pPr>
      <w:rPr>
        <w:rFonts w:ascii="Courier New" w:hAnsi="Courier New" w:cs="Courier New" w:hint="default"/>
      </w:rPr>
    </w:lvl>
    <w:lvl w:ilvl="8" w:tplc="F2F8A2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7043119">
    <w:abstractNumId w:val="10"/>
  </w:num>
  <w:num w:numId="2" w16cid:durableId="305089518">
    <w:abstractNumId w:val="7"/>
  </w:num>
  <w:num w:numId="3" w16cid:durableId="1044792938">
    <w:abstractNumId w:val="6"/>
  </w:num>
  <w:num w:numId="4" w16cid:durableId="1294628869">
    <w:abstractNumId w:val="5"/>
  </w:num>
  <w:num w:numId="5" w16cid:durableId="1253079275">
    <w:abstractNumId w:val="4"/>
  </w:num>
  <w:num w:numId="6" w16cid:durableId="499932138">
    <w:abstractNumId w:val="8"/>
  </w:num>
  <w:num w:numId="7" w16cid:durableId="704982645">
    <w:abstractNumId w:val="3"/>
  </w:num>
  <w:num w:numId="8" w16cid:durableId="1835417557">
    <w:abstractNumId w:val="2"/>
  </w:num>
  <w:num w:numId="9" w16cid:durableId="34430414">
    <w:abstractNumId w:val="1"/>
  </w:num>
  <w:num w:numId="10" w16cid:durableId="806043712">
    <w:abstractNumId w:val="0"/>
  </w:num>
  <w:num w:numId="11" w16cid:durableId="1745177557">
    <w:abstractNumId w:val="9"/>
  </w:num>
  <w:num w:numId="12" w16cid:durableId="2147311438">
    <w:abstractNumId w:val="11"/>
  </w:num>
  <w:num w:numId="13" w16cid:durableId="1176112297">
    <w:abstractNumId w:val="13"/>
  </w:num>
  <w:num w:numId="14" w16cid:durableId="19915979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CE7"/>
    <w:rsid w:val="000A0F36"/>
    <w:rsid w:val="000A174A"/>
    <w:rsid w:val="000A20E1"/>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55566"/>
    <w:rsid w:val="00260A5B"/>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C6E2E"/>
    <w:rsid w:val="002D001A"/>
    <w:rsid w:val="002D0DDB"/>
    <w:rsid w:val="002D28E2"/>
    <w:rsid w:val="002D317B"/>
    <w:rsid w:val="002D3587"/>
    <w:rsid w:val="002D502D"/>
    <w:rsid w:val="002E0F69"/>
    <w:rsid w:val="002F5147"/>
    <w:rsid w:val="002F7ABD"/>
    <w:rsid w:val="00312597"/>
    <w:rsid w:val="00312BF1"/>
    <w:rsid w:val="00322A70"/>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6D"/>
    <w:rsid w:val="00383DA1"/>
    <w:rsid w:val="00385F30"/>
    <w:rsid w:val="00393696"/>
    <w:rsid w:val="00393963"/>
    <w:rsid w:val="00395575"/>
    <w:rsid w:val="00395672"/>
    <w:rsid w:val="003A06C8"/>
    <w:rsid w:val="003A0D7C"/>
    <w:rsid w:val="003A5290"/>
    <w:rsid w:val="003B0155"/>
    <w:rsid w:val="003B2DA6"/>
    <w:rsid w:val="003B3E22"/>
    <w:rsid w:val="003B7EE7"/>
    <w:rsid w:val="003C2CCB"/>
    <w:rsid w:val="003D1726"/>
    <w:rsid w:val="003D39EC"/>
    <w:rsid w:val="003D5DED"/>
    <w:rsid w:val="003E3DD5"/>
    <w:rsid w:val="003F07C6"/>
    <w:rsid w:val="003F1F6B"/>
    <w:rsid w:val="003F3757"/>
    <w:rsid w:val="003F38BD"/>
    <w:rsid w:val="003F44B7"/>
    <w:rsid w:val="003F4DE5"/>
    <w:rsid w:val="004008E9"/>
    <w:rsid w:val="00406457"/>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41C7"/>
    <w:rsid w:val="005E6FDA"/>
    <w:rsid w:val="005F0D54"/>
    <w:rsid w:val="005F62D3"/>
    <w:rsid w:val="005F6D11"/>
    <w:rsid w:val="006009EF"/>
    <w:rsid w:val="00600CF0"/>
    <w:rsid w:val="006048F4"/>
    <w:rsid w:val="0060660A"/>
    <w:rsid w:val="006077D9"/>
    <w:rsid w:val="00613B1D"/>
    <w:rsid w:val="00614B11"/>
    <w:rsid w:val="00617A44"/>
    <w:rsid w:val="006202B6"/>
    <w:rsid w:val="006259F3"/>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6459"/>
    <w:rsid w:val="00747885"/>
    <w:rsid w:val="00751A6A"/>
    <w:rsid w:val="00754FBF"/>
    <w:rsid w:val="007610AA"/>
    <w:rsid w:val="007709EF"/>
    <w:rsid w:val="00782701"/>
    <w:rsid w:val="00783559"/>
    <w:rsid w:val="007914FE"/>
    <w:rsid w:val="0079551B"/>
    <w:rsid w:val="00797AA5"/>
    <w:rsid w:val="007A26BD"/>
    <w:rsid w:val="007A4105"/>
    <w:rsid w:val="007B4503"/>
    <w:rsid w:val="007C406E"/>
    <w:rsid w:val="007C5183"/>
    <w:rsid w:val="007C53DC"/>
    <w:rsid w:val="007C7573"/>
    <w:rsid w:val="007E2B20"/>
    <w:rsid w:val="007F3645"/>
    <w:rsid w:val="007F3A3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C6B1A"/>
    <w:rsid w:val="008D43B5"/>
    <w:rsid w:val="008E0B3F"/>
    <w:rsid w:val="008E49AD"/>
    <w:rsid w:val="008E698E"/>
    <w:rsid w:val="008F2584"/>
    <w:rsid w:val="008F3246"/>
    <w:rsid w:val="008F3C1B"/>
    <w:rsid w:val="008F508C"/>
    <w:rsid w:val="008F5103"/>
    <w:rsid w:val="00901BE9"/>
    <w:rsid w:val="0090271B"/>
    <w:rsid w:val="00910642"/>
    <w:rsid w:val="00910DDF"/>
    <w:rsid w:val="00923CBD"/>
    <w:rsid w:val="00926AE2"/>
    <w:rsid w:val="00930B13"/>
    <w:rsid w:val="009311C8"/>
    <w:rsid w:val="00933376"/>
    <w:rsid w:val="00933A2F"/>
    <w:rsid w:val="00943529"/>
    <w:rsid w:val="00962C44"/>
    <w:rsid w:val="009716D8"/>
    <w:rsid w:val="009718F9"/>
    <w:rsid w:val="00971F42"/>
    <w:rsid w:val="00972FB9"/>
    <w:rsid w:val="00975112"/>
    <w:rsid w:val="00981768"/>
    <w:rsid w:val="00983E8F"/>
    <w:rsid w:val="00985E56"/>
    <w:rsid w:val="0098788A"/>
    <w:rsid w:val="00994FDA"/>
    <w:rsid w:val="009A31BF"/>
    <w:rsid w:val="009A3B71"/>
    <w:rsid w:val="009A4219"/>
    <w:rsid w:val="009A61BC"/>
    <w:rsid w:val="009B0138"/>
    <w:rsid w:val="009B0FE9"/>
    <w:rsid w:val="009B173A"/>
    <w:rsid w:val="009C3F20"/>
    <w:rsid w:val="009C7CA1"/>
    <w:rsid w:val="009C7FB2"/>
    <w:rsid w:val="009D043D"/>
    <w:rsid w:val="009D770C"/>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4E4"/>
    <w:rsid w:val="00A50CF6"/>
    <w:rsid w:val="00A56946"/>
    <w:rsid w:val="00A6170E"/>
    <w:rsid w:val="00A63B8C"/>
    <w:rsid w:val="00A65757"/>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3619A"/>
    <w:rsid w:val="00B425F0"/>
    <w:rsid w:val="00B42DFA"/>
    <w:rsid w:val="00B531DD"/>
    <w:rsid w:val="00B55014"/>
    <w:rsid w:val="00B55136"/>
    <w:rsid w:val="00B60E1F"/>
    <w:rsid w:val="00B62232"/>
    <w:rsid w:val="00B70BF3"/>
    <w:rsid w:val="00B71DC2"/>
    <w:rsid w:val="00B849F5"/>
    <w:rsid w:val="00B91CFC"/>
    <w:rsid w:val="00B93893"/>
    <w:rsid w:val="00BA1397"/>
    <w:rsid w:val="00BA51E1"/>
    <w:rsid w:val="00BA7E0A"/>
    <w:rsid w:val="00BC2C00"/>
    <w:rsid w:val="00BC3B53"/>
    <w:rsid w:val="00BC3B96"/>
    <w:rsid w:val="00BC3F1A"/>
    <w:rsid w:val="00BC4AA2"/>
    <w:rsid w:val="00BC4AE3"/>
    <w:rsid w:val="00BC5B28"/>
    <w:rsid w:val="00BD2370"/>
    <w:rsid w:val="00BD2A30"/>
    <w:rsid w:val="00BE3F88"/>
    <w:rsid w:val="00BE4756"/>
    <w:rsid w:val="00BE5ED9"/>
    <w:rsid w:val="00BE7B41"/>
    <w:rsid w:val="00BF0696"/>
    <w:rsid w:val="00C15A91"/>
    <w:rsid w:val="00C206F1"/>
    <w:rsid w:val="00C217E1"/>
    <w:rsid w:val="00C219B1"/>
    <w:rsid w:val="00C4015B"/>
    <w:rsid w:val="00C40C60"/>
    <w:rsid w:val="00C435ED"/>
    <w:rsid w:val="00C5258E"/>
    <w:rsid w:val="00C530C9"/>
    <w:rsid w:val="00C619A7"/>
    <w:rsid w:val="00C73D5F"/>
    <w:rsid w:val="00C76CA1"/>
    <w:rsid w:val="00C82AFE"/>
    <w:rsid w:val="00C83DBC"/>
    <w:rsid w:val="00C97C80"/>
    <w:rsid w:val="00CA47D3"/>
    <w:rsid w:val="00CA6533"/>
    <w:rsid w:val="00CA6A25"/>
    <w:rsid w:val="00CA6A3F"/>
    <w:rsid w:val="00CA7C99"/>
    <w:rsid w:val="00CC6290"/>
    <w:rsid w:val="00CC6702"/>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2855"/>
    <w:rsid w:val="00D516BE"/>
    <w:rsid w:val="00D5423B"/>
    <w:rsid w:val="00D54E6A"/>
    <w:rsid w:val="00D54F4E"/>
    <w:rsid w:val="00D57A56"/>
    <w:rsid w:val="00D604B3"/>
    <w:rsid w:val="00D60BA4"/>
    <w:rsid w:val="00D62419"/>
    <w:rsid w:val="00D70ECA"/>
    <w:rsid w:val="00D77870"/>
    <w:rsid w:val="00D80977"/>
    <w:rsid w:val="00D80CCE"/>
    <w:rsid w:val="00D86EEA"/>
    <w:rsid w:val="00D87195"/>
    <w:rsid w:val="00D87D03"/>
    <w:rsid w:val="00D93282"/>
    <w:rsid w:val="00D9360B"/>
    <w:rsid w:val="00D95C88"/>
    <w:rsid w:val="00D97B2E"/>
    <w:rsid w:val="00DA241E"/>
    <w:rsid w:val="00DB36FE"/>
    <w:rsid w:val="00DB533A"/>
    <w:rsid w:val="00DB60AE"/>
    <w:rsid w:val="00DB6307"/>
    <w:rsid w:val="00DB7872"/>
    <w:rsid w:val="00DC66E7"/>
    <w:rsid w:val="00DD1DCD"/>
    <w:rsid w:val="00DD338F"/>
    <w:rsid w:val="00DD66F2"/>
    <w:rsid w:val="00DE3FE0"/>
    <w:rsid w:val="00DE430C"/>
    <w:rsid w:val="00DE578A"/>
    <w:rsid w:val="00DE58D0"/>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3BD0"/>
    <w:rsid w:val="00E85090"/>
    <w:rsid w:val="00E850D3"/>
    <w:rsid w:val="00E853D6"/>
    <w:rsid w:val="00E876B9"/>
    <w:rsid w:val="00EA0F13"/>
    <w:rsid w:val="00EA7A0A"/>
    <w:rsid w:val="00EB45B7"/>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1402"/>
    <w:rsid w:val="00F03963"/>
    <w:rsid w:val="00F06237"/>
    <w:rsid w:val="00F11068"/>
    <w:rsid w:val="00F11E7C"/>
    <w:rsid w:val="00F1256D"/>
    <w:rsid w:val="00F13A4E"/>
    <w:rsid w:val="00F172BB"/>
    <w:rsid w:val="00F17B10"/>
    <w:rsid w:val="00F21BEF"/>
    <w:rsid w:val="00F2315B"/>
    <w:rsid w:val="00F316ED"/>
    <w:rsid w:val="00F41A6F"/>
    <w:rsid w:val="00F4553F"/>
    <w:rsid w:val="00F45A25"/>
    <w:rsid w:val="00F50F86"/>
    <w:rsid w:val="00F53F91"/>
    <w:rsid w:val="00F61569"/>
    <w:rsid w:val="00F61A72"/>
    <w:rsid w:val="00F62B67"/>
    <w:rsid w:val="00F66F13"/>
    <w:rsid w:val="00F74073"/>
    <w:rsid w:val="00F75603"/>
    <w:rsid w:val="00F845B4"/>
    <w:rsid w:val="00F85B91"/>
    <w:rsid w:val="00F8713B"/>
    <w:rsid w:val="00F93F9E"/>
    <w:rsid w:val="00FA2CD7"/>
    <w:rsid w:val="00FB06ED"/>
    <w:rsid w:val="00FC2311"/>
    <w:rsid w:val="00FC3165"/>
    <w:rsid w:val="00FC36AB"/>
    <w:rsid w:val="00FC4300"/>
    <w:rsid w:val="00FC7F66"/>
    <w:rsid w:val="00FD5776"/>
    <w:rsid w:val="00FE1CB6"/>
    <w:rsid w:val="00FE4361"/>
    <w:rsid w:val="00FE486B"/>
    <w:rsid w:val="00FE4F08"/>
    <w:rsid w:val="00FE7F4B"/>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8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C76CA1"/>
    <w:rPr>
      <w:sz w:val="16"/>
      <w:szCs w:val="16"/>
    </w:rPr>
  </w:style>
  <w:style w:type="paragraph" w:styleId="Tekstopmerking">
    <w:name w:val="annotation text"/>
    <w:basedOn w:val="Standaard"/>
    <w:link w:val="TekstopmerkingChar"/>
    <w:uiPriority w:val="99"/>
    <w:unhideWhenUsed/>
    <w:rsid w:val="00C76CA1"/>
    <w:pPr>
      <w:spacing w:after="160" w:line="240" w:lineRule="auto"/>
    </w:pPr>
    <w:rPr>
      <w:rFonts w:ascii="Aptos" w:eastAsia="Aptos" w:hAnsi="Aptos"/>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76CA1"/>
    <w:rPr>
      <w:rFonts w:ascii="Aptos" w:eastAsia="Aptos" w:hAnsi="Aptos"/>
      <w:kern w:val="2"/>
      <w:lang w:val="nl-NL"/>
      <w14:ligatures w14:val="standardContextual"/>
    </w:rPr>
  </w:style>
  <w:style w:type="character" w:styleId="Voetnootmarkering">
    <w:name w:val="footnote reference"/>
    <w:basedOn w:val="Standaardalinea-lettertype"/>
    <w:semiHidden/>
    <w:unhideWhenUsed/>
    <w:rsid w:val="00C76CA1"/>
    <w:rPr>
      <w:vertAlign w:val="superscript"/>
    </w:rPr>
  </w:style>
  <w:style w:type="paragraph" w:styleId="Onderwerpvanopmerking">
    <w:name w:val="annotation subject"/>
    <w:basedOn w:val="Tekstopmerking"/>
    <w:next w:val="Tekstopmerking"/>
    <w:link w:val="OnderwerpvanopmerkingChar"/>
    <w:semiHidden/>
    <w:unhideWhenUsed/>
    <w:rsid w:val="007914FE"/>
    <w:pPr>
      <w:spacing w:after="0"/>
    </w:pPr>
    <w:rPr>
      <w:rFonts w:ascii="Verdana" w:eastAsia="Times New Roman" w:hAnsi="Verdana"/>
      <w:b/>
      <w:bCs/>
      <w:kern w:val="0"/>
      <w:lang w:eastAsia="nl-NL"/>
      <w14:ligatures w14:val="none"/>
    </w:rPr>
  </w:style>
  <w:style w:type="character" w:customStyle="1" w:styleId="OnderwerpvanopmerkingChar">
    <w:name w:val="Onderwerp van opmerking Char"/>
    <w:basedOn w:val="TekstopmerkingChar"/>
    <w:link w:val="Onderwerpvanopmerking"/>
    <w:semiHidden/>
    <w:rsid w:val="007914FE"/>
    <w:rPr>
      <w:rFonts w:ascii="Verdana" w:eastAsia="Aptos" w:hAnsi="Verdana"/>
      <w:b/>
      <w:bCs/>
      <w:kern w:val="2"/>
      <w:lang w:val="nl-NL" w:eastAsia="nl-NL"/>
      <w14:ligatures w14:val="standardContextual"/>
    </w:rPr>
  </w:style>
  <w:style w:type="paragraph" w:styleId="Revisie">
    <w:name w:val="Revision"/>
    <w:hidden/>
    <w:uiPriority w:val="99"/>
    <w:semiHidden/>
    <w:rsid w:val="00FE7F4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936AD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34AB7"/>
    <w:rsid w:val="00042A5B"/>
    <w:rsid w:val="00211C74"/>
    <w:rsid w:val="00260A5B"/>
    <w:rsid w:val="002C6E2E"/>
    <w:rsid w:val="003B2DA6"/>
    <w:rsid w:val="003B3E22"/>
    <w:rsid w:val="004C4F26"/>
    <w:rsid w:val="00573A88"/>
    <w:rsid w:val="005E41C7"/>
    <w:rsid w:val="00614B11"/>
    <w:rsid w:val="00912FB0"/>
    <w:rsid w:val="00930D92"/>
    <w:rsid w:val="00936ADE"/>
    <w:rsid w:val="00A22FC5"/>
    <w:rsid w:val="00A504E4"/>
    <w:rsid w:val="00A65757"/>
    <w:rsid w:val="00B23C77"/>
    <w:rsid w:val="00B3619A"/>
    <w:rsid w:val="00B5286B"/>
    <w:rsid w:val="00B60E1F"/>
    <w:rsid w:val="00B64872"/>
    <w:rsid w:val="00BB4AA2"/>
    <w:rsid w:val="00BD2A30"/>
    <w:rsid w:val="00C861AD"/>
    <w:rsid w:val="00D8475C"/>
    <w:rsid w:val="00DC66E7"/>
    <w:rsid w:val="00F06237"/>
    <w:rsid w:val="00F21DEB"/>
    <w:rsid w:val="00F85B91"/>
    <w:rsid w:val="00FE43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1678</ap:Words>
  <ap:Characters>9233</ap:Characters>
  <ap:DocSecurity>0</ap:DocSecurity>
  <ap:Lines>76</ap:Lines>
  <ap:Paragraphs>21</ap:Paragraphs>
  <ap:ScaleCrop>false</ap:ScaleCrop>
  <ap:LinksUpToDate>false</ap:LinksUpToDate>
  <ap:CharactersWithSpaces>10890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2026-01-27T15:04:00.0000000Z</dcterms:created>
  <dcterms:modified xsi:type="dcterms:W3CDTF">2026-01-27T15:04:00.0000000Z</dcterms:modified>
  <dc:description>------------------------</dc:description>
  <dc:subject/>
  <keywords/>
  <version/>
  <category/>
</coreProperties>
</file>