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0BF" w:rsidP="00C020BF" w:rsidRDefault="00C020BF" w14:paraId="069C1E5C" w14:textId="3F41CADC">
      <w:pPr>
        <w:suppressAutoHyphens/>
      </w:pPr>
      <w:r>
        <w:t>AH 980</w:t>
      </w:r>
    </w:p>
    <w:p w:rsidR="00C020BF" w:rsidP="00C020BF" w:rsidRDefault="00C020BF" w14:paraId="37A7B3A8" w14:textId="25314BE3">
      <w:pPr>
        <w:suppressAutoHyphens/>
      </w:pPr>
      <w:r>
        <w:t>2025Z22551</w:t>
      </w:r>
    </w:p>
    <w:p w:rsidRPr="00C020BF" w:rsidR="00C020BF" w:rsidP="00C020BF" w:rsidRDefault="00C020BF" w14:paraId="79E190A3" w14:textId="4CC71FE9">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sz w:val="24"/>
          <w:szCs w:val="24"/>
        </w:rPr>
        <w:t xml:space="preserve"> 28 januari 2026)</w:t>
      </w:r>
    </w:p>
    <w:p w:rsidR="00C020BF" w:rsidP="00C020BF" w:rsidRDefault="00C020BF" w14:paraId="2BEE9C5D" w14:textId="77777777">
      <w:pPr>
        <w:suppressAutoHyphens/>
      </w:pPr>
    </w:p>
    <w:p w:rsidR="00C020BF" w:rsidP="00C020BF" w:rsidRDefault="00C020BF" w14:paraId="771DE51B" w14:textId="77777777">
      <w:pPr>
        <w:suppressAutoHyphens/>
      </w:pPr>
    </w:p>
    <w:p w:rsidRPr="00C020BF" w:rsidR="00C020BF" w:rsidP="00C020BF" w:rsidRDefault="00C020BF" w14:paraId="6CA4616B" w14:textId="075AFDC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811</w:t>
      </w:r>
    </w:p>
    <w:p w:rsidR="00C020BF" w:rsidP="00C020BF" w:rsidRDefault="00C020BF" w14:paraId="2E457422" w14:textId="77777777">
      <w:pPr>
        <w:suppressAutoHyphens/>
      </w:pPr>
      <w:r>
        <w:t>Vraag 1</w:t>
      </w:r>
    </w:p>
    <w:p w:rsidR="00C020BF" w:rsidP="00C020BF" w:rsidRDefault="00C020BF" w14:paraId="3985057B" w14:textId="77777777">
      <w:pPr>
        <w:suppressAutoHyphens/>
      </w:pPr>
      <w:r>
        <w:t>Bent u bekend met het bericht ‘Toch geen bufferzone voor demonstranten rond abortusklinieken, Keijzer (BBB) wil het niet’?</w:t>
      </w:r>
      <w:r>
        <w:rPr>
          <w:rStyle w:val="Voetnootmarkering"/>
        </w:rPr>
        <w:footnoteReference w:id="1"/>
      </w:r>
      <w:r>
        <w:t xml:space="preserve"> </w:t>
      </w:r>
    </w:p>
    <w:p w:rsidR="00C020BF" w:rsidP="00C020BF" w:rsidRDefault="00C020BF" w14:paraId="3F302450" w14:textId="77777777">
      <w:pPr>
        <w:suppressAutoHyphens/>
      </w:pPr>
    </w:p>
    <w:p w:rsidR="00C020BF" w:rsidP="00C020BF" w:rsidRDefault="00C020BF" w14:paraId="34EDE8BB" w14:textId="77777777">
      <w:pPr>
        <w:suppressAutoHyphens/>
      </w:pPr>
      <w:r>
        <w:t>Antwoord vraag 1</w:t>
      </w:r>
    </w:p>
    <w:p w:rsidR="00C020BF" w:rsidP="00C020BF" w:rsidRDefault="00C020BF" w14:paraId="26061558" w14:textId="77777777">
      <w:pPr>
        <w:suppressAutoHyphens/>
      </w:pPr>
      <w:r>
        <w:t>Ja.</w:t>
      </w:r>
    </w:p>
    <w:p w:rsidR="00C020BF" w:rsidP="00C020BF" w:rsidRDefault="00C020BF" w14:paraId="526D886A" w14:textId="77777777">
      <w:pPr>
        <w:suppressAutoHyphens/>
      </w:pPr>
    </w:p>
    <w:p w:rsidR="00C020BF" w:rsidP="00C020BF" w:rsidRDefault="00C020BF" w14:paraId="4F17343B" w14:textId="77777777">
      <w:pPr>
        <w:suppressAutoHyphens/>
      </w:pPr>
      <w:r>
        <w:t>Vraag 2</w:t>
      </w:r>
    </w:p>
    <w:p w:rsidR="00C020BF" w:rsidP="00C020BF" w:rsidRDefault="00C020BF" w14:paraId="483BA096" w14:textId="77777777">
      <w:pPr>
        <w:suppressAutoHyphens/>
      </w:pPr>
      <w:r>
        <w:t>Deelt u de mening dat iedereen altijd toegang zou moeten hebben tot zorg en zij hierin niet belemmerd zouden mogen worden door intimidatie? Zo ja, kunt u dit nader onderbouwen? Zo nee, waarom niet?</w:t>
      </w:r>
    </w:p>
    <w:p w:rsidR="00C020BF" w:rsidP="00C020BF" w:rsidRDefault="00C020BF" w14:paraId="328C7C93" w14:textId="77777777">
      <w:pPr>
        <w:suppressAutoHyphens/>
      </w:pPr>
    </w:p>
    <w:p w:rsidR="00C020BF" w:rsidP="00C020BF" w:rsidRDefault="00C020BF" w14:paraId="5293E453" w14:textId="77777777">
      <w:pPr>
        <w:suppressAutoHyphens/>
      </w:pPr>
      <w:r>
        <w:t>Vraag 3</w:t>
      </w:r>
    </w:p>
    <w:p w:rsidR="00C020BF" w:rsidP="00C020BF" w:rsidRDefault="00C020BF" w14:paraId="0EAB2497" w14:textId="77777777">
      <w:pPr>
        <w:suppressAutoHyphens/>
      </w:pPr>
      <w:r>
        <w:t>Deelt u de mening dat iedereen vrij en veilig toegang zou moeten hebben tot abortuszorg en dat deze toegang onder druk wordt gezet door intimiderend gedrag bij de klinieken? Zo ja, kunt u dit nader onderbouwen? Zo nee, waarom niet?</w:t>
      </w:r>
    </w:p>
    <w:p w:rsidR="00C020BF" w:rsidP="00C020BF" w:rsidRDefault="00C020BF" w14:paraId="56A75F90" w14:textId="77777777">
      <w:pPr>
        <w:suppressAutoHyphens/>
      </w:pPr>
    </w:p>
    <w:p w:rsidR="00C020BF" w:rsidP="00C020BF" w:rsidRDefault="00C020BF" w14:paraId="6E0A05AE" w14:textId="77777777">
      <w:pPr>
        <w:suppressAutoHyphens/>
      </w:pPr>
      <w:r>
        <w:t>Antwoord vraag 2 en 3.</w:t>
      </w:r>
    </w:p>
    <w:p w:rsidR="00C020BF" w:rsidP="00C020BF" w:rsidRDefault="00C020BF" w14:paraId="1188D368" w14:textId="77777777">
      <w:pPr>
        <w:suppressAutoHyphens/>
      </w:pPr>
      <w:r>
        <w:t xml:space="preserve">Ik deel de mening dat iedereen vrije en veilige toegang tot zorg, waaronder abortuszorg moet hebben. Het belemmeren van de toegang tot een kliniek of het intimideren van bezoekers of werknemers, is onacceptabel. Het is aan het lokale gezag om demonstraties in goede banen te leiden, en daarbij de toegang tot een abortuskliniek te waarborgen. </w:t>
      </w:r>
    </w:p>
    <w:p w:rsidR="00C020BF" w:rsidP="00C020BF" w:rsidRDefault="00C020BF" w14:paraId="49230589" w14:textId="77777777">
      <w:pPr>
        <w:suppressAutoHyphens/>
      </w:pPr>
    </w:p>
    <w:p w:rsidR="00C020BF" w:rsidP="00C020BF" w:rsidRDefault="00C020BF" w14:paraId="5F9840EB" w14:textId="77777777">
      <w:pPr>
        <w:suppressAutoHyphens/>
      </w:pPr>
      <w:r>
        <w:t>Vraag 4</w:t>
      </w:r>
    </w:p>
    <w:p w:rsidR="00C020BF" w:rsidP="00C020BF" w:rsidRDefault="00C020BF" w14:paraId="6EFF63A4" w14:textId="77777777">
      <w:pPr>
        <w:suppressAutoHyphens/>
      </w:pPr>
      <w:r>
        <w:t>Kunt u nader toelichten op welk punt het demonstratierecht overschreden wordt rondom abortusklinieken en er sprake is van intimidatie, aan de hand van enkele illustrerende voorbeelden?</w:t>
      </w:r>
    </w:p>
    <w:p w:rsidR="00C020BF" w:rsidP="00C020BF" w:rsidRDefault="00C020BF" w14:paraId="569E7679" w14:textId="77777777">
      <w:pPr>
        <w:suppressAutoHyphens/>
      </w:pPr>
    </w:p>
    <w:p w:rsidR="00C020BF" w:rsidP="00C020BF" w:rsidRDefault="00C020BF" w14:paraId="1833EF61" w14:textId="77777777">
      <w:pPr>
        <w:suppressAutoHyphens/>
      </w:pPr>
      <w:r>
        <w:t xml:space="preserve">Antwoord vraag 4. </w:t>
      </w:r>
    </w:p>
    <w:p w:rsidR="00C020BF" w:rsidP="00C020BF" w:rsidRDefault="00C020BF" w14:paraId="1B73138A" w14:textId="77777777">
      <w:pPr>
        <w:suppressAutoHyphens/>
      </w:pPr>
      <w:r>
        <w:t xml:space="preserve">Of er een risico is op overschrijding van het demonstratierecht bij abortusdemonstraties moet lokaal en per casus worden ingeschat. De burgemeester kan voorschriften aan demonstranten opleggen, en handhaving is aan de politie. Als demonstranten geen gehoor geven aan voorschriften zijn zij mogelijk in overtreding. </w:t>
      </w:r>
    </w:p>
    <w:p w:rsidRPr="004C5792" w:rsidR="00C020BF" w:rsidP="00C020BF" w:rsidRDefault="00C020BF" w14:paraId="28C14A8F" w14:textId="77777777">
      <w:pPr>
        <w:suppressAutoHyphens/>
      </w:pPr>
      <w:r>
        <w:t xml:space="preserve">Enkele burgemeesters hebben zich in het verleden uitgelaten over demonstraties bij abortusklinieken die als intimiderend werden ervaren door bezoekers. </w:t>
      </w:r>
      <w:r w:rsidRPr="004C5792">
        <w:t xml:space="preserve">Het is </w:t>
      </w:r>
      <w:r>
        <w:t xml:space="preserve">echter </w:t>
      </w:r>
      <w:r w:rsidRPr="004C5792">
        <w:t xml:space="preserve">niet aan </w:t>
      </w:r>
      <w:r>
        <w:t>mij om te oordelen over het al dan niet intimiderende karakter van specifieke demonstraties.</w:t>
      </w:r>
      <w:r>
        <w:rPr>
          <w:bCs/>
        </w:rPr>
        <w:t xml:space="preserve"> </w:t>
      </w:r>
    </w:p>
    <w:p w:rsidR="00C020BF" w:rsidP="00C020BF" w:rsidRDefault="00C020BF" w14:paraId="1A5616FC" w14:textId="77777777">
      <w:pPr>
        <w:suppressAutoHyphens/>
      </w:pPr>
    </w:p>
    <w:p w:rsidR="00C020BF" w:rsidP="00C020BF" w:rsidRDefault="00C020BF" w14:paraId="73BC7C83" w14:textId="77777777">
      <w:pPr>
        <w:suppressAutoHyphens/>
      </w:pPr>
      <w:r>
        <w:t>Vraag 5</w:t>
      </w:r>
    </w:p>
    <w:p w:rsidR="00C020BF" w:rsidP="00C020BF" w:rsidRDefault="00C020BF" w14:paraId="2101ABEC" w14:textId="77777777">
      <w:pPr>
        <w:suppressAutoHyphens/>
      </w:pPr>
      <w:r>
        <w:t>Hoe vaak komt het, naar schatting, voor dat er intimiderende demonstraties plaatsvinden bij abortusklinieken tegen zowel bezoekers als zorgverleners? Is ook bekend in hoeveel gevallen personen daardoor de zorg hebben uitgesteld of niet hebben ontvangen? Zo nee, bent u bereid hier nader onderzoek naar te laten doen, gelet op de signalen van uit de samenleving en zorgverleners?</w:t>
      </w:r>
    </w:p>
    <w:p w:rsidR="00C020BF" w:rsidP="00C020BF" w:rsidRDefault="00C020BF" w14:paraId="582D39CD" w14:textId="77777777">
      <w:pPr>
        <w:suppressAutoHyphens/>
      </w:pPr>
    </w:p>
    <w:p w:rsidR="00C020BF" w:rsidP="00C020BF" w:rsidRDefault="00C020BF" w14:paraId="5A0F48BC" w14:textId="77777777">
      <w:pPr>
        <w:suppressAutoHyphens/>
      </w:pPr>
      <w:r>
        <w:t>Antwoord vraag 5</w:t>
      </w:r>
    </w:p>
    <w:p w:rsidR="00C020BF" w:rsidP="00C020BF" w:rsidRDefault="00C020BF" w14:paraId="17663748" w14:textId="77777777">
      <w:pPr>
        <w:suppressAutoHyphens/>
      </w:pPr>
      <w:r>
        <w:t>Er is geen (landelijk) overzicht van het aantal demonstraties bij abortusklinieken, en er wordt ook niet bijgehouden hoeveel demonstraties ‘intimiderend’ zouden zijn. Ik heb wel nauw contact met bestuurders van alle abortusklinieken in Nederland, en ook met het merendeel van de betrokken gemeenten (er zijn 15 abortusklinieken in 14 gemeenten). Kliniekbestuurders geven aan dat zij soms vrouwen vooraf inlichten over plaats en tijd van een (aangekondigde) demonstratie. Bij het inplannen van het kliniekbezoek van de vrouw kan daar dan desgewenst rekening mee worden gehouden. De vrouw kan ervoor kiezen om een bekende mee te nemen naar de kliniek, of ze kan begeleid worden door een ‘buddy’.</w:t>
      </w:r>
      <w:r>
        <w:rPr>
          <w:rStyle w:val="Voetnootmarkering"/>
        </w:rPr>
        <w:footnoteReference w:id="2"/>
      </w:r>
      <w:r>
        <w:t xml:space="preserve"> Ik heb geen signalen dat abortuszorg als gevolg van demonstraties moet worden uitgesteld, of dat vrouwen vanwege demonstraties afzien van abortuszorg. Ik zie geen aanleiding om hier nader onderzoek naar te laten verrichten. </w:t>
      </w:r>
    </w:p>
    <w:p w:rsidR="00C020BF" w:rsidP="00C020BF" w:rsidRDefault="00C020BF" w14:paraId="4763769C" w14:textId="77777777">
      <w:pPr>
        <w:suppressAutoHyphens/>
      </w:pPr>
    </w:p>
    <w:p w:rsidR="00C020BF" w:rsidP="00C020BF" w:rsidRDefault="00C020BF" w14:paraId="4DCA1404" w14:textId="77777777">
      <w:pPr>
        <w:suppressAutoHyphens/>
      </w:pPr>
      <w:r>
        <w:lastRenderedPageBreak/>
        <w:t>Vraag 6</w:t>
      </w:r>
    </w:p>
    <w:p w:rsidR="00C020BF" w:rsidP="00C020BF" w:rsidRDefault="00C020BF" w14:paraId="5C6EB305" w14:textId="77777777">
      <w:pPr>
        <w:suppressAutoHyphens/>
      </w:pPr>
      <w:r>
        <w:t>Welke rol ziet u voor zich bij het garanderen van het recht tot zorg voor vrouwen, ook het recht tot abortuszorg? Welke rol ziet u, in het bijzonder, voor u in verhouding met de collega-bewindspersonen van andere ministeries?</w:t>
      </w:r>
    </w:p>
    <w:p w:rsidR="00C020BF" w:rsidP="00C020BF" w:rsidRDefault="00C020BF" w14:paraId="1DD6B14B" w14:textId="77777777">
      <w:pPr>
        <w:suppressAutoHyphens/>
      </w:pPr>
    </w:p>
    <w:p w:rsidR="00C020BF" w:rsidP="00C020BF" w:rsidRDefault="00C020BF" w14:paraId="505C41FE" w14:textId="77777777">
      <w:pPr>
        <w:suppressAutoHyphens/>
      </w:pPr>
      <w:r>
        <w:t>Antwoord vraag 6</w:t>
      </w:r>
    </w:p>
    <w:p w:rsidR="00C020BF" w:rsidP="00C020BF" w:rsidRDefault="00C020BF" w14:paraId="7E5C8C81" w14:textId="77777777">
      <w:pPr>
        <w:suppressAutoHyphens/>
      </w:pPr>
      <w:r>
        <w:t xml:space="preserve">Ik sta pal voor goede en toegankelijke abortuszorg. Het ministerie van VWS draagt daar op verschillende manieren actief aan bij, middels wet- en regelgeving, abortusbeleid, en de financiering van abortusklinieken en (huis)artsen. Als het gaat om de toegankelijkheid van abortuszorg in relatie tot demonstraties onderhoud ik nauw contact met de collega-bewindslieden van het Ministerie van Binnenlandse Zaken (primair verantwoordelijk voor de Wet openbare manifestaties) en ook het ministerie van Justitie en Veiligheid (politie en handhaving). </w:t>
      </w:r>
    </w:p>
    <w:p w:rsidR="00C020BF" w:rsidP="00C020BF" w:rsidRDefault="00C020BF" w14:paraId="3F872BE5" w14:textId="77777777">
      <w:pPr>
        <w:suppressAutoHyphens/>
      </w:pPr>
    </w:p>
    <w:p w:rsidR="00C020BF" w:rsidP="00C020BF" w:rsidRDefault="00C020BF" w14:paraId="3FABD3EC" w14:textId="77777777">
      <w:pPr>
        <w:suppressAutoHyphens/>
      </w:pPr>
      <w:r>
        <w:t>Vraag 7</w:t>
      </w:r>
    </w:p>
    <w:p w:rsidR="00C020BF" w:rsidP="00C020BF" w:rsidRDefault="00C020BF" w14:paraId="3DEDD582" w14:textId="77777777">
      <w:pPr>
        <w:suppressAutoHyphens/>
      </w:pPr>
      <w:r>
        <w:t>Kunt u nader toelichten hoe het mogelijk is dat een brief, opgesteld door uw collega-bewindspersonen, op het laatste moment via de ministerraad geblokkeerd is door een andere collega-bewindspersoon, wiens ministerie niet direct een relatie heeft met het onderhavige onderwerp?</w:t>
      </w:r>
    </w:p>
    <w:p w:rsidR="00C020BF" w:rsidP="00C020BF" w:rsidRDefault="00C020BF" w14:paraId="6824AEB8" w14:textId="77777777">
      <w:pPr>
        <w:suppressAutoHyphens/>
      </w:pPr>
    </w:p>
    <w:p w:rsidR="00C020BF" w:rsidP="00C020BF" w:rsidRDefault="00C020BF" w14:paraId="624FC885" w14:textId="77777777">
      <w:pPr>
        <w:suppressAutoHyphens/>
      </w:pPr>
      <w:r>
        <w:t>Antwoord vraag 7</w:t>
      </w:r>
    </w:p>
    <w:p w:rsidR="00C020BF" w:rsidP="00C020BF" w:rsidRDefault="00C020BF" w14:paraId="29CC83F0" w14:textId="77777777">
      <w:pPr>
        <w:suppressAutoHyphens/>
      </w:pPr>
      <w:r>
        <w:t>D</w:t>
      </w:r>
      <w:r w:rsidRPr="004F4766">
        <w:t xml:space="preserve">e beraadslagingen van de </w:t>
      </w:r>
      <w:r>
        <w:t>m</w:t>
      </w:r>
      <w:r w:rsidRPr="004F4766">
        <w:t xml:space="preserve">inisterraad </w:t>
      </w:r>
      <w:r>
        <w:t xml:space="preserve">zijn </w:t>
      </w:r>
      <w:r w:rsidRPr="004F4766">
        <w:t>vertrouwelijk</w:t>
      </w:r>
      <w:r>
        <w:t xml:space="preserve"> dus hier kan ik geen antwoord op geven</w:t>
      </w:r>
      <w:r w:rsidRPr="004F4766">
        <w:t>. Wel wijs ik erop dat demonstratierecht raakvlakken heeft met diverse ministeries. Bovendien is het een onderwerp dat veel politieke en maatschappelijke aandacht krijgt. Vanuit dat opzicht is het niet vreemd dat verschillende bewindslieden zich buigen over een Kamerbrief waarin het demonstratierecht centraal staat.</w:t>
      </w:r>
    </w:p>
    <w:p w:rsidR="00C020BF" w:rsidP="00C020BF" w:rsidRDefault="00C020BF" w14:paraId="25EE5E10" w14:textId="77777777">
      <w:pPr>
        <w:suppressAutoHyphens/>
      </w:pPr>
    </w:p>
    <w:p w:rsidR="00C020BF" w:rsidP="00C020BF" w:rsidRDefault="00C020BF" w14:paraId="449B576A" w14:textId="77777777">
      <w:pPr>
        <w:suppressAutoHyphens/>
      </w:pPr>
    </w:p>
    <w:p w:rsidR="00C020BF" w:rsidP="00C020BF" w:rsidRDefault="00C020BF" w14:paraId="167561EA" w14:textId="77777777">
      <w:pPr>
        <w:suppressAutoHyphens/>
      </w:pPr>
      <w:r>
        <w:t>Vraag 8</w:t>
      </w:r>
    </w:p>
    <w:p w:rsidR="00C020BF" w:rsidP="00C020BF" w:rsidRDefault="00C020BF" w14:paraId="303A10C5" w14:textId="77777777">
      <w:pPr>
        <w:suppressAutoHyphens/>
      </w:pPr>
      <w:r>
        <w:t>Indien er vanuit de landelijke overheid geen handvaten worden geboden aan lokale bestuurders, bijvoorbeeld in de vorm van landelijke richtlijnen over bufferzones, hoe ziet u erop toe dat het recht op en de vrije en veilige toegang tot abortuszorg gegarandeerd blijft?</w:t>
      </w:r>
    </w:p>
    <w:p w:rsidR="00C020BF" w:rsidP="00C020BF" w:rsidRDefault="00C020BF" w14:paraId="3EA22956" w14:textId="77777777">
      <w:pPr>
        <w:suppressAutoHyphens/>
      </w:pPr>
    </w:p>
    <w:p w:rsidR="00C020BF" w:rsidP="00C020BF" w:rsidRDefault="00C020BF" w14:paraId="6E18A4ED" w14:textId="77777777">
      <w:pPr>
        <w:suppressAutoHyphens/>
      </w:pPr>
      <w:r>
        <w:t>Antwoord vraag 8</w:t>
      </w:r>
    </w:p>
    <w:p w:rsidRPr="00320F66" w:rsidR="00C020BF" w:rsidP="00C020BF" w:rsidRDefault="00C020BF" w14:paraId="427C0C63" w14:textId="77777777">
      <w:pPr>
        <w:suppressAutoHyphens/>
      </w:pPr>
      <w:r>
        <w:lastRenderedPageBreak/>
        <w:t xml:space="preserve">De uitspraken van de Afdeling Bestuursrechtspraak van de Raad van State bieden handvatten aan lokale bestuurders. </w:t>
      </w:r>
      <w:bookmarkStart w:name="_Hlk219290524" w:id="0"/>
      <w:r>
        <w:t>Ook zal het kabinet voor het mei reces een kabinetsreactie sturen op het recente onderzoek dat is uitgevoerd in opdracht van het Wetenschappelijk Onderzoek- en Datacentrum (WODC) door een onderzoeksteam vanuit de Rijksuniversiteit Groningen, Pro Facto, de Universiteit van Amsterdam en Tilburg University.</w:t>
      </w:r>
      <w:r>
        <w:rPr>
          <w:rStyle w:val="Voetnootmarkering"/>
        </w:rPr>
        <w:footnoteReference w:id="3"/>
      </w:r>
      <w:r>
        <w:t xml:space="preserve"> </w:t>
      </w:r>
      <w:bookmarkEnd w:id="0"/>
      <w:r>
        <w:t xml:space="preserve">In deze reactie zal ook ingegaan worden op demonstraties bij abortusklinieken. Daarnaast zijn er wel degelijk verschillende handvatten beschikbaar voor lokale ambtenaren en bestuurders om demonstraties (bij abortusklinieken) in goede banen te leiden, </w:t>
      </w:r>
      <w:r w:rsidRPr="00320F66">
        <w:t>zoals de handreiking van de gemeente Amsterdam</w:t>
      </w:r>
      <w:r>
        <w:t xml:space="preserve"> en </w:t>
      </w:r>
      <w:r w:rsidRPr="00320F66">
        <w:t>het Nederlands Genootschap van Burgemeesters.</w:t>
      </w:r>
      <w:r>
        <w:rPr>
          <w:vertAlign w:val="superscript"/>
        </w:rPr>
        <w:footnoteReference w:id="4"/>
      </w:r>
      <w:r w:rsidRPr="00720A7E">
        <w:rPr>
          <w:vertAlign w:val="superscript"/>
        </w:rPr>
        <w:t xml:space="preserve"> </w:t>
      </w:r>
      <w:r>
        <w:rPr>
          <w:vertAlign w:val="superscript"/>
        </w:rPr>
        <w:footnoteReference w:id="5"/>
      </w:r>
      <w:r w:rsidRPr="00320F66">
        <w:t xml:space="preserve"> </w:t>
      </w:r>
      <w:r>
        <w:t>Door</w:t>
      </w:r>
      <w:r w:rsidRPr="00320F66">
        <w:t xml:space="preserve"> de Rijksuniversiteit Groningen </w:t>
      </w:r>
      <w:r>
        <w:t xml:space="preserve">is </w:t>
      </w:r>
      <w:r w:rsidRPr="00320F66">
        <w:t xml:space="preserve">een landelijke website ontwikkeld waarop iedereen </w:t>
      </w:r>
      <w:r>
        <w:t xml:space="preserve">kosteloos </w:t>
      </w:r>
      <w:r w:rsidRPr="00320F66">
        <w:t xml:space="preserve">informatie over het demonstratierecht kan </w:t>
      </w:r>
      <w:r>
        <w:t xml:space="preserve">vinden. De site biedt bijvoorbeeld antwoord op de vraag wat </w:t>
      </w:r>
      <w:r w:rsidRPr="00320F66">
        <w:t xml:space="preserve">de burgemeester en de politie </w:t>
      </w:r>
      <w:r>
        <w:t xml:space="preserve">mogen en moeten </w:t>
      </w:r>
      <w:r w:rsidRPr="00320F66">
        <w:t>doen bij demonstraties</w:t>
      </w:r>
      <w:r>
        <w:t xml:space="preserve">. Ook kan er </w:t>
      </w:r>
      <w:r w:rsidRPr="00320F66">
        <w:t xml:space="preserve">een online adviestool </w:t>
      </w:r>
      <w:r>
        <w:t>worden geraadpleegd</w:t>
      </w:r>
      <w:r w:rsidRPr="00320F66">
        <w:t xml:space="preserve"> </w:t>
      </w:r>
      <w:r>
        <w:t xml:space="preserve">voor </w:t>
      </w:r>
      <w:r w:rsidRPr="00720A7E">
        <w:t>juridisch advies op maat</w:t>
      </w:r>
      <w:r w:rsidRPr="00320F66">
        <w:t>.</w:t>
      </w:r>
      <w:r>
        <w:rPr>
          <w:vertAlign w:val="superscript"/>
        </w:rPr>
        <w:footnoteReference w:id="6"/>
      </w:r>
      <w:r w:rsidRPr="00320F66">
        <w:t xml:space="preserve"> </w:t>
      </w:r>
    </w:p>
    <w:p w:rsidR="00C020BF" w:rsidP="00C020BF" w:rsidRDefault="00C020BF" w14:paraId="2BF40835" w14:textId="77777777">
      <w:pPr>
        <w:suppressAutoHyphens/>
      </w:pPr>
    </w:p>
    <w:p w:rsidR="00C020BF" w:rsidP="00C020BF" w:rsidRDefault="00C020BF" w14:paraId="4BEBB5B7" w14:textId="77777777">
      <w:pPr>
        <w:suppressAutoHyphens/>
      </w:pPr>
      <w:r>
        <w:t xml:space="preserve"> </w:t>
      </w:r>
    </w:p>
    <w:p w:rsidR="00C020BF" w:rsidP="00C020BF" w:rsidRDefault="00C020BF" w14:paraId="2CA70CDE" w14:textId="77777777">
      <w:pPr>
        <w:suppressAutoHyphens/>
      </w:pPr>
    </w:p>
    <w:p w:rsidR="00C020BF" w:rsidP="00C020BF" w:rsidRDefault="00C020BF" w14:paraId="1FA55CE5" w14:textId="77777777">
      <w:pPr>
        <w:suppressAutoHyphens/>
      </w:pPr>
      <w:r>
        <w:t xml:space="preserve"> </w:t>
      </w:r>
    </w:p>
    <w:p w:rsidR="00C020BF" w:rsidP="00C020BF" w:rsidRDefault="00C020BF" w14:paraId="25E9722B" w14:textId="77777777">
      <w:pPr>
        <w:suppressAutoHyphens/>
      </w:pPr>
    </w:p>
    <w:p w:rsidR="00D3005F" w:rsidRDefault="00D3005F" w14:paraId="07CD9F36" w14:textId="77777777"/>
    <w:sectPr w:rsidR="00D3005F" w:rsidSect="00C020B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0CBA" w14:textId="77777777" w:rsidR="00C020BF" w:rsidRDefault="00C020BF" w:rsidP="00C020BF">
      <w:pPr>
        <w:spacing w:after="0" w:line="240" w:lineRule="auto"/>
      </w:pPr>
      <w:r>
        <w:separator/>
      </w:r>
    </w:p>
  </w:endnote>
  <w:endnote w:type="continuationSeparator" w:id="0">
    <w:p w14:paraId="656D5738" w14:textId="77777777" w:rsidR="00C020BF" w:rsidRDefault="00C020BF" w:rsidP="00C0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6E05" w14:textId="77777777" w:rsidR="00C020BF" w:rsidRPr="00C020BF" w:rsidRDefault="00C020BF" w:rsidP="00C020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60B" w14:textId="77777777" w:rsidR="00C020BF" w:rsidRPr="00C020BF" w:rsidRDefault="00C020BF" w:rsidP="00C020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C2C5" w14:textId="77777777" w:rsidR="00C020BF" w:rsidRPr="00C020BF" w:rsidRDefault="00C020BF" w:rsidP="00C020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EDDE" w14:textId="77777777" w:rsidR="00C020BF" w:rsidRDefault="00C020BF" w:rsidP="00C020BF">
      <w:pPr>
        <w:spacing w:after="0" w:line="240" w:lineRule="auto"/>
      </w:pPr>
      <w:r>
        <w:separator/>
      </w:r>
    </w:p>
  </w:footnote>
  <w:footnote w:type="continuationSeparator" w:id="0">
    <w:p w14:paraId="27193305" w14:textId="77777777" w:rsidR="00C020BF" w:rsidRDefault="00C020BF" w:rsidP="00C020BF">
      <w:pPr>
        <w:spacing w:after="0" w:line="240" w:lineRule="auto"/>
      </w:pPr>
      <w:r>
        <w:continuationSeparator/>
      </w:r>
    </w:p>
  </w:footnote>
  <w:footnote w:id="1">
    <w:p w14:paraId="448E8747" w14:textId="77777777" w:rsidR="00C020BF" w:rsidRPr="00045382" w:rsidRDefault="00C020BF" w:rsidP="00C020BF">
      <w:pPr>
        <w:rPr>
          <w:sz w:val="16"/>
          <w:szCs w:val="16"/>
        </w:rPr>
      </w:pPr>
      <w:r w:rsidRPr="00045382">
        <w:rPr>
          <w:rStyle w:val="Voetnootmarkering"/>
          <w:sz w:val="16"/>
          <w:szCs w:val="16"/>
        </w:rPr>
        <w:footnoteRef/>
      </w:r>
      <w:r w:rsidRPr="00045382">
        <w:rPr>
          <w:sz w:val="16"/>
          <w:szCs w:val="16"/>
        </w:rPr>
        <w:t xml:space="preserve"> RTL Nieuws, 18 december 2025, 'Toch geen bufferzone voor demonstranten rond abortusklinieken, Keijzer (BBB) wil het niet' (https://www.rtl.nl/nieuws/politiek/artikel/5544556/vicepremier-keijzer-abaortuskliniek-demonstratie-bufferzone-verzet)</w:t>
      </w:r>
    </w:p>
    <w:p w14:paraId="2AE8961F" w14:textId="77777777" w:rsidR="00C020BF" w:rsidRPr="00045382" w:rsidRDefault="00C020BF" w:rsidP="00C020BF">
      <w:pPr>
        <w:pStyle w:val="Voetnoottekst"/>
        <w:rPr>
          <w:sz w:val="16"/>
          <w:szCs w:val="16"/>
        </w:rPr>
      </w:pPr>
    </w:p>
  </w:footnote>
  <w:footnote w:id="2">
    <w:p w14:paraId="37D3E93F" w14:textId="77777777" w:rsidR="00C020BF" w:rsidRPr="00300396" w:rsidRDefault="00C020BF" w:rsidP="00C020BF">
      <w:pPr>
        <w:pStyle w:val="Voetnoottekst"/>
        <w:rPr>
          <w:sz w:val="16"/>
          <w:szCs w:val="16"/>
        </w:rPr>
      </w:pPr>
      <w:r w:rsidRPr="00300396">
        <w:rPr>
          <w:rStyle w:val="Voetnootmarkering"/>
          <w:sz w:val="16"/>
          <w:szCs w:val="16"/>
        </w:rPr>
        <w:footnoteRef/>
      </w:r>
      <w:r w:rsidRPr="00300396">
        <w:rPr>
          <w:sz w:val="16"/>
          <w:szCs w:val="16"/>
        </w:rPr>
        <w:t xml:space="preserve"> </w:t>
      </w:r>
      <w:hyperlink r:id="rId1" w:history="1">
        <w:r w:rsidRPr="00300396">
          <w:rPr>
            <w:rStyle w:val="Hyperlink"/>
            <w:sz w:val="16"/>
            <w:szCs w:val="16"/>
          </w:rPr>
          <w:t>Samen naar de Kliniek</w:t>
        </w:r>
      </w:hyperlink>
    </w:p>
  </w:footnote>
  <w:footnote w:id="3">
    <w:p w14:paraId="57A7E263" w14:textId="77777777" w:rsidR="00C020BF" w:rsidRPr="00300396" w:rsidRDefault="00C020BF" w:rsidP="00C020BF">
      <w:pPr>
        <w:pStyle w:val="Voetnoottekst"/>
        <w:rPr>
          <w:sz w:val="16"/>
          <w:szCs w:val="16"/>
        </w:rPr>
      </w:pPr>
      <w:r w:rsidRPr="00300396">
        <w:rPr>
          <w:rStyle w:val="Voetnootmarkering"/>
          <w:sz w:val="16"/>
          <w:szCs w:val="16"/>
        </w:rPr>
        <w:footnoteRef/>
      </w:r>
      <w:r w:rsidRPr="00300396">
        <w:rPr>
          <w:sz w:val="16"/>
          <w:szCs w:val="16"/>
        </w:rPr>
        <w:t xml:space="preserve"> </w:t>
      </w:r>
      <w:hyperlink r:id="rId2" w:history="1">
        <w:r w:rsidRPr="00300396">
          <w:rPr>
            <w:rStyle w:val="Hyperlink"/>
            <w:sz w:val="16"/>
            <w:szCs w:val="16"/>
          </w:rPr>
          <w:t>Het recht om te demonstreren in de democratische rechtsstaat | Rapport | Rijksoverheid.nl</w:t>
        </w:r>
      </w:hyperlink>
    </w:p>
  </w:footnote>
  <w:footnote w:id="4">
    <w:p w14:paraId="5EA4DB43" w14:textId="77777777" w:rsidR="00C020BF" w:rsidRPr="00300396" w:rsidRDefault="00C020BF" w:rsidP="00C020BF">
      <w:pPr>
        <w:pStyle w:val="Voetnoottekst"/>
        <w:rPr>
          <w:sz w:val="16"/>
          <w:szCs w:val="16"/>
        </w:rPr>
      </w:pPr>
      <w:r w:rsidRPr="00300396">
        <w:rPr>
          <w:rStyle w:val="Voetnootmarkering"/>
          <w:sz w:val="16"/>
          <w:szCs w:val="16"/>
        </w:rPr>
        <w:footnoteRef/>
      </w:r>
      <w:r w:rsidRPr="00300396">
        <w:rPr>
          <w:sz w:val="16"/>
          <w:szCs w:val="16"/>
        </w:rPr>
        <w:t xml:space="preserve"> </w:t>
      </w:r>
      <w:hyperlink r:id="rId3" w:history="1">
        <w:r w:rsidRPr="00300396">
          <w:rPr>
            <w:rStyle w:val="Hyperlink"/>
            <w:sz w:val="16"/>
            <w:szCs w:val="16"/>
          </w:rPr>
          <w:t>Handboek Demonstreren 'Bijkans Heilig' | Gemeente Amsterdam</w:t>
        </w:r>
      </w:hyperlink>
      <w:r w:rsidRPr="00300396">
        <w:rPr>
          <w:sz w:val="16"/>
          <w:szCs w:val="16"/>
        </w:rPr>
        <w:t>.</w:t>
      </w:r>
    </w:p>
  </w:footnote>
  <w:footnote w:id="5">
    <w:p w14:paraId="757C775F" w14:textId="77777777" w:rsidR="00C020BF" w:rsidRPr="00300396" w:rsidRDefault="00C020BF" w:rsidP="00C020BF">
      <w:pPr>
        <w:pStyle w:val="Voetnoottekst"/>
        <w:rPr>
          <w:sz w:val="16"/>
          <w:szCs w:val="16"/>
        </w:rPr>
      </w:pPr>
      <w:r w:rsidRPr="00300396">
        <w:rPr>
          <w:rStyle w:val="Voetnootmarkering"/>
          <w:sz w:val="16"/>
          <w:szCs w:val="16"/>
        </w:rPr>
        <w:footnoteRef/>
      </w:r>
      <w:r w:rsidRPr="00300396">
        <w:rPr>
          <w:sz w:val="16"/>
          <w:szCs w:val="16"/>
        </w:rPr>
        <w:t xml:space="preserve"> </w:t>
      </w:r>
      <w:hyperlink r:id="rId4" w:history="1">
        <w:r w:rsidRPr="00300396">
          <w:rPr>
            <w:rStyle w:val="Hyperlink"/>
            <w:sz w:val="16"/>
            <w:szCs w:val="16"/>
          </w:rPr>
          <w:t>Het Nederlands Genootschap van Burgemeesters | Het Nederlands Genootschap van Burgemeesters</w:t>
        </w:r>
      </w:hyperlink>
    </w:p>
  </w:footnote>
  <w:footnote w:id="6">
    <w:p w14:paraId="42FC7624" w14:textId="77777777" w:rsidR="00C020BF" w:rsidRPr="00045382" w:rsidRDefault="00C020BF" w:rsidP="00C020BF">
      <w:pPr>
        <w:pStyle w:val="Voetnoottekst"/>
        <w:rPr>
          <w:sz w:val="16"/>
          <w:szCs w:val="16"/>
        </w:rPr>
      </w:pPr>
      <w:r w:rsidRPr="00300396">
        <w:rPr>
          <w:rStyle w:val="Voetnootmarkering"/>
          <w:sz w:val="16"/>
          <w:szCs w:val="16"/>
        </w:rPr>
        <w:footnoteRef/>
      </w:r>
      <w:r w:rsidRPr="00300396">
        <w:rPr>
          <w:sz w:val="16"/>
          <w:szCs w:val="16"/>
        </w:rPr>
        <w:t xml:space="preserve"> </w:t>
      </w:r>
      <w:hyperlink r:id="rId5" w:history="1">
        <w:r w:rsidRPr="00300396">
          <w:rPr>
            <w:rStyle w:val="Hyperlink"/>
            <w:sz w:val="16"/>
            <w:szCs w:val="16"/>
          </w:rPr>
          <w:t>Demonstratierecht.nl - Alles over het recht om te demonstreren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5178" w14:textId="77777777" w:rsidR="00C020BF" w:rsidRPr="00C020BF" w:rsidRDefault="00C020BF" w:rsidP="00C020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E64A" w14:textId="77777777" w:rsidR="00C020BF" w:rsidRPr="00C020BF" w:rsidRDefault="00C020BF" w:rsidP="00C020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40E7" w14:textId="77777777" w:rsidR="00C020BF" w:rsidRPr="00C020BF" w:rsidRDefault="00C020BF" w:rsidP="00C020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BF"/>
    <w:rsid w:val="00B0627C"/>
    <w:rsid w:val="00C020BF"/>
    <w:rsid w:val="00D30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E282"/>
  <w15:chartTrackingRefBased/>
  <w15:docId w15:val="{25EACABB-704D-41D0-A3CA-3386E92C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20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20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20B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20B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20B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20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20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20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20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0B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20B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20B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20B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20B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20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20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20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20BF"/>
    <w:rPr>
      <w:rFonts w:eastAsiaTheme="majorEastAsia" w:cstheme="majorBidi"/>
      <w:color w:val="272727" w:themeColor="text1" w:themeTint="D8"/>
    </w:rPr>
  </w:style>
  <w:style w:type="paragraph" w:styleId="Titel">
    <w:name w:val="Title"/>
    <w:basedOn w:val="Standaard"/>
    <w:next w:val="Standaard"/>
    <w:link w:val="TitelChar"/>
    <w:uiPriority w:val="10"/>
    <w:qFormat/>
    <w:rsid w:val="00C02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20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20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20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20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20BF"/>
    <w:rPr>
      <w:i/>
      <w:iCs/>
      <w:color w:val="404040" w:themeColor="text1" w:themeTint="BF"/>
    </w:rPr>
  </w:style>
  <w:style w:type="paragraph" w:styleId="Lijstalinea">
    <w:name w:val="List Paragraph"/>
    <w:basedOn w:val="Standaard"/>
    <w:uiPriority w:val="34"/>
    <w:qFormat/>
    <w:rsid w:val="00C020BF"/>
    <w:pPr>
      <w:ind w:left="720"/>
      <w:contextualSpacing/>
    </w:pPr>
  </w:style>
  <w:style w:type="character" w:styleId="Intensievebenadrukking">
    <w:name w:val="Intense Emphasis"/>
    <w:basedOn w:val="Standaardalinea-lettertype"/>
    <w:uiPriority w:val="21"/>
    <w:qFormat/>
    <w:rsid w:val="00C020BF"/>
    <w:rPr>
      <w:i/>
      <w:iCs/>
      <w:color w:val="2F5496" w:themeColor="accent1" w:themeShade="BF"/>
    </w:rPr>
  </w:style>
  <w:style w:type="paragraph" w:styleId="Duidelijkcitaat">
    <w:name w:val="Intense Quote"/>
    <w:basedOn w:val="Standaard"/>
    <w:next w:val="Standaard"/>
    <w:link w:val="DuidelijkcitaatChar"/>
    <w:uiPriority w:val="30"/>
    <w:qFormat/>
    <w:rsid w:val="00C02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20BF"/>
    <w:rPr>
      <w:i/>
      <w:iCs/>
      <w:color w:val="2F5496" w:themeColor="accent1" w:themeShade="BF"/>
    </w:rPr>
  </w:style>
  <w:style w:type="character" w:styleId="Intensieveverwijzing">
    <w:name w:val="Intense Reference"/>
    <w:basedOn w:val="Standaardalinea-lettertype"/>
    <w:uiPriority w:val="32"/>
    <w:qFormat/>
    <w:rsid w:val="00C020BF"/>
    <w:rPr>
      <w:b/>
      <w:bCs/>
      <w:smallCaps/>
      <w:color w:val="2F5496" w:themeColor="accent1" w:themeShade="BF"/>
      <w:spacing w:val="5"/>
    </w:rPr>
  </w:style>
  <w:style w:type="paragraph" w:styleId="Voetnoottekst">
    <w:name w:val="footnote text"/>
    <w:basedOn w:val="Standaard"/>
    <w:link w:val="VoetnoottekstChar"/>
    <w:semiHidden/>
    <w:rsid w:val="00C020B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C020B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020B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C020B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020B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020B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020BF"/>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rsid w:val="00C020BF"/>
    <w:rPr>
      <w:vertAlign w:val="superscript"/>
    </w:rPr>
  </w:style>
  <w:style w:type="character" w:styleId="Hyperlink">
    <w:name w:val="Hyperlink"/>
    <w:basedOn w:val="Standaardalinea-lettertype"/>
    <w:rsid w:val="00C020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msterdam.nl/bestuur-organisatie/volg-beleid/veiligheid/handboek-demonstreren-bijkans-heilig/" TargetMode="External"/><Relationship Id="rId2" Type="http://schemas.openxmlformats.org/officeDocument/2006/relationships/hyperlink" Target="https://www.rijksoverheid.nl/documenten/rapporten/2025/12/19/wodc-onderzoek" TargetMode="External"/><Relationship Id="rId1" Type="http://schemas.openxmlformats.org/officeDocument/2006/relationships/hyperlink" Target="https://samennaardekliniek.nl/" TargetMode="External"/><Relationship Id="rId5" Type="http://schemas.openxmlformats.org/officeDocument/2006/relationships/hyperlink" Target="https://demonstratierecht.nl/" TargetMode="External"/><Relationship Id="rId4" Type="http://schemas.openxmlformats.org/officeDocument/2006/relationships/hyperlink" Target="https://www.burgemeester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958</ap:Words>
  <ap:Characters>5271</ap:Characters>
  <ap:DocSecurity>0</ap:DocSecurity>
  <ap:Lines>43</ap:Lines>
  <ap:Paragraphs>12</ap:Paragraphs>
  <ap:ScaleCrop>false</ap:ScaleCrop>
  <ap:LinksUpToDate>false</ap:LinksUpToDate>
  <ap:CharactersWithSpaces>6217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2026-01-28T15:32:00.0000000Z</dcterms:created>
  <dcterms:modified xsi:type="dcterms:W3CDTF">2026-01-28T15:32:00.0000000Z</dcterms:modified>
  <version/>
  <category/>
</coreProperties>
</file>