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ABB" w:rsidP="00C97ABB" w:rsidRDefault="00C97ABB" w14:paraId="397AD3A1" w14:textId="0DBA17AD">
      <w:pPr>
        <w:rPr>
          <w:b/>
          <w:bCs/>
        </w:rPr>
      </w:pPr>
      <w:r>
        <w:rPr>
          <w:b/>
          <w:bCs/>
        </w:rPr>
        <w:t>AH 990</w:t>
      </w:r>
    </w:p>
    <w:p w:rsidR="00C97ABB" w:rsidP="00C97ABB" w:rsidRDefault="00C97ABB" w14:paraId="09DE0F76" w14:textId="62A59333">
      <w:pPr>
        <w:rPr>
          <w:b/>
          <w:bCs/>
        </w:rPr>
      </w:pPr>
      <w:r>
        <w:rPr>
          <w:b/>
          <w:bCs/>
        </w:rPr>
        <w:t>2025Z22410</w:t>
      </w:r>
    </w:p>
    <w:p w:rsidR="00C97ABB" w:rsidP="00C97ABB" w:rsidRDefault="00C97ABB" w14:paraId="5EE4297C" w14:textId="46752B39">
      <w:pPr>
        <w:rPr>
          <w:b/>
          <w:bCs/>
          <w:sz w:val="24"/>
        </w:rPr>
      </w:pPr>
      <w:r w:rsidRPr="00C97ABB">
        <w:rPr>
          <w:b/>
          <w:bCs/>
          <w:sz w:val="24"/>
        </w:rPr>
        <w:t xml:space="preserve">Antwoord van staatssecretaris </w:t>
      </w:r>
      <w:r>
        <w:rPr>
          <w:b/>
          <w:bCs/>
          <w:sz w:val="24"/>
        </w:rPr>
        <w:t xml:space="preserve">Heinen </w:t>
      </w:r>
      <w:r w:rsidRPr="00C97ABB">
        <w:rPr>
          <w:b/>
          <w:bCs/>
          <w:sz w:val="24"/>
        </w:rPr>
        <w:t>(Financiën) (ontvangen</w:t>
      </w:r>
      <w:r>
        <w:rPr>
          <w:b/>
          <w:bCs/>
          <w:sz w:val="24"/>
        </w:rPr>
        <w:t xml:space="preserve"> 29 januari 2026)</w:t>
      </w:r>
    </w:p>
    <w:p w:rsidRPr="00C97ABB" w:rsidR="00C97ABB" w:rsidP="00C97ABB" w:rsidRDefault="00C97ABB" w14:paraId="7FF80E1C" w14:textId="5205A54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837</w:t>
      </w:r>
    </w:p>
    <w:p w:rsidR="00C97ABB" w:rsidP="00C97ABB" w:rsidRDefault="00C97ABB" w14:paraId="38158EBF" w14:textId="77777777">
      <w:pPr>
        <w:rPr>
          <w:b/>
          <w:bCs/>
        </w:rPr>
      </w:pPr>
      <w:r>
        <w:rPr>
          <w:b/>
          <w:bCs/>
        </w:rPr>
        <w:t>Vraag 1</w:t>
      </w:r>
    </w:p>
    <w:p w:rsidR="00C97ABB" w:rsidP="00C97ABB" w:rsidRDefault="00C97ABB" w14:paraId="2E1210BA" w14:textId="77777777">
      <w:r w:rsidRPr="000A42E7">
        <w:t>Bent u bekend met het feit dat ondernemers die voedingssupplementen in poedervorm produceren recent bericht hebben ontvangen van de Douane met de mededeling dat zij met terugwerkende kracht (vanaf 2020) alsnog verbruiksbelasting zijn verschuldigd?</w:t>
      </w:r>
    </w:p>
    <w:p w:rsidR="00C97ABB" w:rsidP="00C97ABB" w:rsidRDefault="00C97ABB" w14:paraId="06187329" w14:textId="77777777"/>
    <w:p w:rsidRPr="000A42E7" w:rsidR="00C97ABB" w:rsidP="00C97ABB" w:rsidRDefault="00C97ABB" w14:paraId="73069939" w14:textId="77777777">
      <w:pPr>
        <w:rPr>
          <w:b/>
          <w:bCs/>
        </w:rPr>
      </w:pPr>
      <w:r w:rsidRPr="000A42E7">
        <w:rPr>
          <w:b/>
          <w:bCs/>
        </w:rPr>
        <w:t>Vraag 2</w:t>
      </w:r>
    </w:p>
    <w:p w:rsidR="00C97ABB" w:rsidP="00C97ABB" w:rsidRDefault="00C97ABB" w14:paraId="5F311BC9" w14:textId="77777777">
      <w:r w:rsidRPr="000A42E7">
        <w:t>Klopt het dat de Douane een aantal van deze ondernemers heeft bezocht en dat dit heeft geleid tot een sommering of gaat leiden tot een sommering om met terugwerkende kracht de verbruiksbelasting alsnog te voldoen? Zo ja, waarom?</w:t>
      </w:r>
    </w:p>
    <w:p w:rsidR="00C97ABB" w:rsidP="00C97ABB" w:rsidRDefault="00C97ABB" w14:paraId="7A03E66D" w14:textId="77777777"/>
    <w:p w:rsidR="00C97ABB" w:rsidP="00C97ABB" w:rsidRDefault="00C97ABB" w14:paraId="02ABDFD5" w14:textId="77777777">
      <w:pPr>
        <w:rPr>
          <w:b/>
          <w:bCs/>
        </w:rPr>
      </w:pPr>
      <w:r w:rsidRPr="000A42E7">
        <w:rPr>
          <w:b/>
          <w:bCs/>
        </w:rPr>
        <w:t xml:space="preserve">Antwoord </w:t>
      </w:r>
      <w:r>
        <w:rPr>
          <w:b/>
          <w:bCs/>
        </w:rPr>
        <w:t xml:space="preserve">1 en </w:t>
      </w:r>
      <w:r w:rsidRPr="000A42E7">
        <w:rPr>
          <w:b/>
          <w:bCs/>
        </w:rPr>
        <w:t>2</w:t>
      </w:r>
    </w:p>
    <w:p w:rsidR="00C97ABB" w:rsidP="00C97ABB" w:rsidRDefault="00C97ABB" w14:paraId="16B6A827" w14:textId="77777777">
      <w:r>
        <w:t>V</w:t>
      </w:r>
      <w:r w:rsidRPr="00D422B2">
        <w:t>anwege de fiscale geheimhoudingsplicht</w:t>
      </w:r>
      <w:r>
        <w:rPr>
          <w:rStyle w:val="Voetnootmarkering"/>
        </w:rPr>
        <w:footnoteReference w:id="1"/>
      </w:r>
      <w:r w:rsidRPr="00D422B2">
        <w:t xml:space="preserve"> </w:t>
      </w:r>
      <w:r>
        <w:t xml:space="preserve">en mogelijk lopende procedures kan ik niet </w:t>
      </w:r>
      <w:r w:rsidRPr="00D422B2">
        <w:t>op individuele gevallen ingaan</w:t>
      </w:r>
      <w:r>
        <w:t xml:space="preserve">, wel kan </w:t>
      </w:r>
      <w:r w:rsidRPr="00D422B2">
        <w:t>i</w:t>
      </w:r>
      <w:r>
        <w:t>k</w:t>
      </w:r>
      <w:r w:rsidRPr="00D422B2">
        <w:t xml:space="preserve"> </w:t>
      </w:r>
      <w:r>
        <w:t xml:space="preserve">in </w:t>
      </w:r>
      <w:r w:rsidRPr="00D422B2">
        <w:t xml:space="preserve">het algemeen het volgende </w:t>
      </w:r>
      <w:r>
        <w:t>antwoorden</w:t>
      </w:r>
      <w:r w:rsidRPr="00D422B2">
        <w:t>.</w:t>
      </w:r>
    </w:p>
    <w:p w:rsidRPr="000A42E7" w:rsidR="00C97ABB" w:rsidP="00C97ABB" w:rsidRDefault="00C97ABB" w14:paraId="785D955E" w14:textId="77777777">
      <w:pPr>
        <w:rPr>
          <w:b/>
          <w:bCs/>
        </w:rPr>
      </w:pPr>
    </w:p>
    <w:p w:rsidR="00C97ABB" w:rsidP="00C97ABB" w:rsidRDefault="00C97ABB" w14:paraId="393826A4" w14:textId="77777777">
      <w:r w:rsidRPr="00D422B2">
        <w:t xml:space="preserve">De Douane is een uitvoeringsorganisatie en handhaaft </w:t>
      </w:r>
      <w:r>
        <w:t xml:space="preserve">de </w:t>
      </w:r>
      <w:r w:rsidRPr="00D422B2">
        <w:t xml:space="preserve">juiste toepassing van </w:t>
      </w:r>
      <w:r>
        <w:t xml:space="preserve">geldende </w:t>
      </w:r>
      <w:r w:rsidRPr="00D422B2">
        <w:t xml:space="preserve">wet- en regelgeving, </w:t>
      </w:r>
      <w:r>
        <w:t xml:space="preserve">onder meer </w:t>
      </w:r>
      <w:r w:rsidRPr="00D422B2">
        <w:t xml:space="preserve">op het gebied van de verbruiksbelasting van alcoholvrije dranken. Voor de handhaving kan de Douane onder andere administratieve controles inzetten. Met dergelijke administratieve controles wordt aan de hand van de administratie gecontroleerd of belanghebbende zich in </w:t>
      </w:r>
      <w:r>
        <w:t>een vooraf bepaalde controleperiode</w:t>
      </w:r>
      <w:r w:rsidRPr="00D422B2">
        <w:t xml:space="preserve"> aan de </w:t>
      </w:r>
      <w:r>
        <w:t xml:space="preserve">in die periode </w:t>
      </w:r>
      <w:r w:rsidRPr="00D422B2">
        <w:t>geldende wet- en regelgeving heeft gehouden.</w:t>
      </w:r>
    </w:p>
    <w:p w:rsidRPr="00D422B2" w:rsidR="00C97ABB" w:rsidP="00C97ABB" w:rsidRDefault="00C97ABB" w14:paraId="3A2F4635" w14:textId="77777777"/>
    <w:p w:rsidRPr="00D422B2" w:rsidR="00C97ABB" w:rsidP="00C97ABB" w:rsidRDefault="00C97ABB" w14:paraId="42A536EC" w14:textId="77777777">
      <w:r w:rsidRPr="00D422B2">
        <w:t xml:space="preserve">Uit </w:t>
      </w:r>
      <w:r>
        <w:t>een</w:t>
      </w:r>
      <w:r w:rsidRPr="00D422B2">
        <w:t xml:space="preserve"> administratieve controle kan blijken dat in het verleden niet is voldaan aan de destijds geldende wet- en regelgeving. </w:t>
      </w:r>
      <w:r>
        <w:t>Wanneer</w:t>
      </w:r>
      <w:r w:rsidRPr="00D422B2">
        <w:t xml:space="preserve"> dat het geval is, kan de Douane naheffingen opleggen voor </w:t>
      </w:r>
      <w:r>
        <w:t>de</w:t>
      </w:r>
      <w:r w:rsidRPr="00D422B2">
        <w:t xml:space="preserve"> </w:t>
      </w:r>
      <w:r>
        <w:t>in het verleden liggende controleperiode</w:t>
      </w:r>
      <w:r w:rsidRPr="00D422B2">
        <w:t xml:space="preserve">. </w:t>
      </w:r>
      <w:r>
        <w:t xml:space="preserve"> </w:t>
      </w:r>
    </w:p>
    <w:p w:rsidR="00C97ABB" w:rsidP="00C97ABB" w:rsidRDefault="00C97ABB" w14:paraId="5738C324" w14:textId="77777777">
      <w:r w:rsidRPr="00D422B2">
        <w:lastRenderedPageBreak/>
        <w:t xml:space="preserve">Op basis van de Algemene wet inzake rijksbelastingen </w:t>
      </w:r>
      <w:r>
        <w:t xml:space="preserve">(AWR) </w:t>
      </w:r>
      <w:r w:rsidRPr="00D422B2">
        <w:t>kan de inspecteur de te weinig geheven belasting naheffen.</w:t>
      </w:r>
      <w:r w:rsidRPr="00D422B2">
        <w:rPr>
          <w:rStyle w:val="Voetnootmarkering"/>
        </w:rPr>
        <w:footnoteReference w:id="2"/>
      </w:r>
      <w:r w:rsidRPr="00D422B2">
        <w:t xml:space="preserve"> </w:t>
      </w:r>
      <w:r>
        <w:t xml:space="preserve">Dat betekent kort gezegd dat de belasting die te weinig is afgedragen, alsnog moet worden voldaan. </w:t>
      </w:r>
      <w:r w:rsidRPr="00787A31">
        <w:t>De bevoegdheid tot naheffing vervalt vijf jaren na het einde van het kalenderjaar waarin de belastingschuld is ontstaan of de teruggaaf is verleend.</w:t>
      </w:r>
      <w:r w:rsidRPr="00D422B2">
        <w:rPr>
          <w:rStyle w:val="Voetnootmarkering"/>
        </w:rPr>
        <w:footnoteReference w:id="3"/>
      </w:r>
      <w:r w:rsidRPr="00D422B2">
        <w:t xml:space="preserve"> </w:t>
      </w:r>
      <w:r>
        <w:t xml:space="preserve">In het jaar 2025 kan er dus een naheffing worden opgelegd over belasting die een belanghebbende was verschuldigd in het kalenderjaar 2020. Het op deze manier uitvoeren van administratieve controles is zeer gebruikelijk. Belasting wordt uiteraard alleen nageheven als blijkt dat een belanghebbende niet aan wet- en regelgeving heeft voldaan waardoor te weinig of geen belasting is afgedragen. </w:t>
      </w:r>
    </w:p>
    <w:p w:rsidR="00C97ABB" w:rsidP="00C97ABB" w:rsidRDefault="00C97ABB" w14:paraId="37A319E4" w14:textId="77777777"/>
    <w:p w:rsidR="00C97ABB" w:rsidP="00C97ABB" w:rsidRDefault="00C97ABB" w14:paraId="07250331" w14:textId="77777777">
      <w:r>
        <w:t>Uiteraard beschikken belanghebbenden hierbij over rechtsmiddelen. Als een belanghebbende het niet eens is met de naheffing omdat hij bijvoorbeeld van mening is wél aan wet- en regelgeving te hebben voldaan, kan hij bezwaar maken tegen de naheffingsaanslag. Uiteindelijk kunnen belanghebbenden hierover bij de belastingrechter terecht.</w:t>
      </w:r>
      <w:r w:rsidRPr="00085CB6">
        <w:t xml:space="preserve"> </w:t>
      </w:r>
      <w:r>
        <w:t xml:space="preserve">Naast de genoemde rechtsmiddelen bestaan er ook betalingsregelingen om te voorkomen dat belanghebbenden financieel in de problemen komen. Als belanghebbenden een aanslag hebben ontvangen die niet tijdig kan worden betaald, kan bij de Douane uitstel van betaling of een betalingsregeling worden aangevraagd. </w:t>
      </w:r>
    </w:p>
    <w:p w:rsidR="00C97ABB" w:rsidP="00C97ABB" w:rsidRDefault="00C97ABB" w14:paraId="31F82D98" w14:textId="77777777"/>
    <w:p w:rsidR="00C97ABB" w:rsidP="00C97ABB" w:rsidRDefault="00C97ABB" w14:paraId="18F9DBF0" w14:textId="77777777">
      <w:r>
        <w:t>Te allen tijde is v</w:t>
      </w:r>
      <w:r w:rsidRPr="00D422B2">
        <w:t xml:space="preserve">an belang dat wordt gecontroleerd op basis van de geldende wet- en regelgeving in </w:t>
      </w:r>
      <w:r>
        <w:t>de</w:t>
      </w:r>
      <w:r w:rsidRPr="00D422B2">
        <w:t xml:space="preserve"> </w:t>
      </w:r>
      <w:r>
        <w:t>controleperiode zelf</w:t>
      </w:r>
      <w:r w:rsidRPr="00D422B2">
        <w:t xml:space="preserve">. Die wet- en regelgeving is leidend bij de administratieve controle. </w:t>
      </w:r>
      <w:r>
        <w:t xml:space="preserve">Ook wordt bij een eventuele naheffing rekening gehouden </w:t>
      </w:r>
      <w:r w:rsidRPr="00D422B2">
        <w:t xml:space="preserve">met de </w:t>
      </w:r>
      <w:r>
        <w:t xml:space="preserve">algemene </w:t>
      </w:r>
      <w:r w:rsidRPr="00D422B2">
        <w:t>beginselen van behoorlijk bestuur.</w:t>
      </w:r>
    </w:p>
    <w:p w:rsidR="00C97ABB" w:rsidP="00C97ABB" w:rsidRDefault="00C97ABB" w14:paraId="4477571C" w14:textId="77777777"/>
    <w:p w:rsidRPr="0047646C" w:rsidR="00C97ABB" w:rsidP="00C97ABB" w:rsidRDefault="00C97ABB" w14:paraId="3155AD9B" w14:textId="77777777">
      <w:pPr>
        <w:rPr>
          <w:b/>
          <w:bCs/>
        </w:rPr>
      </w:pPr>
      <w:r w:rsidRPr="0047646C">
        <w:rPr>
          <w:b/>
          <w:bCs/>
        </w:rPr>
        <w:t>Vraa</w:t>
      </w:r>
      <w:r>
        <w:rPr>
          <w:b/>
          <w:bCs/>
        </w:rPr>
        <w:t>g 3</w:t>
      </w:r>
    </w:p>
    <w:p w:rsidR="00C97ABB" w:rsidP="00C97ABB" w:rsidRDefault="00C97ABB" w14:paraId="3EF1E462" w14:textId="77777777">
      <w:r w:rsidRPr="0047646C">
        <w:t>Klopt het dan ook dat ondernemers alleen op de hoogte konden zijn van deze verbruiksbelasting door het handboek verbruiksbelasting alcoholvrije dranken op de website van de Douane te lezen? Deelt u dan ook de mening dat dit voor ondernemers een lastige taak is om continu te volgen?</w:t>
      </w:r>
    </w:p>
    <w:p w:rsidRPr="0047646C" w:rsidR="00C97ABB" w:rsidP="00C97ABB" w:rsidRDefault="00C97ABB" w14:paraId="60D34B9B" w14:textId="77777777"/>
    <w:p w:rsidRPr="0047646C" w:rsidR="00C97ABB" w:rsidP="00C97ABB" w:rsidRDefault="00C97ABB" w14:paraId="25086881" w14:textId="77777777">
      <w:pPr>
        <w:rPr>
          <w:b/>
          <w:bCs/>
        </w:rPr>
      </w:pPr>
      <w:r>
        <w:rPr>
          <w:b/>
          <w:bCs/>
        </w:rPr>
        <w:t>Antwoord 3</w:t>
      </w:r>
    </w:p>
    <w:p w:rsidR="00C97ABB" w:rsidP="00C97ABB" w:rsidRDefault="00C97ABB" w14:paraId="4E9DE59E" w14:textId="77777777">
      <w:r>
        <w:t>Vooropstaat dat de</w:t>
      </w:r>
      <w:r w:rsidRPr="0036396C">
        <w:t xml:space="preserve"> wet altijd leidend</w:t>
      </w:r>
      <w:r>
        <w:t xml:space="preserve"> is.</w:t>
      </w:r>
      <w:r w:rsidRPr="0036396C">
        <w:t xml:space="preserve"> Die wet wordt geacht kenbaar te zijn voor </w:t>
      </w:r>
      <w:r>
        <w:t>belastingplichtigen en het is de plicht van de belastingplichtige zich hieraan te houden</w:t>
      </w:r>
      <w:r w:rsidRPr="0036396C">
        <w:t>.</w:t>
      </w:r>
      <w:r>
        <w:t xml:space="preserve"> In het geval een wetswijziging ophanden is, wordt dit ruim van tevoren </w:t>
      </w:r>
      <w:r>
        <w:lastRenderedPageBreak/>
        <w:t xml:space="preserve">aangekondigd en gecommuniceerd. </w:t>
      </w:r>
      <w:r w:rsidRPr="0036396C">
        <w:t xml:space="preserve"> </w:t>
      </w:r>
      <w:r>
        <w:t>Wat betreft producten die onder de verbruiksbelasting van alcoholvrije dranken vallen, geldt dat de wet sinds 1993 zo goed als ongewijzigd is gebleven.</w:t>
      </w:r>
      <w:r>
        <w:rPr>
          <w:rStyle w:val="Voetnootmarkering"/>
        </w:rPr>
        <w:footnoteReference w:id="4"/>
      </w:r>
      <w:r>
        <w:t xml:space="preserve"> Naast wetgeving heeft de Douane ook handboeken, waarnaar de leden verwijzen. In deze handboeken </w:t>
      </w:r>
      <w:r w:rsidRPr="0036396C">
        <w:t>wordt wet</w:t>
      </w:r>
      <w:r>
        <w:t>- en regel</w:t>
      </w:r>
      <w:r w:rsidRPr="0036396C">
        <w:t xml:space="preserve">geving uitgelegd </w:t>
      </w:r>
      <w:r>
        <w:t xml:space="preserve">met verwijzing naar van toepassing zijnde jurisprudentie. In een handboek worden primair </w:t>
      </w:r>
      <w:r w:rsidRPr="0036396C">
        <w:t>instructies gegeven voor</w:t>
      </w:r>
      <w:r>
        <w:t xml:space="preserve"> </w:t>
      </w:r>
      <w:r w:rsidRPr="0036396C">
        <w:t xml:space="preserve">de </w:t>
      </w:r>
      <w:r>
        <w:t xml:space="preserve">operationele </w:t>
      </w:r>
      <w:r w:rsidRPr="0036396C">
        <w:t>medewerkers van de Douane</w:t>
      </w:r>
      <w:r>
        <w:t xml:space="preserve"> zodat de wet zo consistent mogelijk kan worden toegepast</w:t>
      </w:r>
      <w:r w:rsidRPr="0036396C">
        <w:t xml:space="preserve">. </w:t>
      </w:r>
      <w:r>
        <w:t xml:space="preserve">Met het oog op een transparante overheid is het handboek verbruiksbelasting alcoholvrije dranken in 2017 openbaar gemaakt, waardoor externen ook </w:t>
      </w:r>
      <w:r w:rsidRPr="0036396C">
        <w:t xml:space="preserve">het handboek </w:t>
      </w:r>
      <w:r>
        <w:t xml:space="preserve">kunnen </w:t>
      </w:r>
      <w:r w:rsidRPr="0036396C">
        <w:t>raadplegen. Het handboek is in die zin een service en een verduidelijking van de wet</w:t>
      </w:r>
      <w:r>
        <w:t>- en regelgeving naar buiten toe</w:t>
      </w:r>
      <w:r w:rsidRPr="0036396C">
        <w:t>.</w:t>
      </w:r>
    </w:p>
    <w:p w:rsidR="00C97ABB" w:rsidP="00C97ABB" w:rsidRDefault="00C97ABB" w14:paraId="1A7EC68D" w14:textId="77777777"/>
    <w:p w:rsidR="00C97ABB" w:rsidP="00C97ABB" w:rsidRDefault="00C97ABB" w14:paraId="0C93D522" w14:textId="77777777">
      <w:r>
        <w:t xml:space="preserve">Communicatie vindt plaats via regulier contact tussen de Douane en het bedrijfsleven, bijvoorbeeld via het Overleg Douane Bedrijfsleven (ODB), het Douane Contact Center (DCC) of bij individuele klantbehandeling. </w:t>
      </w:r>
    </w:p>
    <w:p w:rsidR="00C97ABB" w:rsidP="00C97ABB" w:rsidRDefault="00C97ABB" w14:paraId="1E643EE3" w14:textId="77777777"/>
    <w:p w:rsidR="00C97ABB" w:rsidP="00C97ABB" w:rsidRDefault="00C97ABB" w14:paraId="06CD5386" w14:textId="77777777">
      <w:r w:rsidRPr="00A47D1B">
        <w:t>De Douane zet zich in voor transparantie, communicatie en dienstverlening. Openbaarmaking van bijvoorbeeld handboeken, verslagen van coördinatie- of kennisgroepen en kennisgroepstandpunten dragen hier in positieve zin aan bij.</w:t>
      </w:r>
    </w:p>
    <w:p w:rsidR="00C97ABB" w:rsidP="00C97ABB" w:rsidRDefault="00C97ABB" w14:paraId="0E09F2FB" w14:textId="77777777"/>
    <w:p w:rsidRPr="00AD2ADA" w:rsidR="00C97ABB" w:rsidP="00C97ABB" w:rsidRDefault="00C97ABB" w14:paraId="2EBB3C9C" w14:textId="77777777">
      <w:pPr>
        <w:rPr>
          <w:b/>
          <w:bCs/>
        </w:rPr>
      </w:pPr>
      <w:r>
        <w:rPr>
          <w:b/>
          <w:bCs/>
        </w:rPr>
        <w:t>Vraag 4</w:t>
      </w:r>
    </w:p>
    <w:p w:rsidRPr="00AD2ADA" w:rsidR="00C97ABB" w:rsidP="00C97ABB" w:rsidRDefault="00C97ABB" w14:paraId="6010F3B4" w14:textId="77777777">
      <w:r w:rsidRPr="00AD2ADA">
        <w:t>Hoe kijkt u aan tegen de kans dat deze bedrijven failliet gaan of ons land zullen verlaten door het innen van deze verbruiksbelasting met terugwerkende kracht? Wat wil hij hieraan doen?</w:t>
      </w:r>
    </w:p>
    <w:p w:rsidR="00C97ABB" w:rsidP="00C97ABB" w:rsidRDefault="00C97ABB" w14:paraId="056221BA" w14:textId="77777777"/>
    <w:p w:rsidRPr="00AD2ADA" w:rsidR="00C97ABB" w:rsidP="00C97ABB" w:rsidRDefault="00C97ABB" w14:paraId="20B48E2D" w14:textId="77777777">
      <w:pPr>
        <w:rPr>
          <w:b/>
          <w:bCs/>
        </w:rPr>
      </w:pPr>
      <w:r>
        <w:rPr>
          <w:b/>
          <w:bCs/>
        </w:rPr>
        <w:t>Antwoord 4</w:t>
      </w:r>
    </w:p>
    <w:p w:rsidRPr="00C76D0C" w:rsidR="00C97ABB" w:rsidP="00C97ABB" w:rsidRDefault="00C97ABB" w14:paraId="49BF1144" w14:textId="77777777">
      <w:r>
        <w:t xml:space="preserve">Zoals eerder toegelicht, kan de inspecteur belasting naheffen tot </w:t>
      </w:r>
      <w:r w:rsidRPr="00787A31">
        <w:t>vijf jaren na het einde van het kalenderjaar waarin de belastingschuld is ontstaan of de teruggaaf is verleend.</w:t>
      </w:r>
      <w:r>
        <w:t xml:space="preserve"> De nageheven bedragen zien op te weinig of niet betaalde belasting. Kortgezegd, de belanghebbende zou deze belasting in de vijf voorgaande jaren reeds betaald moeten hebben bij juiste toepassing van geldende wet- en regelgeving. Vanzelfsprekend is het niet de bedoeling dat bedrijven financieel in de problemen komen of het land verlaten door de heffing en inning van belastingen. Ondernemers kunnen bij de Douane een verzoek doen om uitstel van betaling of een betalingsregeling. Uiteraard geldt wel dat belasting die is verschuldigd, dient te </w:t>
      </w:r>
      <w:r>
        <w:lastRenderedPageBreak/>
        <w:t xml:space="preserve">worden voldaan. Dit is onder andere van belang in het kader van gelijkheid tussen belastingplichtige ondernemers onderling en tussen ondernemers en burgers. </w:t>
      </w:r>
    </w:p>
    <w:p w:rsidR="00C97ABB" w:rsidP="00C97ABB" w:rsidRDefault="00C97ABB" w14:paraId="42062B08" w14:textId="77777777">
      <w:pPr>
        <w:rPr>
          <w:b/>
          <w:bCs/>
        </w:rPr>
      </w:pPr>
    </w:p>
    <w:p w:rsidR="00C97ABB" w:rsidP="00C97ABB" w:rsidRDefault="00C97ABB" w14:paraId="01AD96C5" w14:textId="77777777">
      <w:pPr>
        <w:rPr>
          <w:b/>
          <w:bCs/>
        </w:rPr>
      </w:pPr>
      <w:r>
        <w:rPr>
          <w:b/>
          <w:bCs/>
        </w:rPr>
        <w:t>Vraag 5</w:t>
      </w:r>
    </w:p>
    <w:p w:rsidR="00C97ABB" w:rsidP="00C97ABB" w:rsidRDefault="00C97ABB" w14:paraId="7B7DB444" w14:textId="77777777">
      <w:r w:rsidRPr="00AD2ADA">
        <w:t>Volgens de wet zouden deze bedrijven een vergunning moeten hebben voor Inrichting voor Verbruiksbelastinggoederen (IVV): hoe kan het dat geen van deze acht producenten de vergunning heeft en hier niet van op de hoogte was?</w:t>
      </w:r>
    </w:p>
    <w:p w:rsidR="00C97ABB" w:rsidP="00C97ABB" w:rsidRDefault="00C97ABB" w14:paraId="20799775" w14:textId="77777777"/>
    <w:p w:rsidRPr="00AD2ADA" w:rsidR="00C97ABB" w:rsidP="00C97ABB" w:rsidRDefault="00C97ABB" w14:paraId="73B42C8E" w14:textId="77777777">
      <w:pPr>
        <w:rPr>
          <w:b/>
          <w:bCs/>
        </w:rPr>
      </w:pPr>
      <w:r>
        <w:rPr>
          <w:b/>
          <w:bCs/>
        </w:rPr>
        <w:t>Antwoord 5</w:t>
      </w:r>
    </w:p>
    <w:p w:rsidR="00C97ABB" w:rsidP="00C97ABB" w:rsidRDefault="00C97ABB" w14:paraId="621E479C" w14:textId="77777777">
      <w:r>
        <w:t xml:space="preserve">Zoals hiervoor aangegeven kan ik niet ingaan op individuele gevallen. Op basis van de Wet op de verbruiksbelasting van alcoholvrije dranken geldt dat voor de productie van verbruiksbelastinggoederen vooraf een vergunning inrichting voor verbruiksbelastinggoederen (‘IVV’) door de inspecteur moet zijn afgegeven. Voor goederen die zijn uitgezonderd van verbruiksbelasting is een dergelijke vergunning wettelijk niet vereist. Het is de verantwoordelijkheid van de ondernemer om aan alle geldende wet- en regelgeving te voldoen. Zoals gezegd ga ik hier niet verder in op individuele gevallen.  </w:t>
      </w:r>
    </w:p>
    <w:p w:rsidRPr="008342DF" w:rsidR="00C97ABB" w:rsidP="00C97ABB" w:rsidRDefault="00C97ABB" w14:paraId="3EAE079C" w14:textId="77777777"/>
    <w:p w:rsidR="00C97ABB" w:rsidP="00C97ABB" w:rsidRDefault="00C97ABB" w14:paraId="3566C0A4" w14:textId="77777777">
      <w:pPr>
        <w:rPr>
          <w:b/>
          <w:bCs/>
        </w:rPr>
      </w:pPr>
      <w:r>
        <w:rPr>
          <w:b/>
          <w:bCs/>
        </w:rPr>
        <w:t>Vraag 6</w:t>
      </w:r>
    </w:p>
    <w:p w:rsidRPr="00306CD6" w:rsidR="00C97ABB" w:rsidP="00C97ABB" w:rsidRDefault="00C97ABB" w14:paraId="41F92CAB" w14:textId="77777777">
      <w:r w:rsidRPr="00306CD6">
        <w:t>Waarom worden deze bedrijven nu alsnog verplicht deze vergunning aan te vragen en klopt het dat zij met sluiting worden gedwongen als zij dit niet doen?</w:t>
      </w:r>
    </w:p>
    <w:p w:rsidR="00C97ABB" w:rsidP="00C97ABB" w:rsidRDefault="00C97ABB" w14:paraId="0F3374D7" w14:textId="77777777"/>
    <w:p w:rsidRPr="00306CD6" w:rsidR="00C97ABB" w:rsidP="00C97ABB" w:rsidRDefault="00C97ABB" w14:paraId="441611FB" w14:textId="77777777">
      <w:pPr>
        <w:rPr>
          <w:b/>
          <w:bCs/>
        </w:rPr>
      </w:pPr>
      <w:r>
        <w:rPr>
          <w:b/>
          <w:bCs/>
        </w:rPr>
        <w:t>Antwoord 6</w:t>
      </w:r>
    </w:p>
    <w:p w:rsidR="00C97ABB" w:rsidP="00C97ABB" w:rsidRDefault="00C97ABB" w14:paraId="1DBC94AA" w14:textId="77777777">
      <w:r>
        <w:t>Ik herhaal graag dat ik va</w:t>
      </w:r>
      <w:r w:rsidRPr="00D422B2">
        <w:t xml:space="preserve">nwege de fiscale geheimhoudingsplicht </w:t>
      </w:r>
      <w:r>
        <w:t xml:space="preserve">en mogelijk lopende procedures niet in kan gaan </w:t>
      </w:r>
      <w:r w:rsidRPr="00D422B2">
        <w:t>op individuele gevallen.</w:t>
      </w:r>
      <w:r>
        <w:t xml:space="preserve"> In het algemeen geldt het volgende. Als uit de administratieve controle blijkt dat de goederen die worden geproduceerd belast zijn met verbruiksbelasting, dan moet de betreffende belanghebbende alsnog een vergunning IVV aanvragen bij de inspecteur. Het is ter beoordeling van de inspecteur of wordt voldaan aan de voorwaarden zodat de vergunning kan worden afgegeven. </w:t>
      </w:r>
    </w:p>
    <w:p w:rsidR="00C97ABB" w:rsidP="00C97ABB" w:rsidRDefault="00C97ABB" w14:paraId="66A0065C" w14:textId="77777777"/>
    <w:p w:rsidR="00C97ABB" w:rsidP="00C97ABB" w:rsidRDefault="00C97ABB" w14:paraId="2420F800" w14:textId="77777777">
      <w:r>
        <w:t>Het is wettelijk verboden om verbruiksbelastinggoederen te produceren zonder een daarvoor aangewezen vergunning. Het tot sluiting dwingen van bedrijven behoort niet tot de bevoegdheden van de Douane.</w:t>
      </w:r>
    </w:p>
    <w:p w:rsidR="00C97ABB" w:rsidP="00C97ABB" w:rsidRDefault="00C97ABB" w14:paraId="1FD6E627" w14:textId="77777777"/>
    <w:p w:rsidRPr="00D115A4" w:rsidR="00C97ABB" w:rsidP="00C97ABB" w:rsidRDefault="00C97ABB" w14:paraId="12482AF5" w14:textId="77777777">
      <w:r>
        <w:rPr>
          <w:b/>
          <w:bCs/>
        </w:rPr>
        <w:lastRenderedPageBreak/>
        <w:t>Vraag 7</w:t>
      </w:r>
    </w:p>
    <w:p w:rsidRPr="00306CD6" w:rsidR="00C97ABB" w:rsidP="00C97ABB" w:rsidRDefault="00C97ABB" w14:paraId="75A4A2BC" w14:textId="77777777">
      <w:r w:rsidRPr="00306CD6">
        <w:t>Hoe kijkt u aan tegen de interpretatie dat voedingssupplementen in poedervorm die wei bevatten, onder ranja vallen en gaat die strekking dan niet veel verder dan ooit de bedoeling was bij het opstellen van de wet?</w:t>
      </w:r>
    </w:p>
    <w:p w:rsidR="00C97ABB" w:rsidP="00C97ABB" w:rsidRDefault="00C97ABB" w14:paraId="48040D2B" w14:textId="77777777"/>
    <w:p w:rsidRPr="00306CD6" w:rsidR="00C97ABB" w:rsidP="00C97ABB" w:rsidRDefault="00C97ABB" w14:paraId="5E7A02A9" w14:textId="77777777">
      <w:pPr>
        <w:rPr>
          <w:b/>
          <w:bCs/>
        </w:rPr>
      </w:pPr>
      <w:r>
        <w:rPr>
          <w:b/>
          <w:bCs/>
        </w:rPr>
        <w:t>Antwoord 7</w:t>
      </w:r>
    </w:p>
    <w:p w:rsidR="00C97ABB" w:rsidP="00C97ABB" w:rsidRDefault="00C97ABB" w14:paraId="09C4F7A5" w14:textId="77777777">
      <w:r>
        <w:t xml:space="preserve">Alcoholvrije dranken </w:t>
      </w:r>
      <w:r w:rsidRPr="00497CE5">
        <w:t>in vaste vorm</w:t>
      </w:r>
      <w:r>
        <w:t xml:space="preserve"> (bijvoorbeeld poeder)</w:t>
      </w:r>
      <w:r w:rsidRPr="00497CE5">
        <w:t xml:space="preserve"> of als concentraat</w:t>
      </w:r>
      <w:r>
        <w:t xml:space="preserve"> die zijn bestemd om door </w:t>
      </w:r>
      <w:proofErr w:type="spellStart"/>
      <w:r>
        <w:t>aanlenging</w:t>
      </w:r>
      <w:proofErr w:type="spellEnd"/>
      <w:r>
        <w:t xml:space="preserve"> alcoholvrije dranken te maken die kennelijk zijn bestemd om onverwarmd te worden gedronken, worden al sinds de introductie van de verbruiksbelasting van alcoholvrije dranken in 1993 belast.</w:t>
      </w:r>
      <w:r>
        <w:rPr>
          <w:rStyle w:val="Voetnootmarkering"/>
        </w:rPr>
        <w:footnoteReference w:id="5"/>
      </w:r>
      <w:r>
        <w:rPr>
          <w:rStyle w:val="Voetnootmarkering"/>
        </w:rPr>
        <w:t xml:space="preserve"> </w:t>
      </w:r>
      <w:r>
        <w:t xml:space="preserve">Dergelijke dranken worden belast aan de hand van een omrekening van het volume van het product in vaste of geconcentreerde vorm naar het volume van een alcoholvrije drank op basis van de factor </w:t>
      </w:r>
      <w:r w:rsidRPr="00923990">
        <w:t>4.</w:t>
      </w:r>
      <w:r>
        <w:t xml:space="preserve"> Dat betekent dat 1 liter concentraat wordt belast als 4 liter gereed product.</w:t>
      </w:r>
    </w:p>
    <w:p w:rsidR="00C97ABB" w:rsidP="00C97ABB" w:rsidRDefault="00C97ABB" w14:paraId="645D3E25" w14:textId="77777777"/>
    <w:p w:rsidR="00C97ABB" w:rsidP="00C97ABB" w:rsidRDefault="00C97ABB" w14:paraId="6825FD09" w14:textId="77777777">
      <w:r>
        <w:t>Wei of andere alcoholvrije dranken die wei bevatten, zijn expliciet niet uitgezonderd van de verbruiksbelasting van alcoholvrije dranken. Ook niet als zij in vaste vorm of als concentraat worden aangeboden. De wet beschrijft dat melk of uit melk bereide dranken, “</w:t>
      </w:r>
      <w:r w:rsidRPr="007C3316">
        <w:t xml:space="preserve">niet zijnde een uit wei of </w:t>
      </w:r>
      <w:proofErr w:type="spellStart"/>
      <w:r w:rsidRPr="007C3316">
        <w:t>weiproducten</w:t>
      </w:r>
      <w:proofErr w:type="spellEnd"/>
      <w:r w:rsidRPr="007C3316">
        <w:t xml:space="preserve"> vervaardigde drank</w:t>
      </w:r>
      <w:r>
        <w:t>”, zijn vrijgesteld van de belasting. Ook deze zinsnede staat reeds sinds de introductie van de verbruiksbelasting van alcoholvrije dranken in 1993 in de wet.</w:t>
      </w:r>
      <w:r>
        <w:rPr>
          <w:rStyle w:val="Voetnootmarkering"/>
        </w:rPr>
        <w:footnoteReference w:id="6"/>
      </w:r>
      <w:r>
        <w:t xml:space="preserve"> Er is daarbij geen grens bepaald van de hoeveelheid wei die aanwezig moet zijn om te spreken van een uit wei of </w:t>
      </w:r>
      <w:proofErr w:type="spellStart"/>
      <w:r>
        <w:t>weiproducten</w:t>
      </w:r>
      <w:proofErr w:type="spellEnd"/>
      <w:r>
        <w:t xml:space="preserve"> vervaardigde drank.</w:t>
      </w:r>
    </w:p>
    <w:p w:rsidRPr="00CB1668" w:rsidR="00C97ABB" w:rsidP="00C97ABB" w:rsidRDefault="00C97ABB" w14:paraId="14693C2E" w14:textId="77777777">
      <w:r>
        <w:t xml:space="preserve">Dat de preparaten in poedervorm, zoals beschreven door de leden, worden belast onder de verbruiksbelasting van alcoholvrije dranken is dus geen onbedoeld gevolg van de wet. Deze preparaten maken geen onderdeel uit van de richtlijnen Goede Voeding van de Gezondheidsraad. Er zijn dan ook geen gezondheidsargumenten om deze preparaten een uitzonderingspositie te geven. </w:t>
      </w:r>
    </w:p>
    <w:p w:rsidR="00C97ABB" w:rsidP="00C97ABB" w:rsidRDefault="00C97ABB" w14:paraId="2436787F" w14:textId="77777777">
      <w:pPr>
        <w:rPr>
          <w:b/>
          <w:bCs/>
        </w:rPr>
      </w:pPr>
    </w:p>
    <w:p w:rsidRPr="00306CD6" w:rsidR="00C97ABB" w:rsidP="00C97ABB" w:rsidRDefault="00C97ABB" w14:paraId="58B95410" w14:textId="77777777">
      <w:r>
        <w:rPr>
          <w:b/>
          <w:bCs/>
        </w:rPr>
        <w:t>Vraag 8</w:t>
      </w:r>
    </w:p>
    <w:p w:rsidRPr="00306CD6" w:rsidR="00C97ABB" w:rsidP="00C97ABB" w:rsidRDefault="00C97ABB" w14:paraId="58DABEEE" w14:textId="77777777">
      <w:r w:rsidRPr="00306CD6">
        <w:t>Bent u het ermee eens dat ondernemen in Nederland weer leuk moet worden, dat we onze ondernemers moeten koesteren en moeten voorkomen dat zij de ons land verlaten?</w:t>
      </w:r>
    </w:p>
    <w:p w:rsidR="00C97ABB" w:rsidP="00C97ABB" w:rsidRDefault="00C97ABB" w14:paraId="5ADB977C" w14:textId="77777777"/>
    <w:p w:rsidRPr="00306CD6" w:rsidR="00C97ABB" w:rsidP="00C97ABB" w:rsidRDefault="00C97ABB" w14:paraId="354F66E2" w14:textId="77777777">
      <w:pPr>
        <w:rPr>
          <w:b/>
          <w:bCs/>
        </w:rPr>
      </w:pPr>
      <w:r>
        <w:rPr>
          <w:b/>
          <w:bCs/>
        </w:rPr>
        <w:lastRenderedPageBreak/>
        <w:t>Antwoord 8</w:t>
      </w:r>
    </w:p>
    <w:p w:rsidRPr="00374051" w:rsidR="00C97ABB" w:rsidP="00C97ABB" w:rsidRDefault="00C97ABB" w14:paraId="422AC916" w14:textId="77777777">
      <w:r>
        <w:t xml:space="preserve">Het kabinet zet zich onverminderd in voor een goed ondernemingsklimaat in Nederland, met de juiste randvoorwaarden. Zoals een sterke internationale concurrentiepositie en een gelijk speelveld tussen bedrijven. Juist in het kader van een gelijk speelveld tussen bedrijven is het van belang dat belasting wordt nageheven als blijkt dat een belanghebbende niet aan wet- en regelgeving heeft voldaan waardoor te weinig of geen belasting is afgedragen.   </w:t>
      </w:r>
    </w:p>
    <w:p w:rsidRPr="00BB062A" w:rsidR="00C97ABB" w:rsidP="00C97ABB" w:rsidRDefault="00C97ABB" w14:paraId="7E713ACA" w14:textId="77777777"/>
    <w:p w:rsidR="009A0FAC" w:rsidRDefault="009A0FAC" w14:paraId="58E94381" w14:textId="77777777"/>
    <w:sectPr w:rsidR="009A0FAC" w:rsidSect="00C97ABB">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74281" w14:textId="77777777" w:rsidR="00C97ABB" w:rsidRDefault="00C97ABB" w:rsidP="00C97ABB">
      <w:pPr>
        <w:spacing w:after="0" w:line="240" w:lineRule="auto"/>
      </w:pPr>
      <w:r>
        <w:separator/>
      </w:r>
    </w:p>
  </w:endnote>
  <w:endnote w:type="continuationSeparator" w:id="0">
    <w:p w14:paraId="3FA8FC0B" w14:textId="77777777" w:rsidR="00C97ABB" w:rsidRDefault="00C97ABB" w:rsidP="00C9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4C7B" w14:textId="77777777" w:rsidR="00C97ABB" w:rsidRPr="00C97ABB" w:rsidRDefault="00C97ABB" w:rsidP="00C97A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4145" w14:textId="77777777" w:rsidR="00C97ABB" w:rsidRPr="00C97ABB" w:rsidRDefault="00C97ABB" w:rsidP="00C97A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4914" w14:textId="77777777" w:rsidR="00C97ABB" w:rsidRPr="00C97ABB" w:rsidRDefault="00C97ABB" w:rsidP="00C97A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6B27E" w14:textId="77777777" w:rsidR="00C97ABB" w:rsidRDefault="00C97ABB" w:rsidP="00C97ABB">
      <w:pPr>
        <w:spacing w:after="0" w:line="240" w:lineRule="auto"/>
      </w:pPr>
      <w:r>
        <w:separator/>
      </w:r>
    </w:p>
  </w:footnote>
  <w:footnote w:type="continuationSeparator" w:id="0">
    <w:p w14:paraId="40D147E6" w14:textId="77777777" w:rsidR="00C97ABB" w:rsidRDefault="00C97ABB" w:rsidP="00C97ABB">
      <w:pPr>
        <w:spacing w:after="0" w:line="240" w:lineRule="auto"/>
      </w:pPr>
      <w:r>
        <w:continuationSeparator/>
      </w:r>
    </w:p>
  </w:footnote>
  <w:footnote w:id="1">
    <w:p w14:paraId="1E9BFC57" w14:textId="77777777" w:rsidR="00C97ABB" w:rsidRPr="00BC5104" w:rsidRDefault="00C97ABB" w:rsidP="00C97ABB">
      <w:pPr>
        <w:pStyle w:val="Voetnoottekst"/>
        <w:rPr>
          <w:rFonts w:ascii="Verdana" w:hAnsi="Verdana"/>
          <w:sz w:val="16"/>
          <w:szCs w:val="16"/>
        </w:rPr>
      </w:pPr>
      <w:r w:rsidRPr="00BC5104">
        <w:rPr>
          <w:rStyle w:val="Voetnootmarkering"/>
          <w:rFonts w:ascii="Verdana" w:hAnsi="Verdana"/>
          <w:sz w:val="16"/>
          <w:szCs w:val="16"/>
        </w:rPr>
        <w:footnoteRef/>
      </w:r>
      <w:r w:rsidRPr="00BC5104">
        <w:rPr>
          <w:rFonts w:ascii="Verdana" w:hAnsi="Verdana"/>
          <w:sz w:val="16"/>
          <w:szCs w:val="16"/>
        </w:rPr>
        <w:t xml:space="preserve"> Artikel 67 AWR.</w:t>
      </w:r>
    </w:p>
  </w:footnote>
  <w:footnote w:id="2">
    <w:p w14:paraId="612C49FB" w14:textId="77777777" w:rsidR="00C97ABB" w:rsidRPr="00BC5104" w:rsidRDefault="00C97ABB" w:rsidP="00C97ABB">
      <w:pPr>
        <w:pStyle w:val="Voetnoottekst"/>
        <w:rPr>
          <w:rFonts w:ascii="Verdana" w:hAnsi="Verdana"/>
          <w:sz w:val="16"/>
          <w:szCs w:val="16"/>
        </w:rPr>
      </w:pPr>
      <w:r w:rsidRPr="00BC5104">
        <w:rPr>
          <w:rStyle w:val="Voetnootmarkering"/>
          <w:rFonts w:ascii="Verdana" w:hAnsi="Verdana"/>
          <w:sz w:val="16"/>
          <w:szCs w:val="16"/>
        </w:rPr>
        <w:footnoteRef/>
      </w:r>
      <w:r w:rsidRPr="00BC5104">
        <w:rPr>
          <w:rFonts w:ascii="Verdana" w:hAnsi="Verdana"/>
          <w:sz w:val="16"/>
          <w:szCs w:val="16"/>
        </w:rPr>
        <w:t xml:space="preserve"> Artikel 20, eerste lid, AWR.</w:t>
      </w:r>
    </w:p>
  </w:footnote>
  <w:footnote w:id="3">
    <w:p w14:paraId="7B1EFABF" w14:textId="77777777" w:rsidR="00C97ABB" w:rsidRPr="00BC5104" w:rsidRDefault="00C97ABB" w:rsidP="00C97ABB">
      <w:pPr>
        <w:pStyle w:val="Voetnoottekst"/>
        <w:rPr>
          <w:rFonts w:ascii="Verdana" w:hAnsi="Verdana"/>
          <w:sz w:val="16"/>
          <w:szCs w:val="16"/>
        </w:rPr>
      </w:pPr>
      <w:r w:rsidRPr="00BC5104">
        <w:rPr>
          <w:rStyle w:val="Voetnootmarkering"/>
          <w:rFonts w:ascii="Verdana" w:hAnsi="Verdana"/>
          <w:sz w:val="16"/>
          <w:szCs w:val="16"/>
        </w:rPr>
        <w:footnoteRef/>
      </w:r>
      <w:r w:rsidRPr="00BC5104">
        <w:rPr>
          <w:rFonts w:ascii="Verdana" w:hAnsi="Verdana"/>
          <w:sz w:val="16"/>
          <w:szCs w:val="16"/>
        </w:rPr>
        <w:t xml:space="preserve"> Artikel 20, derde lid, AWR.</w:t>
      </w:r>
    </w:p>
  </w:footnote>
  <w:footnote w:id="4">
    <w:p w14:paraId="6E86660C" w14:textId="77777777" w:rsidR="00C97ABB" w:rsidRPr="00BC5104" w:rsidRDefault="00C97ABB" w:rsidP="00C97ABB">
      <w:pPr>
        <w:pStyle w:val="Voetnoottekst"/>
        <w:rPr>
          <w:rFonts w:ascii="Verdana" w:hAnsi="Verdana"/>
          <w:sz w:val="16"/>
          <w:szCs w:val="16"/>
        </w:rPr>
      </w:pPr>
      <w:r w:rsidRPr="00BC5104">
        <w:rPr>
          <w:rStyle w:val="Voetnootmarkering"/>
          <w:rFonts w:ascii="Verdana" w:hAnsi="Verdana"/>
          <w:sz w:val="16"/>
          <w:szCs w:val="16"/>
        </w:rPr>
        <w:footnoteRef/>
      </w:r>
      <w:r w:rsidRPr="00BC5104">
        <w:rPr>
          <w:rFonts w:ascii="Verdana" w:hAnsi="Verdana"/>
          <w:sz w:val="16"/>
          <w:szCs w:val="16"/>
        </w:rPr>
        <w:t xml:space="preserve"> Per 2024 is mineraalwater uitgezonderd van de verbruiksbelasting van alcoholvrije dranken. Per 2027 wordt de zuiveluitzondering aangepast, zoals aangekondigd in het Pakket Belastingplan 2026.</w:t>
      </w:r>
    </w:p>
  </w:footnote>
  <w:footnote w:id="5">
    <w:p w14:paraId="3505D385" w14:textId="77777777" w:rsidR="00C97ABB" w:rsidRPr="00BC5104" w:rsidRDefault="00C97ABB" w:rsidP="00C97ABB">
      <w:pPr>
        <w:pStyle w:val="Voetnoottekst"/>
        <w:rPr>
          <w:rFonts w:ascii="Verdana" w:hAnsi="Verdana"/>
          <w:sz w:val="16"/>
          <w:szCs w:val="16"/>
        </w:rPr>
      </w:pPr>
      <w:r w:rsidRPr="00BC5104">
        <w:rPr>
          <w:rStyle w:val="Voetnootmarkering"/>
          <w:rFonts w:ascii="Verdana" w:hAnsi="Verdana"/>
          <w:sz w:val="16"/>
          <w:szCs w:val="16"/>
        </w:rPr>
        <w:footnoteRef/>
      </w:r>
      <w:r w:rsidRPr="00BC5104">
        <w:rPr>
          <w:rFonts w:ascii="Verdana" w:hAnsi="Verdana"/>
          <w:sz w:val="16"/>
          <w:szCs w:val="16"/>
        </w:rPr>
        <w:t xml:space="preserve"> Kamerstukken II 1992/93, 22 843, nr. 3, pg. 7. Zie ook artikel 9, eerste lid, Wet op de verbruiksbelasting van alcoholvrije dranken. </w:t>
      </w:r>
    </w:p>
  </w:footnote>
  <w:footnote w:id="6">
    <w:p w14:paraId="3B906437" w14:textId="77777777" w:rsidR="00C97ABB" w:rsidRPr="00BC5104" w:rsidRDefault="00C97ABB" w:rsidP="00C97ABB">
      <w:pPr>
        <w:pStyle w:val="Voetnoottekst"/>
        <w:rPr>
          <w:rFonts w:ascii="Verdana" w:hAnsi="Verdana"/>
          <w:sz w:val="16"/>
          <w:szCs w:val="16"/>
        </w:rPr>
      </w:pPr>
      <w:r w:rsidRPr="00BC5104">
        <w:rPr>
          <w:rStyle w:val="Voetnootmarkering"/>
          <w:rFonts w:ascii="Verdana" w:hAnsi="Verdana"/>
          <w:sz w:val="16"/>
          <w:szCs w:val="16"/>
        </w:rPr>
        <w:footnoteRef/>
      </w:r>
      <w:r w:rsidRPr="00BC5104">
        <w:rPr>
          <w:rFonts w:ascii="Verdana" w:hAnsi="Verdana"/>
          <w:sz w:val="16"/>
          <w:szCs w:val="16"/>
        </w:rPr>
        <w:t xml:space="preserve"> De zinsnede is tijdens de behandeling van het wetsvoorstel in 1992 per amendement in de wet opgenomen. Zie: Kamerstukken II 1992/93, 22 843,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6B35" w14:textId="77777777" w:rsidR="00C97ABB" w:rsidRPr="00C97ABB" w:rsidRDefault="00C97ABB" w:rsidP="00C97A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58FE" w14:textId="77777777" w:rsidR="00C97ABB" w:rsidRPr="00C97ABB" w:rsidRDefault="00C97ABB" w:rsidP="00C97A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45BC" w14:textId="77777777" w:rsidR="00C97ABB" w:rsidRPr="00C97ABB" w:rsidRDefault="00C97ABB" w:rsidP="00C97A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ABB"/>
    <w:rsid w:val="001D6E27"/>
    <w:rsid w:val="009A0FAC"/>
    <w:rsid w:val="00C97A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4063"/>
  <w15:chartTrackingRefBased/>
  <w15:docId w15:val="{BF52BEF9-A7DF-4E16-8754-B8AF02D6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7A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97A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97AB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97AB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97AB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97A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7A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7A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7A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7AB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97AB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97AB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97AB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97AB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97A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7A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7A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7ABB"/>
    <w:rPr>
      <w:rFonts w:eastAsiaTheme="majorEastAsia" w:cstheme="majorBidi"/>
      <w:color w:val="272727" w:themeColor="text1" w:themeTint="D8"/>
    </w:rPr>
  </w:style>
  <w:style w:type="paragraph" w:styleId="Titel">
    <w:name w:val="Title"/>
    <w:basedOn w:val="Standaard"/>
    <w:next w:val="Standaard"/>
    <w:link w:val="TitelChar"/>
    <w:uiPriority w:val="10"/>
    <w:qFormat/>
    <w:rsid w:val="00C97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7A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7A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7A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7A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7ABB"/>
    <w:rPr>
      <w:i/>
      <w:iCs/>
      <w:color w:val="404040" w:themeColor="text1" w:themeTint="BF"/>
    </w:rPr>
  </w:style>
  <w:style w:type="paragraph" w:styleId="Lijstalinea">
    <w:name w:val="List Paragraph"/>
    <w:basedOn w:val="Standaard"/>
    <w:uiPriority w:val="34"/>
    <w:qFormat/>
    <w:rsid w:val="00C97ABB"/>
    <w:pPr>
      <w:ind w:left="720"/>
      <w:contextualSpacing/>
    </w:pPr>
  </w:style>
  <w:style w:type="character" w:styleId="Intensievebenadrukking">
    <w:name w:val="Intense Emphasis"/>
    <w:basedOn w:val="Standaardalinea-lettertype"/>
    <w:uiPriority w:val="21"/>
    <w:qFormat/>
    <w:rsid w:val="00C97ABB"/>
    <w:rPr>
      <w:i/>
      <w:iCs/>
      <w:color w:val="2F5496" w:themeColor="accent1" w:themeShade="BF"/>
    </w:rPr>
  </w:style>
  <w:style w:type="paragraph" w:styleId="Duidelijkcitaat">
    <w:name w:val="Intense Quote"/>
    <w:basedOn w:val="Standaard"/>
    <w:next w:val="Standaard"/>
    <w:link w:val="DuidelijkcitaatChar"/>
    <w:uiPriority w:val="30"/>
    <w:qFormat/>
    <w:rsid w:val="00C97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97ABB"/>
    <w:rPr>
      <w:i/>
      <w:iCs/>
      <w:color w:val="2F5496" w:themeColor="accent1" w:themeShade="BF"/>
    </w:rPr>
  </w:style>
  <w:style w:type="character" w:styleId="Intensieveverwijzing">
    <w:name w:val="Intense Reference"/>
    <w:basedOn w:val="Standaardalinea-lettertype"/>
    <w:uiPriority w:val="32"/>
    <w:qFormat/>
    <w:rsid w:val="00C97ABB"/>
    <w:rPr>
      <w:b/>
      <w:bCs/>
      <w:smallCaps/>
      <w:color w:val="2F5496" w:themeColor="accent1" w:themeShade="BF"/>
      <w:spacing w:val="5"/>
    </w:rPr>
  </w:style>
  <w:style w:type="paragraph" w:customStyle="1" w:styleId="Rubricering">
    <w:name w:val="Rubricering"/>
    <w:basedOn w:val="Standaard"/>
    <w:next w:val="Standaard"/>
    <w:rsid w:val="00C97ABB"/>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C97AB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C97AB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97AB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97AB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97AB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97ABB"/>
    <w:rPr>
      <w:sz w:val="20"/>
      <w:szCs w:val="20"/>
    </w:rPr>
  </w:style>
  <w:style w:type="character" w:styleId="Voetnootmarkering">
    <w:name w:val="footnote reference"/>
    <w:basedOn w:val="Standaardalinea-lettertype"/>
    <w:uiPriority w:val="99"/>
    <w:semiHidden/>
    <w:unhideWhenUsed/>
    <w:rsid w:val="00C97ABB"/>
    <w:rPr>
      <w:vertAlign w:val="superscript"/>
    </w:rPr>
  </w:style>
  <w:style w:type="paragraph" w:styleId="Koptekst">
    <w:name w:val="header"/>
    <w:basedOn w:val="Standaard"/>
    <w:link w:val="KoptekstChar"/>
    <w:uiPriority w:val="99"/>
    <w:unhideWhenUsed/>
    <w:rsid w:val="00C97A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7ABB"/>
  </w:style>
  <w:style w:type="paragraph" w:styleId="Voettekst">
    <w:name w:val="footer"/>
    <w:basedOn w:val="Standaard"/>
    <w:link w:val="VoettekstChar"/>
    <w:uiPriority w:val="99"/>
    <w:unhideWhenUsed/>
    <w:rsid w:val="00C97A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7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1590</ap:Words>
  <ap:Characters>8746</ap:Characters>
  <ap:DocSecurity>0</ap:DocSecurity>
  <ap:Lines>72</ap:Lines>
  <ap:Paragraphs>20</ap:Paragraphs>
  <ap:ScaleCrop>false</ap:ScaleCrop>
  <ap:LinksUpToDate>false</ap:LinksUpToDate>
  <ap:CharactersWithSpaces>10316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2026-01-29T15:28:00.0000000Z</dcterms:created>
  <dcterms:modified xsi:type="dcterms:W3CDTF">2026-01-29T15:29:00.0000000Z</dcterms:modified>
  <version/>
  <category/>
</coreProperties>
</file>