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21A9" w:rsidP="004C72F3" w:rsidRDefault="00C101C2" w14:paraId="2FF3AA75" w14:textId="77777777">
      <w:pPr>
        <w:spacing w:after="0" w:line="276" w:lineRule="auto"/>
        <w:contextualSpacing/>
        <w:rPr>
          <w:b/>
          <w:szCs w:val="18"/>
          <w:lang w:val="nl-NL"/>
        </w:rPr>
      </w:pPr>
      <w:bookmarkStart w:name="_Hlk108774585" w:id="0"/>
      <w:r>
        <w:rPr>
          <w:b/>
          <w:szCs w:val="18"/>
          <w:lang w:val="nl-NL"/>
        </w:rPr>
        <w:t xml:space="preserve">VERSLAG RAAD </w:t>
      </w:r>
      <w:r w:rsidR="002F0727">
        <w:rPr>
          <w:b/>
          <w:szCs w:val="18"/>
          <w:lang w:val="nl-NL"/>
        </w:rPr>
        <w:t xml:space="preserve">ALGEMENE </w:t>
      </w:r>
      <w:r>
        <w:rPr>
          <w:b/>
          <w:szCs w:val="18"/>
          <w:lang w:val="nl-NL"/>
        </w:rPr>
        <w:t xml:space="preserve">ZAKEN VAN </w:t>
      </w:r>
      <w:r w:rsidR="007D15B9">
        <w:rPr>
          <w:b/>
          <w:szCs w:val="18"/>
          <w:lang w:val="nl-NL"/>
        </w:rPr>
        <w:t>26 JANUARI 2026</w:t>
      </w:r>
      <w:r>
        <w:rPr>
          <w:b/>
          <w:szCs w:val="18"/>
          <w:lang w:val="nl-NL"/>
        </w:rPr>
        <w:t xml:space="preserve"> </w:t>
      </w:r>
    </w:p>
    <w:p w:rsidRPr="00EC20CD" w:rsidR="00EC20CD" w:rsidP="004C72F3" w:rsidRDefault="00EC20CD" w14:paraId="332FCDD9" w14:textId="5764DEEA">
      <w:pPr>
        <w:spacing w:after="0" w:line="276" w:lineRule="auto"/>
        <w:contextualSpacing/>
        <w:rPr>
          <w:bCs/>
          <w:szCs w:val="18"/>
          <w:lang w:val="nl-NL"/>
        </w:rPr>
      </w:pPr>
      <w:r>
        <w:rPr>
          <w:bCs/>
          <w:szCs w:val="18"/>
          <w:lang w:val="nl-NL"/>
        </w:rPr>
        <w:t xml:space="preserve">Op maandag 26 januari jl. vond de Raad Algemene Zaken plaats in Brussel. </w:t>
      </w:r>
      <w:r w:rsidRPr="009B6453">
        <w:rPr>
          <w:bCs/>
          <w:szCs w:val="18"/>
          <w:lang w:val="nl-NL"/>
        </w:rPr>
        <w:t>Op de agenda stond</w:t>
      </w:r>
      <w:r w:rsidR="004A73F5">
        <w:rPr>
          <w:bCs/>
          <w:szCs w:val="18"/>
          <w:lang w:val="nl-NL"/>
        </w:rPr>
        <w:t>en</w:t>
      </w:r>
      <w:r w:rsidRPr="009B6453">
        <w:rPr>
          <w:bCs/>
          <w:szCs w:val="18"/>
          <w:lang w:val="nl-NL"/>
        </w:rPr>
        <w:t xml:space="preserve"> het </w:t>
      </w:r>
      <w:r w:rsidRPr="009B6453">
        <w:rPr>
          <w:bCs/>
          <w:i/>
          <w:iCs/>
          <w:szCs w:val="18"/>
          <w:lang w:val="nl-NL"/>
        </w:rPr>
        <w:t>European Democracy Shield</w:t>
      </w:r>
      <w:r w:rsidRPr="009B6453">
        <w:rPr>
          <w:bCs/>
          <w:szCs w:val="18"/>
          <w:lang w:val="nl-NL"/>
        </w:rPr>
        <w:t>, de presentatie van het werkprogramma van het Cypriotische voorzitterschap en de landenspecifieke rechtsstaatsdialogen met Denemarken, Estland, Griekenland en Spanje.</w:t>
      </w:r>
      <w:r>
        <w:rPr>
          <w:bCs/>
          <w:szCs w:val="18"/>
          <w:lang w:val="nl-NL"/>
        </w:rPr>
        <w:t xml:space="preserve"> Er was tevens aandacht voor de </w:t>
      </w:r>
      <w:r w:rsidRPr="009B6453">
        <w:rPr>
          <w:iCs/>
          <w:szCs w:val="18"/>
          <w:lang w:val="nl-NL"/>
        </w:rPr>
        <w:t>EU macro-regionale Atlantische strategie</w:t>
      </w:r>
      <w:r w:rsidRPr="009B6453">
        <w:rPr>
          <w:b/>
          <w:bCs/>
          <w:iCs/>
          <w:szCs w:val="18"/>
          <w:lang w:val="nl-NL"/>
        </w:rPr>
        <w:t xml:space="preserve"> </w:t>
      </w:r>
      <w:r w:rsidRPr="009B6453">
        <w:rPr>
          <w:bCs/>
          <w:szCs w:val="18"/>
          <w:lang w:val="nl-NL"/>
        </w:rPr>
        <w:t xml:space="preserve">en de </w:t>
      </w:r>
      <w:proofErr w:type="spellStart"/>
      <w:r w:rsidRPr="009B6453">
        <w:rPr>
          <w:bCs/>
          <w:szCs w:val="18"/>
          <w:lang w:val="nl-NL"/>
        </w:rPr>
        <w:t>ultraperifere</w:t>
      </w:r>
      <w:proofErr w:type="spellEnd"/>
      <w:r w:rsidRPr="009B6453">
        <w:rPr>
          <w:bCs/>
          <w:szCs w:val="18"/>
          <w:lang w:val="nl-NL"/>
        </w:rPr>
        <w:t xml:space="preserve"> gebieden. En marge van de Raad vond een Intergouvernementele Conferentie (IGC) met Montenegro plaats. De minister van Buitenlandse Zaken was verhinderd; de Permanente Vertegenwoordiger bij de EU vertegenwoordigde Nederland.</w:t>
      </w:r>
    </w:p>
    <w:p w:rsidRPr="006D21A9" w:rsidR="00EC20CD" w:rsidP="004C72F3" w:rsidRDefault="00EC20CD" w14:paraId="2168976D" w14:textId="77777777">
      <w:pPr>
        <w:spacing w:after="0" w:line="276" w:lineRule="auto"/>
        <w:contextualSpacing/>
        <w:rPr>
          <w:bCs/>
          <w:szCs w:val="18"/>
          <w:lang w:val="nl-NL"/>
        </w:rPr>
      </w:pPr>
    </w:p>
    <w:p w:rsidR="006D21A9" w:rsidP="004C72F3" w:rsidRDefault="001C7196" w14:paraId="5EED5450" w14:textId="539C035B">
      <w:pPr>
        <w:spacing w:after="0" w:line="276" w:lineRule="auto"/>
        <w:contextualSpacing/>
        <w:rPr>
          <w:b/>
          <w:szCs w:val="18"/>
          <w:lang w:val="nl-NL"/>
        </w:rPr>
      </w:pPr>
      <w:r>
        <w:rPr>
          <w:b/>
          <w:szCs w:val="18"/>
          <w:lang w:val="nl-NL"/>
        </w:rPr>
        <w:t>Cypriotisch Raadsvoorzitterschap</w:t>
      </w:r>
    </w:p>
    <w:bookmarkEnd w:id="0"/>
    <w:p w:rsidRPr="009A70F2" w:rsidR="006D21A9" w:rsidP="004C72F3" w:rsidRDefault="00400D93" w14:paraId="041F6205" w14:textId="400DE176">
      <w:pPr>
        <w:spacing w:after="0" w:line="276" w:lineRule="auto"/>
        <w:contextualSpacing/>
        <w:rPr>
          <w:rFonts w:cs="Times New Roman"/>
          <w:iCs/>
          <w:szCs w:val="18"/>
          <w:lang w:val="nl-NL" w:eastAsia="ja-JP"/>
        </w:rPr>
      </w:pPr>
      <w:r>
        <w:rPr>
          <w:rFonts w:cs="Times New Roman"/>
          <w:iCs/>
          <w:szCs w:val="18"/>
          <w:lang w:val="nl-NL" w:eastAsia="ja-JP"/>
        </w:rPr>
        <w:t xml:space="preserve">Tijdens de Raad presenteerde het Cypriotische voorzitterschap </w:t>
      </w:r>
      <w:r w:rsidR="00413AB7">
        <w:rPr>
          <w:rFonts w:cs="Times New Roman"/>
          <w:iCs/>
          <w:szCs w:val="18"/>
          <w:lang w:val="nl-NL" w:eastAsia="ja-JP"/>
        </w:rPr>
        <w:t>zijn</w:t>
      </w:r>
      <w:r>
        <w:rPr>
          <w:rFonts w:cs="Times New Roman"/>
          <w:iCs/>
          <w:szCs w:val="18"/>
          <w:lang w:val="nl-NL" w:eastAsia="ja-JP"/>
        </w:rPr>
        <w:t xml:space="preserve"> prioriteiten</w:t>
      </w:r>
      <w:r w:rsidR="00AD2DE0">
        <w:rPr>
          <w:rFonts w:cs="Times New Roman"/>
          <w:iCs/>
          <w:szCs w:val="18"/>
          <w:lang w:val="nl-NL" w:eastAsia="ja-JP"/>
        </w:rPr>
        <w:t>,</w:t>
      </w:r>
      <w:r w:rsidRPr="00400D93">
        <w:rPr>
          <w:rFonts w:cs="Times New Roman"/>
          <w:iCs/>
          <w:szCs w:val="18"/>
          <w:lang w:val="nl-NL" w:eastAsia="ja-JP"/>
        </w:rPr>
        <w:t xml:space="preserve"> bestaan</w:t>
      </w:r>
      <w:r w:rsidR="00AD2DE0">
        <w:rPr>
          <w:rFonts w:cs="Times New Roman"/>
          <w:iCs/>
          <w:szCs w:val="18"/>
          <w:lang w:val="nl-NL" w:eastAsia="ja-JP"/>
        </w:rPr>
        <w:t>de</w:t>
      </w:r>
      <w:r w:rsidRPr="00400D93">
        <w:rPr>
          <w:rFonts w:cs="Times New Roman"/>
          <w:iCs/>
          <w:szCs w:val="18"/>
          <w:lang w:val="nl-NL" w:eastAsia="ja-JP"/>
        </w:rPr>
        <w:t xml:space="preserve"> uit vijf pijlers</w:t>
      </w:r>
      <w:r w:rsidR="00AD2DE0">
        <w:rPr>
          <w:rFonts w:cs="Times New Roman"/>
          <w:iCs/>
          <w:szCs w:val="18"/>
          <w:lang w:val="nl-NL" w:eastAsia="ja-JP"/>
        </w:rPr>
        <w:t>:</w:t>
      </w:r>
      <w:r>
        <w:rPr>
          <w:rFonts w:cs="Times New Roman"/>
          <w:iCs/>
          <w:szCs w:val="18"/>
          <w:lang w:val="nl-NL" w:eastAsia="ja-JP"/>
        </w:rPr>
        <w:t xml:space="preserve"> (1) </w:t>
      </w:r>
      <w:r w:rsidRPr="00400D93">
        <w:rPr>
          <w:rFonts w:cs="Times New Roman"/>
          <w:iCs/>
          <w:szCs w:val="18"/>
          <w:lang w:val="nl-NL" w:eastAsia="ja-JP"/>
        </w:rPr>
        <w:t>Veiligheid, defensie en paraatheid, gericht op de implementatie van het Witboek over de toekomst van Europese defensie</w:t>
      </w:r>
      <w:r w:rsidR="009A70F2">
        <w:rPr>
          <w:rFonts w:cs="Times New Roman"/>
          <w:iCs/>
          <w:szCs w:val="18"/>
          <w:lang w:val="nl-NL" w:eastAsia="ja-JP"/>
        </w:rPr>
        <w:t>;</w:t>
      </w:r>
      <w:r w:rsidR="004D2FAD">
        <w:rPr>
          <w:rStyle w:val="FootnoteReference"/>
          <w:rFonts w:cs="Times New Roman"/>
          <w:iCs/>
          <w:szCs w:val="18"/>
          <w:lang w:val="nl-NL" w:eastAsia="ja-JP"/>
        </w:rPr>
        <w:footnoteReference w:id="2"/>
      </w:r>
      <w:r>
        <w:rPr>
          <w:rFonts w:cs="Times New Roman"/>
          <w:iCs/>
          <w:szCs w:val="18"/>
          <w:lang w:val="nl-NL" w:eastAsia="ja-JP"/>
        </w:rPr>
        <w:t xml:space="preserve"> (2) </w:t>
      </w:r>
      <w:r w:rsidRPr="00400D93">
        <w:rPr>
          <w:rFonts w:cs="Times New Roman"/>
          <w:iCs/>
          <w:szCs w:val="18"/>
          <w:lang w:val="nl-NL" w:eastAsia="ja-JP"/>
        </w:rPr>
        <w:t>Concurrentievermogen en het verminderen van strategische afhankelijkheden, o.a. op het gebied van digitalisering en de energievoorziening;</w:t>
      </w:r>
      <w:r>
        <w:rPr>
          <w:rFonts w:cs="Times New Roman"/>
          <w:iCs/>
          <w:szCs w:val="18"/>
          <w:lang w:val="nl-NL" w:eastAsia="ja-JP"/>
        </w:rPr>
        <w:t xml:space="preserve"> (3) </w:t>
      </w:r>
      <w:r w:rsidRPr="00400D93">
        <w:rPr>
          <w:rFonts w:cs="Times New Roman"/>
          <w:iCs/>
          <w:szCs w:val="18"/>
          <w:lang w:val="nl-NL" w:eastAsia="ja-JP"/>
        </w:rPr>
        <w:t xml:space="preserve">Externe dimensie van de Unie, in het bijzonder de steun aan Oekraïne, </w:t>
      </w:r>
      <w:r w:rsidR="009E6147">
        <w:rPr>
          <w:rFonts w:cs="Times New Roman"/>
          <w:iCs/>
          <w:szCs w:val="18"/>
          <w:lang w:val="nl-NL" w:eastAsia="ja-JP"/>
        </w:rPr>
        <w:t>EU-</w:t>
      </w:r>
      <w:r w:rsidRPr="00400D93">
        <w:rPr>
          <w:rFonts w:cs="Times New Roman"/>
          <w:iCs/>
          <w:szCs w:val="18"/>
          <w:lang w:val="nl-NL" w:eastAsia="ja-JP"/>
        </w:rPr>
        <w:t xml:space="preserve">uitbreiding, de trans-Atlantische </w:t>
      </w:r>
      <w:r w:rsidR="009E6147">
        <w:rPr>
          <w:rFonts w:cs="Times New Roman"/>
          <w:iCs/>
          <w:szCs w:val="18"/>
          <w:lang w:val="nl-NL" w:eastAsia="ja-JP"/>
        </w:rPr>
        <w:t>betrekkingen,</w:t>
      </w:r>
      <w:r w:rsidRPr="00400D93" w:rsidR="009E6147">
        <w:rPr>
          <w:rFonts w:cs="Times New Roman"/>
          <w:iCs/>
          <w:szCs w:val="18"/>
          <w:lang w:val="nl-NL" w:eastAsia="ja-JP"/>
        </w:rPr>
        <w:t xml:space="preserve"> </w:t>
      </w:r>
      <w:r w:rsidR="009E6147">
        <w:rPr>
          <w:rFonts w:cs="Times New Roman"/>
          <w:iCs/>
          <w:szCs w:val="18"/>
          <w:lang w:val="nl-NL" w:eastAsia="ja-JP"/>
        </w:rPr>
        <w:t>de betrekkingen</w:t>
      </w:r>
      <w:r w:rsidRPr="00400D93" w:rsidR="009E6147">
        <w:rPr>
          <w:rFonts w:cs="Times New Roman"/>
          <w:iCs/>
          <w:szCs w:val="18"/>
          <w:lang w:val="nl-NL" w:eastAsia="ja-JP"/>
        </w:rPr>
        <w:t xml:space="preserve"> </w:t>
      </w:r>
      <w:r w:rsidR="009E6147">
        <w:rPr>
          <w:rFonts w:cs="Times New Roman"/>
          <w:iCs/>
          <w:szCs w:val="18"/>
          <w:lang w:val="nl-NL" w:eastAsia="ja-JP"/>
        </w:rPr>
        <w:t xml:space="preserve">met het </w:t>
      </w:r>
      <w:r w:rsidRPr="00400D93">
        <w:rPr>
          <w:rFonts w:cs="Times New Roman"/>
          <w:iCs/>
          <w:szCs w:val="18"/>
          <w:lang w:val="nl-NL" w:eastAsia="ja-JP"/>
        </w:rPr>
        <w:t>VK en</w:t>
      </w:r>
      <w:r w:rsidRPr="00400D93" w:rsidDel="009E6147">
        <w:rPr>
          <w:rFonts w:cs="Times New Roman"/>
          <w:iCs/>
          <w:szCs w:val="18"/>
          <w:lang w:val="nl-NL" w:eastAsia="ja-JP"/>
        </w:rPr>
        <w:t xml:space="preserve"> </w:t>
      </w:r>
      <w:r w:rsidRPr="00400D93">
        <w:rPr>
          <w:rFonts w:cs="Times New Roman"/>
          <w:iCs/>
          <w:szCs w:val="18"/>
          <w:lang w:val="nl-NL" w:eastAsia="ja-JP"/>
        </w:rPr>
        <w:t xml:space="preserve">met </w:t>
      </w:r>
      <w:r w:rsidR="009E6147">
        <w:rPr>
          <w:rFonts w:cs="Times New Roman"/>
          <w:iCs/>
          <w:szCs w:val="18"/>
          <w:lang w:val="nl-NL" w:eastAsia="ja-JP"/>
        </w:rPr>
        <w:t xml:space="preserve">het </w:t>
      </w:r>
      <w:r w:rsidRPr="00400D93">
        <w:rPr>
          <w:rFonts w:cs="Times New Roman"/>
          <w:iCs/>
          <w:szCs w:val="18"/>
          <w:lang w:val="nl-NL" w:eastAsia="ja-JP"/>
        </w:rPr>
        <w:t>M</w:t>
      </w:r>
      <w:r w:rsidR="009E6147">
        <w:rPr>
          <w:rFonts w:cs="Times New Roman"/>
          <w:iCs/>
          <w:szCs w:val="18"/>
          <w:lang w:val="nl-NL" w:eastAsia="ja-JP"/>
        </w:rPr>
        <w:t>idden-</w:t>
      </w:r>
      <w:r w:rsidRPr="00400D93">
        <w:rPr>
          <w:rFonts w:cs="Times New Roman"/>
          <w:iCs/>
          <w:szCs w:val="18"/>
          <w:lang w:val="nl-NL" w:eastAsia="ja-JP"/>
        </w:rPr>
        <w:t>O</w:t>
      </w:r>
      <w:r w:rsidR="009E6147">
        <w:rPr>
          <w:rFonts w:cs="Times New Roman"/>
          <w:iCs/>
          <w:szCs w:val="18"/>
          <w:lang w:val="nl-NL" w:eastAsia="ja-JP"/>
        </w:rPr>
        <w:t>osten</w:t>
      </w:r>
      <w:r w:rsidRPr="00400D93">
        <w:rPr>
          <w:rFonts w:cs="Times New Roman"/>
          <w:iCs/>
          <w:szCs w:val="18"/>
          <w:lang w:val="nl-NL" w:eastAsia="ja-JP"/>
        </w:rPr>
        <w:t>;</w:t>
      </w:r>
      <w:r>
        <w:rPr>
          <w:rFonts w:cs="Times New Roman"/>
          <w:iCs/>
          <w:szCs w:val="18"/>
          <w:lang w:val="nl-NL" w:eastAsia="ja-JP"/>
        </w:rPr>
        <w:t xml:space="preserve"> (4) De </w:t>
      </w:r>
      <w:r w:rsidRPr="00400D93">
        <w:rPr>
          <w:rFonts w:cs="Times New Roman"/>
          <w:iCs/>
          <w:szCs w:val="18"/>
          <w:lang w:val="nl-NL" w:eastAsia="ja-JP"/>
        </w:rPr>
        <w:t>Unie als waardengemeenschap waarbij de bescherming van EU-democratische waarden tegen externe bedreigingen centraal staat</w:t>
      </w:r>
      <w:r>
        <w:rPr>
          <w:rFonts w:cs="Times New Roman"/>
          <w:iCs/>
          <w:szCs w:val="18"/>
          <w:lang w:val="nl-NL" w:eastAsia="ja-JP"/>
        </w:rPr>
        <w:t>;</w:t>
      </w:r>
      <w:r w:rsidR="008A14C2">
        <w:rPr>
          <w:rFonts w:cs="Times New Roman"/>
          <w:iCs/>
          <w:szCs w:val="18"/>
          <w:lang w:val="nl-NL" w:eastAsia="ja-JP"/>
        </w:rPr>
        <w:t xml:space="preserve"> en</w:t>
      </w:r>
      <w:r>
        <w:rPr>
          <w:rFonts w:cs="Times New Roman"/>
          <w:iCs/>
          <w:szCs w:val="18"/>
          <w:lang w:val="nl-NL" w:eastAsia="ja-JP"/>
        </w:rPr>
        <w:t xml:space="preserve"> (5) </w:t>
      </w:r>
      <w:r w:rsidR="008A14C2">
        <w:rPr>
          <w:rFonts w:cs="Times New Roman"/>
          <w:iCs/>
          <w:szCs w:val="18"/>
          <w:lang w:val="nl-NL" w:eastAsia="ja-JP"/>
        </w:rPr>
        <w:t xml:space="preserve">de voortzetting van onderhandelingen voor het </w:t>
      </w:r>
      <w:r w:rsidRPr="00400D93">
        <w:rPr>
          <w:rFonts w:cs="Times New Roman"/>
          <w:iCs/>
          <w:szCs w:val="18"/>
          <w:lang w:val="nl-NL" w:eastAsia="ja-JP"/>
        </w:rPr>
        <w:t>Meerjarig Financieel Kader (MFK)</w:t>
      </w:r>
      <w:r>
        <w:rPr>
          <w:rFonts w:cs="Times New Roman"/>
          <w:iCs/>
          <w:szCs w:val="18"/>
          <w:lang w:val="nl-NL" w:eastAsia="ja-JP"/>
        </w:rPr>
        <w:t>. De i</w:t>
      </w:r>
      <w:r w:rsidRPr="00400D93">
        <w:rPr>
          <w:rFonts w:cs="Times New Roman"/>
          <w:iCs/>
          <w:szCs w:val="18"/>
          <w:lang w:val="nl-NL" w:eastAsia="ja-JP"/>
        </w:rPr>
        <w:t xml:space="preserve">nterventies </w:t>
      </w:r>
      <w:r>
        <w:rPr>
          <w:rFonts w:cs="Times New Roman"/>
          <w:iCs/>
          <w:szCs w:val="18"/>
          <w:lang w:val="nl-NL" w:eastAsia="ja-JP"/>
        </w:rPr>
        <w:t>van lidstaten</w:t>
      </w:r>
      <w:r w:rsidRPr="00400D93">
        <w:rPr>
          <w:rFonts w:cs="Times New Roman"/>
          <w:iCs/>
          <w:szCs w:val="18"/>
          <w:lang w:val="nl-NL" w:eastAsia="ja-JP"/>
        </w:rPr>
        <w:t xml:space="preserve"> richtten zich op </w:t>
      </w:r>
      <w:r w:rsidR="002A7A94">
        <w:rPr>
          <w:rFonts w:cs="Times New Roman"/>
          <w:iCs/>
          <w:szCs w:val="18"/>
          <w:lang w:val="nl-NL" w:eastAsia="ja-JP"/>
        </w:rPr>
        <w:t xml:space="preserve">de </w:t>
      </w:r>
      <w:r w:rsidRPr="00400D93">
        <w:rPr>
          <w:rFonts w:cs="Times New Roman"/>
          <w:iCs/>
          <w:szCs w:val="18"/>
          <w:lang w:val="nl-NL" w:eastAsia="ja-JP"/>
        </w:rPr>
        <w:t xml:space="preserve">balans tussen (strategische) autonomie en </w:t>
      </w:r>
      <w:r w:rsidR="009D4FC3">
        <w:rPr>
          <w:rFonts w:cs="Times New Roman"/>
          <w:iCs/>
          <w:szCs w:val="18"/>
          <w:lang w:val="nl-NL" w:eastAsia="ja-JP"/>
        </w:rPr>
        <w:t xml:space="preserve">het </w:t>
      </w:r>
      <w:r w:rsidRPr="00400D93">
        <w:rPr>
          <w:rFonts w:cs="Times New Roman"/>
          <w:iCs/>
          <w:szCs w:val="18"/>
          <w:lang w:val="nl-NL" w:eastAsia="ja-JP"/>
        </w:rPr>
        <w:t xml:space="preserve">diversifiëren </w:t>
      </w:r>
      <w:r w:rsidR="009D4FC3">
        <w:rPr>
          <w:rFonts w:cs="Times New Roman"/>
          <w:iCs/>
          <w:szCs w:val="18"/>
          <w:lang w:val="nl-NL" w:eastAsia="ja-JP"/>
        </w:rPr>
        <w:t xml:space="preserve">van </w:t>
      </w:r>
      <w:r w:rsidRPr="00400D93">
        <w:rPr>
          <w:rFonts w:cs="Times New Roman"/>
          <w:iCs/>
          <w:szCs w:val="18"/>
          <w:lang w:val="nl-NL" w:eastAsia="ja-JP"/>
        </w:rPr>
        <w:t>partnerschappen.</w:t>
      </w:r>
      <w:r>
        <w:rPr>
          <w:rFonts w:cs="Times New Roman"/>
          <w:iCs/>
          <w:szCs w:val="18"/>
          <w:lang w:val="nl-NL" w:eastAsia="ja-JP"/>
        </w:rPr>
        <w:t xml:space="preserve"> </w:t>
      </w:r>
      <w:r w:rsidRPr="00400D93">
        <w:rPr>
          <w:rFonts w:cs="Times New Roman"/>
          <w:iCs/>
          <w:szCs w:val="18"/>
          <w:lang w:val="nl-NL" w:eastAsia="ja-JP"/>
        </w:rPr>
        <w:t>N</w:t>
      </w:r>
      <w:r>
        <w:rPr>
          <w:rFonts w:cs="Times New Roman"/>
          <w:iCs/>
          <w:szCs w:val="18"/>
          <w:lang w:val="nl-NL" w:eastAsia="ja-JP"/>
        </w:rPr>
        <w:t>ederland</w:t>
      </w:r>
      <w:r w:rsidRPr="00400D93">
        <w:rPr>
          <w:rFonts w:cs="Times New Roman"/>
          <w:iCs/>
          <w:szCs w:val="18"/>
          <w:lang w:val="nl-NL" w:eastAsia="ja-JP"/>
        </w:rPr>
        <w:t xml:space="preserve"> sprak steun uit voor</w:t>
      </w:r>
      <w:r>
        <w:rPr>
          <w:rFonts w:cs="Times New Roman"/>
          <w:iCs/>
          <w:szCs w:val="18"/>
          <w:lang w:val="nl-NL" w:eastAsia="ja-JP"/>
        </w:rPr>
        <w:t xml:space="preserve"> de</w:t>
      </w:r>
      <w:r w:rsidRPr="00400D93">
        <w:rPr>
          <w:rFonts w:cs="Times New Roman"/>
          <w:iCs/>
          <w:szCs w:val="18"/>
          <w:lang w:val="nl-NL" w:eastAsia="ja-JP"/>
        </w:rPr>
        <w:t xml:space="preserve"> prioriteiten met nadruk op veiligheid, defensie en paraatheid. Verder wees N</w:t>
      </w:r>
      <w:r>
        <w:rPr>
          <w:rFonts w:cs="Times New Roman"/>
          <w:iCs/>
          <w:szCs w:val="18"/>
          <w:lang w:val="nl-NL" w:eastAsia="ja-JP"/>
        </w:rPr>
        <w:t>ederland</w:t>
      </w:r>
      <w:r w:rsidRPr="00400D93">
        <w:rPr>
          <w:rFonts w:cs="Times New Roman"/>
          <w:iCs/>
          <w:szCs w:val="18"/>
          <w:lang w:val="nl-NL" w:eastAsia="ja-JP"/>
        </w:rPr>
        <w:t xml:space="preserve"> op</w:t>
      </w:r>
      <w:r>
        <w:rPr>
          <w:rFonts w:cs="Times New Roman"/>
          <w:iCs/>
          <w:szCs w:val="18"/>
          <w:lang w:val="nl-NL" w:eastAsia="ja-JP"/>
        </w:rPr>
        <w:t xml:space="preserve"> het</w:t>
      </w:r>
      <w:r w:rsidRPr="00400D93">
        <w:rPr>
          <w:rFonts w:cs="Times New Roman"/>
          <w:iCs/>
          <w:szCs w:val="18"/>
          <w:lang w:val="nl-NL" w:eastAsia="ja-JP"/>
        </w:rPr>
        <w:t xml:space="preserve"> belang </w:t>
      </w:r>
      <w:r>
        <w:rPr>
          <w:rFonts w:cs="Times New Roman"/>
          <w:iCs/>
          <w:szCs w:val="18"/>
          <w:lang w:val="nl-NL" w:eastAsia="ja-JP"/>
        </w:rPr>
        <w:t xml:space="preserve">van </w:t>
      </w:r>
      <w:r w:rsidRPr="00400D93">
        <w:rPr>
          <w:rFonts w:cs="Times New Roman"/>
          <w:iCs/>
          <w:szCs w:val="18"/>
          <w:lang w:val="nl-NL" w:eastAsia="ja-JP"/>
        </w:rPr>
        <w:t xml:space="preserve">steun </w:t>
      </w:r>
      <w:r>
        <w:rPr>
          <w:rFonts w:cs="Times New Roman"/>
          <w:iCs/>
          <w:szCs w:val="18"/>
          <w:lang w:val="nl-NL" w:eastAsia="ja-JP"/>
        </w:rPr>
        <w:t>aan Oekraïne</w:t>
      </w:r>
      <w:r w:rsidRPr="00400D93">
        <w:rPr>
          <w:rFonts w:cs="Times New Roman"/>
          <w:iCs/>
          <w:szCs w:val="18"/>
          <w:lang w:val="nl-NL" w:eastAsia="ja-JP"/>
        </w:rPr>
        <w:t>, uitbreiding</w:t>
      </w:r>
      <w:r w:rsidR="00215C9A">
        <w:rPr>
          <w:rFonts w:cs="Times New Roman"/>
          <w:iCs/>
          <w:szCs w:val="18"/>
          <w:lang w:val="nl-NL" w:eastAsia="ja-JP"/>
        </w:rPr>
        <w:t xml:space="preserve"> op basis van merites</w:t>
      </w:r>
      <w:r w:rsidRPr="00400D93">
        <w:rPr>
          <w:rFonts w:cs="Times New Roman"/>
          <w:iCs/>
          <w:szCs w:val="18"/>
          <w:lang w:val="nl-NL" w:eastAsia="ja-JP"/>
        </w:rPr>
        <w:t xml:space="preserve">, migratie, concurrentievermogen en de </w:t>
      </w:r>
      <w:r>
        <w:rPr>
          <w:rFonts w:cs="Times New Roman"/>
          <w:iCs/>
          <w:szCs w:val="18"/>
          <w:lang w:val="nl-NL" w:eastAsia="ja-JP"/>
        </w:rPr>
        <w:t>r</w:t>
      </w:r>
      <w:r w:rsidRPr="00400D93">
        <w:rPr>
          <w:rFonts w:cs="Times New Roman"/>
          <w:iCs/>
          <w:szCs w:val="18"/>
          <w:lang w:val="nl-NL" w:eastAsia="ja-JP"/>
        </w:rPr>
        <w:t>echtsstaat</w:t>
      </w:r>
      <w:r w:rsidR="00215C9A">
        <w:rPr>
          <w:rFonts w:cs="Times New Roman"/>
          <w:iCs/>
          <w:szCs w:val="18"/>
          <w:lang w:val="nl-NL" w:eastAsia="ja-JP"/>
        </w:rPr>
        <w:t>s</w:t>
      </w:r>
      <w:r w:rsidRPr="00400D93">
        <w:rPr>
          <w:rFonts w:cs="Times New Roman"/>
          <w:iCs/>
          <w:szCs w:val="18"/>
          <w:lang w:val="nl-NL" w:eastAsia="ja-JP"/>
        </w:rPr>
        <w:t>agenda.</w:t>
      </w:r>
    </w:p>
    <w:p w:rsidR="00400D93" w:rsidP="004C72F3" w:rsidRDefault="00400D93" w14:paraId="6E43F833" w14:textId="77777777">
      <w:pPr>
        <w:spacing w:after="0" w:line="276" w:lineRule="auto"/>
        <w:contextualSpacing/>
        <w:rPr>
          <w:b/>
          <w:szCs w:val="18"/>
          <w:lang w:val="nl-NL"/>
        </w:rPr>
      </w:pPr>
    </w:p>
    <w:p w:rsidR="006D21A9" w:rsidP="004C72F3" w:rsidRDefault="001C7196" w14:paraId="75418D28" w14:textId="52B70F38">
      <w:pPr>
        <w:spacing w:after="0" w:line="276" w:lineRule="auto"/>
        <w:contextualSpacing/>
        <w:rPr>
          <w:rFonts w:cs="Times New Roman"/>
          <w:iCs/>
          <w:szCs w:val="18"/>
          <w:lang w:val="nl-NL" w:eastAsia="ja-JP"/>
        </w:rPr>
      </w:pPr>
      <w:r>
        <w:rPr>
          <w:rFonts w:cs="Times New Roman"/>
          <w:b/>
          <w:bCs/>
          <w:iCs/>
          <w:szCs w:val="18"/>
          <w:lang w:val="nl-NL" w:eastAsia="ja-JP"/>
        </w:rPr>
        <w:t xml:space="preserve">Landenspecifieke rechtsstaatsdialogen </w:t>
      </w:r>
      <w:r w:rsidRPr="006D21A9" w:rsidR="000454F5">
        <w:rPr>
          <w:rFonts w:cs="Times New Roman"/>
          <w:b/>
          <w:bCs/>
          <w:iCs/>
          <w:szCs w:val="18"/>
          <w:lang w:val="nl-NL" w:eastAsia="ja-JP"/>
        </w:rPr>
        <w:t xml:space="preserve">Denemarken, </w:t>
      </w:r>
      <w:r w:rsidRPr="006D21A9">
        <w:rPr>
          <w:rFonts w:cs="Times New Roman"/>
          <w:b/>
          <w:bCs/>
          <w:iCs/>
          <w:szCs w:val="18"/>
          <w:lang w:val="nl-NL" w:eastAsia="ja-JP"/>
        </w:rPr>
        <w:t>Estland, Griekenland, Spanje</w:t>
      </w:r>
    </w:p>
    <w:p w:rsidRPr="009B6453" w:rsidR="009B6453" w:rsidP="004C72F3" w:rsidRDefault="009B6453" w14:paraId="24BC697B" w14:textId="065FBF54">
      <w:pPr>
        <w:spacing w:after="0" w:line="276" w:lineRule="auto"/>
        <w:contextualSpacing/>
        <w:rPr>
          <w:rFonts w:cs="Times New Roman"/>
          <w:iCs/>
          <w:szCs w:val="18"/>
          <w:lang w:val="nl-NL" w:eastAsia="ja-JP"/>
        </w:rPr>
      </w:pPr>
      <w:r w:rsidRPr="009B6453">
        <w:rPr>
          <w:rFonts w:cs="Times New Roman"/>
          <w:iCs/>
          <w:szCs w:val="18"/>
          <w:lang w:val="nl-NL" w:eastAsia="ja-JP"/>
        </w:rPr>
        <w:t xml:space="preserve">Tijdens de Raad vond voor de </w:t>
      </w:r>
      <w:r>
        <w:rPr>
          <w:rFonts w:cs="Times New Roman"/>
          <w:iCs/>
          <w:szCs w:val="18"/>
          <w:lang w:val="nl-NL" w:eastAsia="ja-JP"/>
        </w:rPr>
        <w:t>veer</w:t>
      </w:r>
      <w:r w:rsidRPr="009B6453">
        <w:rPr>
          <w:rFonts w:cs="Times New Roman"/>
          <w:iCs/>
          <w:szCs w:val="18"/>
          <w:lang w:val="nl-NL" w:eastAsia="ja-JP"/>
        </w:rPr>
        <w:t xml:space="preserve">tiende keer sinds de start in 2020 de landenspecifieke </w:t>
      </w:r>
    </w:p>
    <w:p w:rsidR="009B6453" w:rsidP="004C72F3" w:rsidRDefault="009B6453" w14:paraId="503D6CF5" w14:textId="286B2627">
      <w:pPr>
        <w:spacing w:after="0" w:line="276" w:lineRule="auto"/>
        <w:contextualSpacing/>
        <w:rPr>
          <w:rFonts w:cs="Times New Roman"/>
          <w:iCs/>
          <w:szCs w:val="18"/>
          <w:lang w:val="nl-NL" w:eastAsia="ja-JP"/>
        </w:rPr>
      </w:pPr>
      <w:r w:rsidRPr="009B6453">
        <w:rPr>
          <w:rFonts w:cs="Times New Roman"/>
          <w:iCs/>
          <w:szCs w:val="18"/>
          <w:lang w:val="nl-NL" w:eastAsia="ja-JP"/>
        </w:rPr>
        <w:t>rechtsstaatdialoog plaats</w:t>
      </w:r>
      <w:r w:rsidR="004A73F5">
        <w:rPr>
          <w:rFonts w:cs="Times New Roman"/>
          <w:iCs/>
          <w:szCs w:val="18"/>
          <w:lang w:val="nl-NL" w:eastAsia="ja-JP"/>
        </w:rPr>
        <w:t>,</w:t>
      </w:r>
      <w:r w:rsidRPr="009B6453">
        <w:rPr>
          <w:rFonts w:cs="Times New Roman"/>
          <w:iCs/>
          <w:szCs w:val="18"/>
          <w:lang w:val="nl-NL" w:eastAsia="ja-JP"/>
        </w:rPr>
        <w:t xml:space="preserve"> op basis van de landenhoofdstukken uit het </w:t>
      </w:r>
      <w:r w:rsidR="004A73F5">
        <w:rPr>
          <w:rFonts w:cs="Times New Roman"/>
          <w:iCs/>
          <w:szCs w:val="18"/>
          <w:lang w:val="nl-NL" w:eastAsia="ja-JP"/>
        </w:rPr>
        <w:t xml:space="preserve">rechtsstaatrapport van de </w:t>
      </w:r>
      <w:r w:rsidR="00CA6E9A">
        <w:rPr>
          <w:rFonts w:cs="Times New Roman"/>
          <w:iCs/>
          <w:szCs w:val="18"/>
          <w:lang w:val="nl-NL" w:eastAsia="ja-JP"/>
        </w:rPr>
        <w:t xml:space="preserve">Europese </w:t>
      </w:r>
      <w:r w:rsidRPr="009B6453">
        <w:rPr>
          <w:rFonts w:cs="Times New Roman"/>
          <w:iCs/>
          <w:szCs w:val="18"/>
          <w:lang w:val="nl-NL" w:eastAsia="ja-JP"/>
        </w:rPr>
        <w:t xml:space="preserve">Commissie </w:t>
      </w:r>
      <w:r w:rsidR="00CA6E9A">
        <w:rPr>
          <w:rFonts w:cs="Times New Roman"/>
          <w:iCs/>
          <w:szCs w:val="18"/>
          <w:lang w:val="nl-NL" w:eastAsia="ja-JP"/>
        </w:rPr>
        <w:t>(hierna: Commissie)</w:t>
      </w:r>
      <w:r w:rsidR="004A73F5">
        <w:rPr>
          <w:rFonts w:cs="Times New Roman"/>
          <w:iCs/>
          <w:szCs w:val="18"/>
          <w:lang w:val="nl-NL" w:eastAsia="ja-JP"/>
        </w:rPr>
        <w:t>.</w:t>
      </w:r>
      <w:r>
        <w:rPr>
          <w:rStyle w:val="FootnoteReference"/>
          <w:rFonts w:cs="Times New Roman"/>
          <w:iCs/>
          <w:szCs w:val="18"/>
          <w:lang w:val="nl-NL" w:eastAsia="ja-JP"/>
        </w:rPr>
        <w:footnoteReference w:id="3"/>
      </w:r>
      <w:r w:rsidR="00821D24">
        <w:rPr>
          <w:rFonts w:cs="Times New Roman"/>
          <w:iCs/>
          <w:szCs w:val="18"/>
          <w:lang w:val="nl-NL" w:eastAsia="ja-JP"/>
        </w:rPr>
        <w:t xml:space="preserve"> </w:t>
      </w:r>
      <w:r w:rsidRPr="009B6453">
        <w:rPr>
          <w:rFonts w:cs="Times New Roman"/>
          <w:iCs/>
          <w:szCs w:val="18"/>
          <w:lang w:val="nl-NL" w:eastAsia="ja-JP"/>
        </w:rPr>
        <w:t xml:space="preserve">Deze keer stonden de landenhoofdstukken van </w:t>
      </w:r>
      <w:r>
        <w:rPr>
          <w:rFonts w:cs="Times New Roman"/>
          <w:iCs/>
          <w:szCs w:val="18"/>
          <w:lang w:val="nl-NL" w:eastAsia="ja-JP"/>
        </w:rPr>
        <w:t>Estland, Denemarken, Griekenland en Spanje o</w:t>
      </w:r>
      <w:r w:rsidRPr="009B6453">
        <w:rPr>
          <w:rFonts w:cs="Times New Roman"/>
          <w:iCs/>
          <w:szCs w:val="18"/>
          <w:lang w:val="nl-NL" w:eastAsia="ja-JP"/>
        </w:rPr>
        <w:t>p de agenda. Zoals gebruikelijk leidde de Commissie de afzonderlijke dialogen in met een korte samenvatting van haar bevindingen. De betreffende lidstaat gaf daarna een korte presentatie van de staat van de rechtsstaat in het eigen land, waarna een ronde van vragen en antwoorden volgde</w:t>
      </w:r>
      <w:r>
        <w:rPr>
          <w:rFonts w:cs="Times New Roman"/>
          <w:iCs/>
          <w:szCs w:val="18"/>
          <w:lang w:val="nl-NL" w:eastAsia="ja-JP"/>
        </w:rPr>
        <w:t>.</w:t>
      </w:r>
    </w:p>
    <w:p w:rsidR="009B6453" w:rsidP="004C72F3" w:rsidRDefault="009B6453" w14:paraId="78054EAF" w14:textId="77777777">
      <w:pPr>
        <w:spacing w:after="0" w:line="276" w:lineRule="auto"/>
        <w:contextualSpacing/>
        <w:rPr>
          <w:rFonts w:cs="Times New Roman"/>
          <w:iCs/>
          <w:szCs w:val="18"/>
          <w:lang w:val="nl-NL" w:eastAsia="ja-JP"/>
        </w:rPr>
      </w:pPr>
    </w:p>
    <w:p w:rsidR="009B6453" w:rsidP="004C72F3" w:rsidRDefault="009B6453" w14:paraId="23A376D6" w14:textId="264A531E">
      <w:pPr>
        <w:spacing w:after="0" w:line="276" w:lineRule="auto"/>
        <w:contextualSpacing/>
        <w:rPr>
          <w:rFonts w:cs="Times New Roman"/>
          <w:iCs/>
          <w:szCs w:val="18"/>
          <w:lang w:val="nl-NL" w:eastAsia="ja-JP"/>
        </w:rPr>
      </w:pPr>
      <w:r>
        <w:rPr>
          <w:rFonts w:cs="Times New Roman"/>
          <w:iCs/>
          <w:szCs w:val="18"/>
          <w:lang w:val="nl-NL" w:eastAsia="ja-JP"/>
        </w:rPr>
        <w:t xml:space="preserve">Luxemburg intervenieerde namens de Benelux tijdens de bespreking van Estland, Griekenland en Spanje. Luxemburg merkte op dat </w:t>
      </w:r>
      <w:r w:rsidR="00AB7799">
        <w:rPr>
          <w:rFonts w:cs="Times New Roman"/>
          <w:iCs/>
          <w:szCs w:val="18"/>
          <w:lang w:val="nl-NL" w:eastAsia="ja-JP"/>
        </w:rPr>
        <w:t xml:space="preserve">uit </w:t>
      </w:r>
      <w:r>
        <w:rPr>
          <w:rFonts w:cs="Times New Roman"/>
          <w:iCs/>
          <w:szCs w:val="18"/>
          <w:lang w:val="nl-NL" w:eastAsia="ja-JP"/>
        </w:rPr>
        <w:t xml:space="preserve">het landenhoofdstuk over Estland blijkt dat </w:t>
      </w:r>
      <w:r w:rsidR="00AB7799">
        <w:rPr>
          <w:rFonts w:cs="Times New Roman"/>
          <w:iCs/>
          <w:szCs w:val="18"/>
          <w:lang w:val="nl-NL" w:eastAsia="ja-JP"/>
        </w:rPr>
        <w:t>er</w:t>
      </w:r>
      <w:r w:rsidR="005614FF">
        <w:rPr>
          <w:rFonts w:cs="Times New Roman"/>
          <w:iCs/>
          <w:szCs w:val="18"/>
          <w:lang w:val="nl-NL" w:eastAsia="ja-JP"/>
        </w:rPr>
        <w:t xml:space="preserve"> weinig verbeterpunten zijn en</w:t>
      </w:r>
      <w:r w:rsidR="00AB7799">
        <w:rPr>
          <w:rFonts w:cs="Times New Roman"/>
          <w:iCs/>
          <w:szCs w:val="18"/>
          <w:lang w:val="nl-NL" w:eastAsia="ja-JP"/>
        </w:rPr>
        <w:t xml:space="preserve"> </w:t>
      </w:r>
      <w:r w:rsidR="00F81068">
        <w:rPr>
          <w:rFonts w:cs="Times New Roman"/>
          <w:iCs/>
          <w:szCs w:val="18"/>
          <w:lang w:val="nl-NL" w:eastAsia="ja-JP"/>
        </w:rPr>
        <w:t xml:space="preserve">opnieuw vooruitgang </w:t>
      </w:r>
      <w:r w:rsidR="00AB7799">
        <w:rPr>
          <w:rFonts w:cs="Times New Roman"/>
          <w:iCs/>
          <w:szCs w:val="18"/>
          <w:lang w:val="nl-NL" w:eastAsia="ja-JP"/>
        </w:rPr>
        <w:t>is</w:t>
      </w:r>
      <w:r w:rsidRPr="00AB7799" w:rsidR="00AB7799">
        <w:rPr>
          <w:rFonts w:cs="Times New Roman"/>
          <w:iCs/>
          <w:szCs w:val="18"/>
          <w:lang w:val="nl-NL" w:eastAsia="ja-JP"/>
        </w:rPr>
        <w:t xml:space="preserve"> </w:t>
      </w:r>
      <w:r w:rsidR="00F81068">
        <w:rPr>
          <w:rFonts w:cs="Times New Roman"/>
          <w:iCs/>
          <w:szCs w:val="18"/>
          <w:lang w:val="nl-NL" w:eastAsia="ja-JP"/>
        </w:rPr>
        <w:t xml:space="preserve">geboekt </w:t>
      </w:r>
      <w:r w:rsidR="00AB7799">
        <w:rPr>
          <w:rFonts w:cs="Times New Roman"/>
          <w:iCs/>
          <w:szCs w:val="18"/>
          <w:lang w:val="nl-NL" w:eastAsia="ja-JP"/>
        </w:rPr>
        <w:t>met</w:t>
      </w:r>
      <w:r w:rsidR="00F81068">
        <w:rPr>
          <w:rFonts w:cs="Times New Roman"/>
          <w:iCs/>
          <w:szCs w:val="18"/>
          <w:lang w:val="nl-NL" w:eastAsia="ja-JP"/>
        </w:rPr>
        <w:t xml:space="preserve"> de digitalisering van de rechtspraak en de hervorming van wetgeving over de financiering van politieke partijen, </w:t>
      </w:r>
      <w:proofErr w:type="spellStart"/>
      <w:r w:rsidRPr="00CA6E9A" w:rsidR="00F81068">
        <w:rPr>
          <w:rFonts w:cs="Times New Roman"/>
          <w:i/>
          <w:szCs w:val="18"/>
          <w:lang w:val="nl-NL" w:eastAsia="ja-JP"/>
        </w:rPr>
        <w:t>lobbying</w:t>
      </w:r>
      <w:proofErr w:type="spellEnd"/>
      <w:r w:rsidR="00F81068">
        <w:rPr>
          <w:rFonts w:cs="Times New Roman"/>
          <w:iCs/>
          <w:szCs w:val="18"/>
          <w:lang w:val="nl-NL" w:eastAsia="ja-JP"/>
        </w:rPr>
        <w:t xml:space="preserve"> en draaideurconstructies voor bewindspersonen. </w:t>
      </w:r>
      <w:r w:rsidR="00A838E1">
        <w:rPr>
          <w:rFonts w:cs="Times New Roman"/>
          <w:iCs/>
          <w:szCs w:val="18"/>
          <w:lang w:val="nl-NL" w:eastAsia="ja-JP"/>
        </w:rPr>
        <w:t>Z</w:t>
      </w:r>
      <w:r w:rsidR="00AB7799">
        <w:rPr>
          <w:rFonts w:cs="Times New Roman"/>
          <w:iCs/>
          <w:szCs w:val="18"/>
          <w:lang w:val="nl-NL" w:eastAsia="ja-JP"/>
        </w:rPr>
        <w:t>orgen</w:t>
      </w:r>
      <w:r w:rsidR="00F81068">
        <w:rPr>
          <w:rFonts w:cs="Times New Roman"/>
          <w:iCs/>
          <w:szCs w:val="18"/>
          <w:lang w:val="nl-NL" w:eastAsia="ja-JP"/>
        </w:rPr>
        <w:t xml:space="preserve"> </w:t>
      </w:r>
      <w:r w:rsidR="00A838E1">
        <w:rPr>
          <w:rFonts w:cs="Times New Roman"/>
          <w:iCs/>
          <w:szCs w:val="18"/>
          <w:lang w:val="nl-NL" w:eastAsia="ja-JP"/>
        </w:rPr>
        <w:t xml:space="preserve">bestaan </w:t>
      </w:r>
      <w:r w:rsidR="00F81068">
        <w:rPr>
          <w:rFonts w:cs="Times New Roman"/>
          <w:iCs/>
          <w:szCs w:val="18"/>
          <w:lang w:val="nl-NL" w:eastAsia="ja-JP"/>
        </w:rPr>
        <w:t xml:space="preserve">over de hoge werklast van rechters en het grote aantal rechters dat aankomende jaren met pensioen zal gaan. Estland is bevraagd of de digitalisering van de rechtspraak </w:t>
      </w:r>
      <w:r w:rsidR="00AB7799">
        <w:rPr>
          <w:rFonts w:cs="Times New Roman"/>
          <w:iCs/>
          <w:szCs w:val="18"/>
          <w:lang w:val="nl-NL" w:eastAsia="ja-JP"/>
        </w:rPr>
        <w:t>voor deze problematiek</w:t>
      </w:r>
      <w:r w:rsidR="00F81068">
        <w:rPr>
          <w:rFonts w:cs="Times New Roman"/>
          <w:iCs/>
          <w:szCs w:val="18"/>
          <w:lang w:val="nl-NL" w:eastAsia="ja-JP"/>
        </w:rPr>
        <w:t xml:space="preserve"> een oplossing zal bieden en hoe het effectieve en efficiënte functioneren van de rechtspraak </w:t>
      </w:r>
      <w:r w:rsidR="00AB7799">
        <w:rPr>
          <w:rFonts w:cs="Times New Roman"/>
          <w:iCs/>
          <w:szCs w:val="18"/>
          <w:lang w:val="nl-NL" w:eastAsia="ja-JP"/>
        </w:rPr>
        <w:t>ook voor</w:t>
      </w:r>
      <w:r w:rsidR="00F81068">
        <w:rPr>
          <w:rFonts w:cs="Times New Roman"/>
          <w:iCs/>
          <w:szCs w:val="18"/>
          <w:lang w:val="nl-NL" w:eastAsia="ja-JP"/>
        </w:rPr>
        <w:t xml:space="preserve"> de langere termijn </w:t>
      </w:r>
      <w:r w:rsidR="00AB7799">
        <w:rPr>
          <w:rFonts w:cs="Times New Roman"/>
          <w:iCs/>
          <w:szCs w:val="18"/>
          <w:lang w:val="nl-NL" w:eastAsia="ja-JP"/>
        </w:rPr>
        <w:t>wordt</w:t>
      </w:r>
      <w:r w:rsidR="00F81068">
        <w:rPr>
          <w:rFonts w:cs="Times New Roman"/>
          <w:iCs/>
          <w:szCs w:val="18"/>
          <w:lang w:val="nl-NL" w:eastAsia="ja-JP"/>
        </w:rPr>
        <w:t xml:space="preserve"> gewaarborgd.   </w:t>
      </w:r>
    </w:p>
    <w:p w:rsidR="009B6453" w:rsidP="004C72F3" w:rsidRDefault="009B6453" w14:paraId="1CB68680" w14:textId="77777777">
      <w:pPr>
        <w:spacing w:after="0" w:line="276" w:lineRule="auto"/>
        <w:contextualSpacing/>
        <w:rPr>
          <w:rFonts w:cs="Times New Roman"/>
          <w:iCs/>
          <w:szCs w:val="18"/>
          <w:lang w:val="nl-NL" w:eastAsia="ja-JP"/>
        </w:rPr>
      </w:pPr>
    </w:p>
    <w:p w:rsidR="009B6453" w:rsidP="004C72F3" w:rsidRDefault="009B6453" w14:paraId="77619BE1" w14:textId="44D2B488">
      <w:pPr>
        <w:spacing w:after="0" w:line="276" w:lineRule="auto"/>
        <w:contextualSpacing/>
        <w:rPr>
          <w:rFonts w:cs="Times New Roman"/>
          <w:iCs/>
          <w:szCs w:val="18"/>
          <w:lang w:val="nl-NL" w:eastAsia="ja-JP"/>
        </w:rPr>
      </w:pPr>
      <w:r>
        <w:rPr>
          <w:rFonts w:cs="Times New Roman"/>
          <w:iCs/>
          <w:szCs w:val="18"/>
          <w:lang w:val="nl-NL" w:eastAsia="ja-JP"/>
        </w:rPr>
        <w:t xml:space="preserve">Bij de bespreking van het landenhoofdstuk over Griekenland </w:t>
      </w:r>
      <w:r w:rsidR="008C6FFF">
        <w:rPr>
          <w:rFonts w:cs="Times New Roman"/>
          <w:iCs/>
          <w:szCs w:val="18"/>
          <w:lang w:val="nl-NL" w:eastAsia="ja-JP"/>
        </w:rPr>
        <w:t>heeft Luxemburg</w:t>
      </w:r>
      <w:r w:rsidR="001F35AA">
        <w:rPr>
          <w:rFonts w:cs="Times New Roman"/>
          <w:iCs/>
          <w:szCs w:val="18"/>
          <w:lang w:val="nl-NL" w:eastAsia="ja-JP"/>
        </w:rPr>
        <w:t>,</w:t>
      </w:r>
      <w:r w:rsidR="008C6FFF">
        <w:rPr>
          <w:rFonts w:cs="Times New Roman"/>
          <w:iCs/>
          <w:szCs w:val="18"/>
          <w:lang w:val="nl-NL" w:eastAsia="ja-JP"/>
        </w:rPr>
        <w:t xml:space="preserve"> namens de Benelux</w:t>
      </w:r>
      <w:r w:rsidR="001F35AA">
        <w:rPr>
          <w:rFonts w:cs="Times New Roman"/>
          <w:iCs/>
          <w:szCs w:val="18"/>
          <w:lang w:val="nl-NL" w:eastAsia="ja-JP"/>
        </w:rPr>
        <w:t>,</w:t>
      </w:r>
      <w:r w:rsidR="008C6FFF">
        <w:rPr>
          <w:rFonts w:cs="Times New Roman"/>
          <w:iCs/>
          <w:szCs w:val="18"/>
          <w:lang w:val="nl-NL" w:eastAsia="ja-JP"/>
        </w:rPr>
        <w:t xml:space="preserve"> verwelkomd </w:t>
      </w:r>
      <w:r w:rsidR="00AB7799">
        <w:rPr>
          <w:rFonts w:cs="Times New Roman"/>
          <w:iCs/>
          <w:szCs w:val="18"/>
          <w:lang w:val="nl-NL" w:eastAsia="ja-JP"/>
        </w:rPr>
        <w:t>dat</w:t>
      </w:r>
      <w:r w:rsidR="008C6FFF">
        <w:rPr>
          <w:rFonts w:cs="Times New Roman"/>
          <w:iCs/>
          <w:szCs w:val="18"/>
          <w:lang w:val="nl-NL" w:eastAsia="ja-JP"/>
        </w:rPr>
        <w:t xml:space="preserve"> Griekenland </w:t>
      </w:r>
      <w:r w:rsidR="00AB7799">
        <w:rPr>
          <w:rFonts w:cs="Times New Roman"/>
          <w:iCs/>
          <w:szCs w:val="18"/>
          <w:lang w:val="nl-NL" w:eastAsia="ja-JP"/>
        </w:rPr>
        <w:t xml:space="preserve">stappen </w:t>
      </w:r>
      <w:r w:rsidR="008C6FFF">
        <w:rPr>
          <w:rFonts w:cs="Times New Roman"/>
          <w:iCs/>
          <w:szCs w:val="18"/>
          <w:lang w:val="nl-NL" w:eastAsia="ja-JP"/>
        </w:rPr>
        <w:t xml:space="preserve">heeft gezet om de </w:t>
      </w:r>
      <w:proofErr w:type="spellStart"/>
      <w:r w:rsidR="008C6FFF">
        <w:rPr>
          <w:rFonts w:cs="Times New Roman"/>
          <w:iCs/>
          <w:szCs w:val="18"/>
          <w:lang w:val="nl-NL" w:eastAsia="ja-JP"/>
        </w:rPr>
        <w:t>SLAPPs</w:t>
      </w:r>
      <w:proofErr w:type="spellEnd"/>
      <w:r w:rsidR="008C6FFF">
        <w:rPr>
          <w:rFonts w:cs="Times New Roman"/>
          <w:iCs/>
          <w:szCs w:val="18"/>
          <w:lang w:val="nl-NL" w:eastAsia="ja-JP"/>
        </w:rPr>
        <w:t xml:space="preserve">-richtlijn te implementeren en </w:t>
      </w:r>
      <w:r w:rsidR="001F35AA">
        <w:rPr>
          <w:rFonts w:cs="Times New Roman"/>
          <w:iCs/>
          <w:szCs w:val="18"/>
          <w:lang w:val="nl-NL" w:eastAsia="ja-JP"/>
        </w:rPr>
        <w:t xml:space="preserve">daarbij </w:t>
      </w:r>
      <w:r w:rsidR="008C6FFF">
        <w:rPr>
          <w:rFonts w:cs="Times New Roman"/>
          <w:iCs/>
          <w:szCs w:val="18"/>
          <w:lang w:val="nl-NL" w:eastAsia="ja-JP"/>
        </w:rPr>
        <w:t xml:space="preserve">nationale experts </w:t>
      </w:r>
      <w:r w:rsidR="00AB7799">
        <w:rPr>
          <w:rFonts w:cs="Times New Roman"/>
          <w:iCs/>
          <w:szCs w:val="18"/>
          <w:lang w:val="nl-NL" w:eastAsia="ja-JP"/>
        </w:rPr>
        <w:t xml:space="preserve">bij </w:t>
      </w:r>
      <w:r w:rsidR="001F35AA">
        <w:rPr>
          <w:rFonts w:cs="Times New Roman"/>
          <w:iCs/>
          <w:szCs w:val="18"/>
          <w:lang w:val="nl-NL" w:eastAsia="ja-JP"/>
        </w:rPr>
        <w:t xml:space="preserve">het </w:t>
      </w:r>
      <w:r w:rsidR="00AB7799">
        <w:rPr>
          <w:rFonts w:cs="Times New Roman"/>
          <w:iCs/>
          <w:szCs w:val="18"/>
          <w:lang w:val="nl-NL" w:eastAsia="ja-JP"/>
        </w:rPr>
        <w:t>proces heeft betrokken.</w:t>
      </w:r>
      <w:r w:rsidR="008C6FFF">
        <w:rPr>
          <w:rFonts w:cs="Times New Roman"/>
          <w:iCs/>
          <w:szCs w:val="18"/>
          <w:lang w:val="nl-NL" w:eastAsia="ja-JP"/>
        </w:rPr>
        <w:t xml:space="preserve"> Vervolgens </w:t>
      </w:r>
      <w:r w:rsidR="00AB7799">
        <w:rPr>
          <w:rFonts w:cs="Times New Roman"/>
          <w:iCs/>
          <w:szCs w:val="18"/>
          <w:lang w:val="nl-NL" w:eastAsia="ja-JP"/>
        </w:rPr>
        <w:t>is benoemd dat</w:t>
      </w:r>
      <w:r w:rsidR="008C6FFF">
        <w:rPr>
          <w:rFonts w:cs="Times New Roman"/>
          <w:iCs/>
          <w:szCs w:val="18"/>
          <w:lang w:val="nl-NL" w:eastAsia="ja-JP"/>
        </w:rPr>
        <w:t xml:space="preserve"> verschillende incidenten </w:t>
      </w:r>
      <w:r w:rsidR="00AB7799">
        <w:rPr>
          <w:rFonts w:cs="Times New Roman"/>
          <w:iCs/>
          <w:szCs w:val="18"/>
          <w:lang w:val="nl-NL" w:eastAsia="ja-JP"/>
        </w:rPr>
        <w:t xml:space="preserve">zijn </w:t>
      </w:r>
      <w:r w:rsidR="00F71FD4">
        <w:rPr>
          <w:rFonts w:cs="Times New Roman"/>
          <w:iCs/>
          <w:szCs w:val="18"/>
          <w:lang w:val="nl-NL" w:eastAsia="ja-JP"/>
        </w:rPr>
        <w:t xml:space="preserve">gemeld </w:t>
      </w:r>
      <w:r w:rsidR="008C6FFF">
        <w:rPr>
          <w:rFonts w:cs="Times New Roman"/>
          <w:iCs/>
          <w:szCs w:val="18"/>
          <w:lang w:val="nl-NL" w:eastAsia="ja-JP"/>
        </w:rPr>
        <w:t xml:space="preserve">van fysiek en verbaal geweld tegen journalisten tijdens demonstraties en het gebruik van spyware. </w:t>
      </w:r>
      <w:r w:rsidR="00413A09">
        <w:rPr>
          <w:rFonts w:cs="Times New Roman"/>
          <w:iCs/>
          <w:szCs w:val="18"/>
          <w:lang w:val="nl-NL" w:eastAsia="ja-JP"/>
        </w:rPr>
        <w:t xml:space="preserve">In dit kader is </w:t>
      </w:r>
      <w:r w:rsidR="008C6FFF">
        <w:rPr>
          <w:rFonts w:cs="Times New Roman"/>
          <w:iCs/>
          <w:szCs w:val="18"/>
          <w:lang w:val="nl-NL" w:eastAsia="ja-JP"/>
        </w:rPr>
        <w:t xml:space="preserve">Griekenland gevraagd </w:t>
      </w:r>
      <w:r w:rsidR="00AB7799">
        <w:rPr>
          <w:rFonts w:cs="Times New Roman"/>
          <w:iCs/>
          <w:szCs w:val="18"/>
          <w:lang w:val="nl-NL" w:eastAsia="ja-JP"/>
        </w:rPr>
        <w:t xml:space="preserve">naar de </w:t>
      </w:r>
      <w:r w:rsidR="008C6FFF">
        <w:rPr>
          <w:rFonts w:cs="Times New Roman"/>
          <w:iCs/>
          <w:szCs w:val="18"/>
          <w:lang w:val="nl-NL" w:eastAsia="ja-JP"/>
        </w:rPr>
        <w:t xml:space="preserve">maatregelen </w:t>
      </w:r>
      <w:r w:rsidR="00AB7799">
        <w:rPr>
          <w:rFonts w:cs="Times New Roman"/>
          <w:iCs/>
          <w:szCs w:val="18"/>
          <w:lang w:val="nl-NL" w:eastAsia="ja-JP"/>
        </w:rPr>
        <w:t xml:space="preserve">ter bescherming van </w:t>
      </w:r>
      <w:r w:rsidR="008C6FFF">
        <w:rPr>
          <w:rFonts w:cs="Times New Roman"/>
          <w:iCs/>
          <w:szCs w:val="18"/>
          <w:lang w:val="nl-NL" w:eastAsia="ja-JP"/>
        </w:rPr>
        <w:t xml:space="preserve">de </w:t>
      </w:r>
      <w:r w:rsidR="008C6FFF">
        <w:rPr>
          <w:rFonts w:cs="Times New Roman"/>
          <w:iCs/>
          <w:szCs w:val="18"/>
          <w:lang w:val="nl-NL" w:eastAsia="ja-JP"/>
        </w:rPr>
        <w:lastRenderedPageBreak/>
        <w:t xml:space="preserve">mediavrijheid en de veiligheid van journalisten. </w:t>
      </w:r>
      <w:r w:rsidR="00AB7799">
        <w:rPr>
          <w:rFonts w:cs="Times New Roman"/>
          <w:iCs/>
          <w:szCs w:val="18"/>
          <w:lang w:val="nl-NL" w:eastAsia="ja-JP"/>
        </w:rPr>
        <w:t>Ook</w:t>
      </w:r>
      <w:r w:rsidR="008C6FFF">
        <w:rPr>
          <w:rFonts w:cs="Times New Roman"/>
          <w:iCs/>
          <w:szCs w:val="18"/>
          <w:lang w:val="nl-NL" w:eastAsia="ja-JP"/>
        </w:rPr>
        <w:t xml:space="preserve"> is </w:t>
      </w:r>
      <w:r w:rsidR="00967C0F">
        <w:rPr>
          <w:rFonts w:cs="Times New Roman"/>
          <w:iCs/>
          <w:szCs w:val="18"/>
          <w:lang w:val="nl-NL" w:eastAsia="ja-JP"/>
        </w:rPr>
        <w:t>er geïnformeerd</w:t>
      </w:r>
      <w:r w:rsidR="008C6FFF">
        <w:rPr>
          <w:rFonts w:cs="Times New Roman"/>
          <w:iCs/>
          <w:szCs w:val="18"/>
          <w:lang w:val="nl-NL" w:eastAsia="ja-JP"/>
        </w:rPr>
        <w:t xml:space="preserve"> naar de maatregelen om </w:t>
      </w:r>
      <w:r w:rsidR="00CE4393">
        <w:rPr>
          <w:rFonts w:cs="Times New Roman"/>
          <w:iCs/>
          <w:szCs w:val="18"/>
          <w:lang w:val="nl-NL" w:eastAsia="ja-JP"/>
        </w:rPr>
        <w:t xml:space="preserve">het publieke vertrouwen in de aanpak van corruptie te versterken naar aanleiding van het </w:t>
      </w:r>
      <w:r w:rsidR="00AB7799">
        <w:rPr>
          <w:rFonts w:cs="Times New Roman"/>
          <w:iCs/>
          <w:szCs w:val="18"/>
          <w:lang w:val="nl-NL" w:eastAsia="ja-JP"/>
        </w:rPr>
        <w:t>door de Commissie geconstateerde</w:t>
      </w:r>
      <w:r w:rsidR="00CE4393">
        <w:rPr>
          <w:rFonts w:cs="Times New Roman"/>
          <w:iCs/>
          <w:szCs w:val="18"/>
          <w:lang w:val="nl-NL" w:eastAsia="ja-JP"/>
        </w:rPr>
        <w:t xml:space="preserve"> lage vertrouwen </w:t>
      </w:r>
      <w:r w:rsidR="00AB7799">
        <w:rPr>
          <w:rFonts w:cs="Times New Roman"/>
          <w:iCs/>
          <w:szCs w:val="18"/>
          <w:lang w:val="nl-NL" w:eastAsia="ja-JP"/>
        </w:rPr>
        <w:t>van</w:t>
      </w:r>
      <w:r w:rsidR="00CE4393">
        <w:rPr>
          <w:rFonts w:cs="Times New Roman"/>
          <w:iCs/>
          <w:szCs w:val="18"/>
          <w:lang w:val="nl-NL" w:eastAsia="ja-JP"/>
        </w:rPr>
        <w:t xml:space="preserve"> experts, burgers en ondernemingen</w:t>
      </w:r>
      <w:r w:rsidR="00AB7799">
        <w:rPr>
          <w:rFonts w:cs="Times New Roman"/>
          <w:iCs/>
          <w:szCs w:val="18"/>
          <w:lang w:val="nl-NL" w:eastAsia="ja-JP"/>
        </w:rPr>
        <w:t xml:space="preserve"> hierin</w:t>
      </w:r>
      <w:r w:rsidR="00CE4393">
        <w:rPr>
          <w:rFonts w:cs="Times New Roman"/>
          <w:iCs/>
          <w:szCs w:val="18"/>
          <w:lang w:val="nl-NL" w:eastAsia="ja-JP"/>
        </w:rPr>
        <w:t xml:space="preserve">. </w:t>
      </w:r>
    </w:p>
    <w:p w:rsidRPr="00CA6E9A" w:rsidR="009B6453" w:rsidP="004C72F3" w:rsidRDefault="009B6453" w14:paraId="2D691059" w14:textId="77777777">
      <w:pPr>
        <w:spacing w:after="0" w:line="276" w:lineRule="auto"/>
        <w:contextualSpacing/>
        <w:rPr>
          <w:rFonts w:cs="Times New Roman"/>
          <w:iCs/>
          <w:szCs w:val="18"/>
          <w:lang w:val="nl-NL" w:eastAsia="ja-JP"/>
        </w:rPr>
      </w:pPr>
    </w:p>
    <w:p w:rsidRPr="00741A8D" w:rsidR="006D21A9" w:rsidP="004C72F3" w:rsidRDefault="009B6453" w14:paraId="72CBB645" w14:textId="6A637896">
      <w:pPr>
        <w:spacing w:after="0" w:line="276" w:lineRule="auto"/>
        <w:contextualSpacing/>
        <w:rPr>
          <w:rFonts w:cs="Times New Roman"/>
          <w:szCs w:val="18"/>
          <w:lang w:val="nl-NL" w:eastAsia="ja-JP"/>
        </w:rPr>
      </w:pPr>
      <w:r>
        <w:rPr>
          <w:rFonts w:cs="Times New Roman"/>
          <w:iCs/>
          <w:szCs w:val="18"/>
          <w:lang w:val="nl-NL" w:eastAsia="ja-JP"/>
        </w:rPr>
        <w:t xml:space="preserve">Tenslotte </w:t>
      </w:r>
      <w:r w:rsidR="008C6FFF">
        <w:rPr>
          <w:rFonts w:cs="Times New Roman"/>
          <w:iCs/>
          <w:szCs w:val="18"/>
          <w:lang w:val="nl-NL" w:eastAsia="ja-JP"/>
        </w:rPr>
        <w:t xml:space="preserve">verwelkomde </w:t>
      </w:r>
      <w:r w:rsidR="00D609BF">
        <w:rPr>
          <w:rFonts w:cs="Times New Roman"/>
          <w:iCs/>
          <w:szCs w:val="18"/>
          <w:lang w:val="nl-NL" w:eastAsia="ja-JP"/>
        </w:rPr>
        <w:t>Nederland</w:t>
      </w:r>
      <w:r w:rsidR="001F35AA">
        <w:rPr>
          <w:rFonts w:cs="Times New Roman"/>
          <w:iCs/>
          <w:szCs w:val="18"/>
          <w:lang w:val="nl-NL" w:eastAsia="ja-JP"/>
        </w:rPr>
        <w:t>,</w:t>
      </w:r>
      <w:r w:rsidR="008C6FFF">
        <w:rPr>
          <w:rFonts w:cs="Times New Roman"/>
          <w:iCs/>
          <w:szCs w:val="18"/>
          <w:lang w:val="nl-NL" w:eastAsia="ja-JP"/>
        </w:rPr>
        <w:t xml:space="preserve"> namens de Benelux</w:t>
      </w:r>
      <w:r w:rsidR="001F35AA">
        <w:rPr>
          <w:rFonts w:cs="Times New Roman"/>
          <w:iCs/>
          <w:szCs w:val="18"/>
          <w:lang w:val="nl-NL" w:eastAsia="ja-JP"/>
        </w:rPr>
        <w:t>,</w:t>
      </w:r>
      <w:r w:rsidR="008C6FFF">
        <w:rPr>
          <w:rFonts w:cs="Times New Roman"/>
          <w:iCs/>
          <w:szCs w:val="18"/>
          <w:lang w:val="nl-NL" w:eastAsia="ja-JP"/>
        </w:rPr>
        <w:t xml:space="preserve"> </w:t>
      </w:r>
      <w:r w:rsidR="00C0605B">
        <w:rPr>
          <w:rFonts w:cs="Times New Roman"/>
          <w:iCs/>
          <w:szCs w:val="18"/>
          <w:lang w:val="nl-NL" w:eastAsia="ja-JP"/>
        </w:rPr>
        <w:t xml:space="preserve">tijdens de bespreking van het Spaanse landenhoofdstuk </w:t>
      </w:r>
      <w:r w:rsidR="008C6FFF">
        <w:rPr>
          <w:rFonts w:cs="Times New Roman"/>
          <w:iCs/>
          <w:szCs w:val="18"/>
          <w:lang w:val="nl-NL" w:eastAsia="ja-JP"/>
        </w:rPr>
        <w:t xml:space="preserve">de vernieuwing van de Raad voor de Rechtspraak en de voortgang tot aanpassing van de benoemingsprocedure van de rechterlijke leden in Spanje, mede </w:t>
      </w:r>
      <w:r w:rsidR="001F35AA">
        <w:rPr>
          <w:rFonts w:cs="Times New Roman"/>
          <w:iCs/>
          <w:szCs w:val="18"/>
          <w:lang w:val="nl-NL" w:eastAsia="ja-JP"/>
        </w:rPr>
        <w:t xml:space="preserve">dankzij </w:t>
      </w:r>
      <w:r w:rsidR="008C6FFF">
        <w:rPr>
          <w:rFonts w:cs="Times New Roman"/>
          <w:iCs/>
          <w:szCs w:val="18"/>
          <w:lang w:val="nl-NL" w:eastAsia="ja-JP"/>
        </w:rPr>
        <w:t xml:space="preserve">de </w:t>
      </w:r>
      <w:r w:rsidR="001F35AA">
        <w:rPr>
          <w:rFonts w:cs="Times New Roman"/>
          <w:iCs/>
          <w:szCs w:val="18"/>
          <w:lang w:val="nl-NL" w:eastAsia="ja-JP"/>
        </w:rPr>
        <w:t xml:space="preserve">gestructureerde dialoog met de </w:t>
      </w:r>
      <w:r w:rsidR="008C6FFF">
        <w:rPr>
          <w:rFonts w:cs="Times New Roman"/>
          <w:iCs/>
          <w:szCs w:val="18"/>
          <w:lang w:val="nl-NL" w:eastAsia="ja-JP"/>
        </w:rPr>
        <w:t>Commissie</w:t>
      </w:r>
      <w:r w:rsidR="001F35AA">
        <w:rPr>
          <w:rFonts w:cs="Times New Roman"/>
          <w:iCs/>
          <w:szCs w:val="18"/>
          <w:lang w:val="nl-NL" w:eastAsia="ja-JP"/>
        </w:rPr>
        <w:t>.</w:t>
      </w:r>
      <w:r w:rsidDel="001F35AA" w:rsidR="00C0605B">
        <w:rPr>
          <w:rFonts w:cs="Times New Roman"/>
          <w:iCs/>
          <w:szCs w:val="18"/>
          <w:lang w:val="nl-NL" w:eastAsia="ja-JP"/>
        </w:rPr>
        <w:t xml:space="preserve"> </w:t>
      </w:r>
      <w:r w:rsidR="008C6FFF">
        <w:rPr>
          <w:rFonts w:cs="Times New Roman"/>
          <w:iCs/>
          <w:szCs w:val="18"/>
          <w:lang w:val="nl-NL" w:eastAsia="ja-JP"/>
        </w:rPr>
        <w:t xml:space="preserve">Spanje is gevraagd </w:t>
      </w:r>
      <w:r w:rsidR="001F35AA">
        <w:rPr>
          <w:rFonts w:cs="Times New Roman"/>
          <w:iCs/>
          <w:szCs w:val="18"/>
          <w:lang w:val="nl-NL" w:eastAsia="ja-JP"/>
        </w:rPr>
        <w:t xml:space="preserve">toelichting te geven op </w:t>
      </w:r>
      <w:r w:rsidR="008C6FFF">
        <w:rPr>
          <w:rFonts w:cs="Times New Roman"/>
          <w:iCs/>
          <w:szCs w:val="18"/>
          <w:lang w:val="nl-NL" w:eastAsia="ja-JP"/>
        </w:rPr>
        <w:t xml:space="preserve">de laatste stappen die </w:t>
      </w:r>
      <w:r w:rsidR="00C0605B">
        <w:rPr>
          <w:rFonts w:cs="Times New Roman"/>
          <w:iCs/>
          <w:szCs w:val="18"/>
          <w:lang w:val="nl-NL" w:eastAsia="ja-JP"/>
        </w:rPr>
        <w:t>voor deze hervormingen</w:t>
      </w:r>
      <w:r w:rsidR="008C6FFF">
        <w:rPr>
          <w:rFonts w:cs="Times New Roman"/>
          <w:iCs/>
          <w:szCs w:val="18"/>
          <w:lang w:val="nl-NL" w:eastAsia="ja-JP"/>
        </w:rPr>
        <w:t xml:space="preserve"> benodigd zijn. Daarnaast heeft </w:t>
      </w:r>
      <w:r w:rsidR="00D609BF">
        <w:rPr>
          <w:rFonts w:cs="Times New Roman"/>
          <w:iCs/>
          <w:szCs w:val="18"/>
          <w:lang w:val="nl-NL" w:eastAsia="ja-JP"/>
        </w:rPr>
        <w:t>Nederland</w:t>
      </w:r>
      <w:r w:rsidR="008C6FFF">
        <w:rPr>
          <w:rFonts w:cs="Times New Roman"/>
          <w:iCs/>
          <w:szCs w:val="18"/>
          <w:lang w:val="nl-NL" w:eastAsia="ja-JP"/>
        </w:rPr>
        <w:t xml:space="preserve"> namens de Benelux gevraagd naar de </w:t>
      </w:r>
      <w:r w:rsidR="00741A8D">
        <w:rPr>
          <w:rFonts w:cs="Times New Roman"/>
          <w:iCs/>
          <w:szCs w:val="18"/>
          <w:lang w:val="nl-NL" w:eastAsia="ja-JP"/>
        </w:rPr>
        <w:t xml:space="preserve">versterking van </w:t>
      </w:r>
      <w:r w:rsidR="008C6FFF">
        <w:rPr>
          <w:rFonts w:cs="Times New Roman"/>
          <w:iCs/>
          <w:szCs w:val="18"/>
          <w:lang w:val="nl-NL" w:eastAsia="ja-JP"/>
        </w:rPr>
        <w:t xml:space="preserve">het Statuut van de Procureur Generaal en </w:t>
      </w:r>
      <w:r w:rsidR="00741A8D">
        <w:rPr>
          <w:rFonts w:cs="Times New Roman"/>
          <w:iCs/>
          <w:szCs w:val="18"/>
          <w:lang w:val="nl-NL" w:eastAsia="ja-JP"/>
        </w:rPr>
        <w:t xml:space="preserve">de </w:t>
      </w:r>
      <w:r w:rsidR="008C6FFF">
        <w:rPr>
          <w:rFonts w:cs="Times New Roman"/>
          <w:iCs/>
          <w:szCs w:val="18"/>
          <w:lang w:val="nl-NL" w:eastAsia="ja-JP"/>
        </w:rPr>
        <w:t xml:space="preserve">aanpassingen </w:t>
      </w:r>
      <w:r w:rsidR="00741A8D">
        <w:rPr>
          <w:rFonts w:cs="Times New Roman"/>
          <w:iCs/>
          <w:szCs w:val="18"/>
          <w:lang w:val="nl-NL" w:eastAsia="ja-JP"/>
        </w:rPr>
        <w:t xml:space="preserve">die </w:t>
      </w:r>
      <w:r w:rsidR="008C6FFF">
        <w:rPr>
          <w:rFonts w:cs="Times New Roman"/>
          <w:iCs/>
          <w:szCs w:val="18"/>
          <w:lang w:val="nl-NL" w:eastAsia="ja-JP"/>
        </w:rPr>
        <w:t xml:space="preserve">zijn </w:t>
      </w:r>
      <w:r w:rsidR="000A7B86">
        <w:rPr>
          <w:rFonts w:cs="Times New Roman"/>
          <w:iCs/>
          <w:szCs w:val="18"/>
          <w:lang w:val="nl-NL" w:eastAsia="ja-JP"/>
        </w:rPr>
        <w:t>doorgevoerd naar aanleidin</w:t>
      </w:r>
      <w:r w:rsidR="008A5B0B">
        <w:rPr>
          <w:rFonts w:cs="Times New Roman"/>
          <w:iCs/>
          <w:szCs w:val="18"/>
          <w:lang w:val="nl-NL" w:eastAsia="ja-JP"/>
        </w:rPr>
        <w:t>g</w:t>
      </w:r>
      <w:r w:rsidR="000A7B86">
        <w:rPr>
          <w:rFonts w:cs="Times New Roman"/>
          <w:iCs/>
          <w:szCs w:val="18"/>
          <w:lang w:val="nl-NL" w:eastAsia="ja-JP"/>
        </w:rPr>
        <w:t xml:space="preserve"> van adviezen, onder meer van</w:t>
      </w:r>
      <w:r w:rsidR="008C6FFF">
        <w:rPr>
          <w:rFonts w:cs="Times New Roman"/>
          <w:iCs/>
          <w:szCs w:val="18"/>
          <w:lang w:val="nl-NL" w:eastAsia="ja-JP"/>
        </w:rPr>
        <w:t xml:space="preserve"> de Raad voor de Rechtspraak in 2025. </w:t>
      </w:r>
    </w:p>
    <w:p w:rsidRPr="00CA6E9A" w:rsidR="009B6453" w:rsidP="004C72F3" w:rsidRDefault="009B6453" w14:paraId="69EA4CFD" w14:textId="77777777">
      <w:pPr>
        <w:spacing w:after="0" w:line="276" w:lineRule="auto"/>
        <w:contextualSpacing/>
        <w:rPr>
          <w:b/>
          <w:szCs w:val="18"/>
          <w:lang w:val="nl-NL"/>
        </w:rPr>
      </w:pPr>
    </w:p>
    <w:p w:rsidR="006D21A9" w:rsidP="004C72F3" w:rsidRDefault="001C7196" w14:paraId="710B251F" w14:textId="77777777">
      <w:pPr>
        <w:spacing w:after="0" w:line="276" w:lineRule="auto"/>
        <w:contextualSpacing/>
        <w:rPr>
          <w:b/>
          <w:szCs w:val="18"/>
          <w:lang w:val="nl-NL"/>
        </w:rPr>
      </w:pPr>
      <w:r w:rsidRPr="006D21A9">
        <w:rPr>
          <w:b/>
          <w:bCs/>
          <w:iCs/>
          <w:szCs w:val="18"/>
          <w:lang w:val="nl-NL"/>
        </w:rPr>
        <w:t>European Democracy Shield</w:t>
      </w:r>
    </w:p>
    <w:p w:rsidR="00BC6647" w:rsidP="004C72F3" w:rsidRDefault="00BC6647" w14:paraId="64D4162F" w14:textId="26FFBB7A">
      <w:pPr>
        <w:spacing w:after="0" w:line="276" w:lineRule="auto"/>
        <w:rPr>
          <w:lang w:val="nl-NL"/>
        </w:rPr>
      </w:pPr>
      <w:r w:rsidRPr="240C628F">
        <w:rPr>
          <w:lang w:val="nl-NL"/>
        </w:rPr>
        <w:t xml:space="preserve">Tijdens de lunch sprak de Raad over het in november jl. aangekondigde </w:t>
      </w:r>
      <w:r w:rsidRPr="240C628F">
        <w:rPr>
          <w:i/>
          <w:lang w:val="nl-NL"/>
        </w:rPr>
        <w:t>European Democracy Shield</w:t>
      </w:r>
      <w:r w:rsidRPr="240C628F">
        <w:rPr>
          <w:lang w:val="nl-NL"/>
        </w:rPr>
        <w:t xml:space="preserve"> (</w:t>
      </w:r>
      <w:r w:rsidRPr="240C628F" w:rsidR="240C628F">
        <w:rPr>
          <w:lang w:val="nl-NL"/>
        </w:rPr>
        <w:t xml:space="preserve">hierna: </w:t>
      </w:r>
      <w:r w:rsidRPr="240C628F">
        <w:rPr>
          <w:lang w:val="nl-NL"/>
        </w:rPr>
        <w:t>EDS). Het EDS is een niet-wetgevend initiatief van de Commissie om de democratische weerbaarheid te versterken. De Commissie ging</w:t>
      </w:r>
      <w:r w:rsidRPr="240C628F" w:rsidR="00A51925">
        <w:rPr>
          <w:lang w:val="nl-NL"/>
        </w:rPr>
        <w:t xml:space="preserve"> </w:t>
      </w:r>
      <w:r w:rsidRPr="240C628F">
        <w:rPr>
          <w:lang w:val="nl-NL"/>
        </w:rPr>
        <w:t>in op de drie pijlers van het initiatief: 1) integriteit van de informatieruimte</w:t>
      </w:r>
      <w:r w:rsidR="00DD427A">
        <w:rPr>
          <w:lang w:val="nl-NL"/>
        </w:rPr>
        <w:t>;</w:t>
      </w:r>
      <w:r w:rsidRPr="240C628F">
        <w:rPr>
          <w:lang w:val="nl-NL"/>
        </w:rPr>
        <w:t xml:space="preserve"> 2) democratische instellingen, vrije verkiezingen en onafhankelijke media</w:t>
      </w:r>
      <w:r w:rsidR="006425EB">
        <w:rPr>
          <w:lang w:val="nl-NL"/>
        </w:rPr>
        <w:t>;</w:t>
      </w:r>
      <w:r w:rsidR="00A43F9E">
        <w:rPr>
          <w:lang w:val="nl-NL"/>
        </w:rPr>
        <w:t xml:space="preserve">  </w:t>
      </w:r>
      <w:r w:rsidRPr="240C628F">
        <w:rPr>
          <w:lang w:val="nl-NL"/>
        </w:rPr>
        <w:t xml:space="preserve">en 3) maatschappelijke veerkracht en betrokkenheid van burgers. </w:t>
      </w:r>
    </w:p>
    <w:p w:rsidR="00C76B95" w:rsidP="004C72F3" w:rsidRDefault="00C76B95" w14:paraId="753E9CC6" w14:textId="77777777">
      <w:pPr>
        <w:spacing w:after="0" w:line="276" w:lineRule="auto"/>
        <w:rPr>
          <w:lang w:val="nl-NL"/>
        </w:rPr>
      </w:pPr>
    </w:p>
    <w:p w:rsidRPr="00BC6647" w:rsidR="00BC6647" w:rsidP="004C72F3" w:rsidRDefault="00BC6647" w14:paraId="1362FEDD" w14:textId="5C24F480">
      <w:pPr>
        <w:spacing w:after="0" w:line="276" w:lineRule="auto"/>
        <w:rPr>
          <w:lang w:val="nl-NL"/>
        </w:rPr>
      </w:pPr>
      <w:r w:rsidRPr="11130961">
        <w:rPr>
          <w:lang w:val="nl-NL"/>
        </w:rPr>
        <w:t xml:space="preserve">De Commissie benadrukte de reeds bestaande samenwerking met lidstaten en het </w:t>
      </w:r>
      <w:r w:rsidR="00DE4055">
        <w:rPr>
          <w:lang w:val="nl-NL"/>
        </w:rPr>
        <w:t>belang van het</w:t>
      </w:r>
      <w:r w:rsidRPr="11130961">
        <w:rPr>
          <w:lang w:val="nl-NL"/>
        </w:rPr>
        <w:t xml:space="preserve"> voorkomen van duplicatie. Ook vroeg de Commissie aandacht voor </w:t>
      </w:r>
      <w:r w:rsidR="000951B7">
        <w:rPr>
          <w:lang w:val="nl-NL"/>
        </w:rPr>
        <w:t>het betrekken van</w:t>
      </w:r>
      <w:r w:rsidRPr="11130961">
        <w:rPr>
          <w:lang w:val="nl-NL"/>
        </w:rPr>
        <w:t xml:space="preserve"> het maatschappelijk middenveld en jongeren. Het merendeel van de lidstaten, waaronder Nederland, steunt het EDS</w:t>
      </w:r>
      <w:r w:rsidR="00396D55">
        <w:rPr>
          <w:lang w:val="nl-NL"/>
        </w:rPr>
        <w:t xml:space="preserve"> </w:t>
      </w:r>
      <w:r w:rsidR="008E1882">
        <w:rPr>
          <w:lang w:val="nl-NL"/>
        </w:rPr>
        <w:t>en de</w:t>
      </w:r>
      <w:r w:rsidRPr="11130961">
        <w:rPr>
          <w:lang w:val="nl-NL"/>
        </w:rPr>
        <w:t xml:space="preserve"> opricht</w:t>
      </w:r>
      <w:r w:rsidR="008E1882">
        <w:rPr>
          <w:lang w:val="nl-NL"/>
        </w:rPr>
        <w:t>ing</w:t>
      </w:r>
      <w:r w:rsidRPr="11130961">
        <w:rPr>
          <w:lang w:val="nl-NL"/>
        </w:rPr>
        <w:t xml:space="preserve"> van het </w:t>
      </w:r>
      <w:r w:rsidRPr="75B53B60">
        <w:rPr>
          <w:i/>
          <w:iCs/>
          <w:lang w:val="nl-NL"/>
        </w:rPr>
        <w:t>European Centre for Democratic Resilience</w:t>
      </w:r>
      <w:r w:rsidRPr="75B53B60" w:rsidR="00A51925">
        <w:rPr>
          <w:i/>
          <w:iCs/>
          <w:lang w:val="nl-NL"/>
        </w:rPr>
        <w:t xml:space="preserve"> </w:t>
      </w:r>
      <w:r w:rsidRPr="11130961" w:rsidR="00A51925">
        <w:rPr>
          <w:lang w:val="nl-NL"/>
        </w:rPr>
        <w:t>(</w:t>
      </w:r>
      <w:r w:rsidRPr="11130961" w:rsidR="11130961">
        <w:rPr>
          <w:lang w:val="nl-NL"/>
        </w:rPr>
        <w:t>hierna: ECD</w:t>
      </w:r>
      <w:r w:rsidR="00510B2E">
        <w:rPr>
          <w:lang w:val="nl-NL"/>
        </w:rPr>
        <w:t>R</w:t>
      </w:r>
      <w:r w:rsidRPr="11130961" w:rsidR="11130961">
        <w:rPr>
          <w:lang w:val="nl-NL"/>
        </w:rPr>
        <w:t>)</w:t>
      </w:r>
      <w:r w:rsidRPr="75B53B60" w:rsidR="11130961">
        <w:rPr>
          <w:i/>
          <w:iCs/>
          <w:lang w:val="nl-NL"/>
        </w:rPr>
        <w:t>.</w:t>
      </w:r>
      <w:r w:rsidRPr="11130961">
        <w:rPr>
          <w:lang w:val="nl-NL"/>
        </w:rPr>
        <w:t xml:space="preserve"> Het kabinet deelt de analyse dat de veelzijdige aard van de hedendaagse dreigingen vraagt om een beter geïntegreerde aanpak om informatie uit bestaande structuren samen te brengen en zo silovorming en overlappend werk te voorkomen.</w:t>
      </w:r>
      <w:r w:rsidRPr="75B53B60">
        <w:rPr>
          <w:i/>
          <w:iCs/>
          <w:lang w:val="nl-NL"/>
        </w:rPr>
        <w:t xml:space="preserve"> </w:t>
      </w:r>
      <w:r w:rsidRPr="11130961">
        <w:rPr>
          <w:lang w:val="nl-NL"/>
        </w:rPr>
        <w:t xml:space="preserve">Hierbij hebben Nederland en andere lidstaten nog wel kritische vragen over het doel, mandaat, </w:t>
      </w:r>
      <w:r w:rsidR="00624A7F">
        <w:rPr>
          <w:lang w:val="nl-NL"/>
        </w:rPr>
        <w:t xml:space="preserve">de </w:t>
      </w:r>
      <w:r w:rsidRPr="75B53B60">
        <w:rPr>
          <w:i/>
          <w:iCs/>
          <w:lang w:val="nl-NL"/>
        </w:rPr>
        <w:t>governance</w:t>
      </w:r>
      <w:r w:rsidRPr="11130961">
        <w:rPr>
          <w:lang w:val="nl-NL"/>
        </w:rPr>
        <w:t xml:space="preserve"> en prioriteit</w:t>
      </w:r>
      <w:r w:rsidR="00624A7F">
        <w:rPr>
          <w:lang w:val="nl-NL"/>
        </w:rPr>
        <w:t>stelling</w:t>
      </w:r>
      <w:r w:rsidRPr="11130961">
        <w:rPr>
          <w:lang w:val="nl-NL"/>
        </w:rPr>
        <w:t xml:space="preserve"> </w:t>
      </w:r>
      <w:r w:rsidR="00624A7F">
        <w:rPr>
          <w:lang w:val="nl-NL"/>
        </w:rPr>
        <w:t>van</w:t>
      </w:r>
      <w:r w:rsidRPr="11130961" w:rsidR="00624A7F">
        <w:rPr>
          <w:lang w:val="nl-NL"/>
        </w:rPr>
        <w:t xml:space="preserve"> </w:t>
      </w:r>
      <w:r w:rsidRPr="11130961">
        <w:rPr>
          <w:lang w:val="nl-NL"/>
        </w:rPr>
        <w:t xml:space="preserve">het </w:t>
      </w:r>
      <w:r w:rsidRPr="11130961" w:rsidR="11130961">
        <w:rPr>
          <w:lang w:val="nl-NL"/>
        </w:rPr>
        <w:t>ECD</w:t>
      </w:r>
      <w:r w:rsidR="00A51DC1">
        <w:rPr>
          <w:lang w:val="nl-NL"/>
        </w:rPr>
        <w:t>R</w:t>
      </w:r>
      <w:r w:rsidRPr="11130961">
        <w:rPr>
          <w:lang w:val="nl-NL"/>
        </w:rPr>
        <w:t xml:space="preserve">. Lidstaten vinden dat het </w:t>
      </w:r>
      <w:r w:rsidRPr="11130961" w:rsidR="11130961">
        <w:rPr>
          <w:lang w:val="nl-NL"/>
        </w:rPr>
        <w:t>ECD</w:t>
      </w:r>
      <w:r w:rsidR="00A51DC1">
        <w:rPr>
          <w:lang w:val="nl-NL"/>
        </w:rPr>
        <w:t>R</w:t>
      </w:r>
      <w:r w:rsidRPr="11130961">
        <w:rPr>
          <w:lang w:val="nl-NL"/>
        </w:rPr>
        <w:t xml:space="preserve"> vooral een coördinerende functie moet hebben, complementair moet zijn aan bestaande structuren en dat respect voor nationale bevoegdheden van belang is. </w:t>
      </w:r>
      <w:r w:rsidRPr="11130961" w:rsidR="00A51925">
        <w:rPr>
          <w:lang w:val="nl-NL"/>
        </w:rPr>
        <w:t xml:space="preserve">Nederland wil samen met de Commissie en betrokken lidstaten verkennen hoe het </w:t>
      </w:r>
      <w:r w:rsidRPr="11130961" w:rsidR="11130961">
        <w:rPr>
          <w:lang w:val="nl-NL"/>
        </w:rPr>
        <w:t>ECD</w:t>
      </w:r>
      <w:r w:rsidR="00A51DC1">
        <w:rPr>
          <w:lang w:val="nl-NL"/>
        </w:rPr>
        <w:t>R</w:t>
      </w:r>
      <w:r w:rsidRPr="11130961" w:rsidR="00A51925">
        <w:rPr>
          <w:lang w:val="nl-NL"/>
        </w:rPr>
        <w:t xml:space="preserve"> effectief vorm kan krijgen. De Kamer ontvangt op korte termijn het BNC-fiche over het EDS.</w:t>
      </w:r>
    </w:p>
    <w:p w:rsidR="00536129" w:rsidP="004C72F3" w:rsidRDefault="00536129" w14:paraId="5375CCEA" w14:textId="77777777">
      <w:pPr>
        <w:spacing w:after="0" w:line="276" w:lineRule="auto"/>
        <w:rPr>
          <w:szCs w:val="18"/>
          <w:lang w:val="nl-NL"/>
        </w:rPr>
      </w:pPr>
    </w:p>
    <w:p w:rsidR="0014655D" w:rsidP="004C72F3" w:rsidRDefault="00536129" w14:paraId="2F382479" w14:textId="5E4DB7B2">
      <w:pPr>
        <w:spacing w:after="0" w:line="276" w:lineRule="auto"/>
        <w:rPr>
          <w:iCs/>
          <w:szCs w:val="18"/>
          <w:lang w:val="nl-NL"/>
        </w:rPr>
      </w:pPr>
      <w:r w:rsidRPr="00536129">
        <w:rPr>
          <w:b/>
          <w:bCs/>
          <w:iCs/>
          <w:szCs w:val="18"/>
          <w:lang w:val="nl-NL"/>
        </w:rPr>
        <w:t xml:space="preserve">Intergouvernementele conferentie </w:t>
      </w:r>
      <w:r w:rsidR="00D51DF5">
        <w:rPr>
          <w:b/>
          <w:bCs/>
          <w:iCs/>
          <w:szCs w:val="18"/>
          <w:lang w:val="nl-NL"/>
        </w:rPr>
        <w:t xml:space="preserve">(IGC) met </w:t>
      </w:r>
      <w:r w:rsidRPr="00536129">
        <w:rPr>
          <w:b/>
          <w:bCs/>
          <w:iCs/>
          <w:szCs w:val="18"/>
          <w:lang w:val="nl-NL"/>
        </w:rPr>
        <w:t>Montenegro</w:t>
      </w:r>
      <w:r w:rsidR="00D51DF5">
        <w:rPr>
          <w:iCs/>
          <w:szCs w:val="18"/>
          <w:lang w:val="nl-NL"/>
        </w:rPr>
        <w:br/>
        <w:t>Na afloop van de</w:t>
      </w:r>
      <w:r w:rsidRPr="00D51DF5" w:rsidR="00D51DF5">
        <w:rPr>
          <w:iCs/>
          <w:szCs w:val="18"/>
          <w:lang w:val="nl-NL"/>
        </w:rPr>
        <w:t xml:space="preserve"> Raad vond een IGC met Montenegro plaats, waar</w:t>
      </w:r>
      <w:r w:rsidR="008A5B0B">
        <w:rPr>
          <w:iCs/>
          <w:szCs w:val="18"/>
          <w:lang w:val="nl-NL"/>
        </w:rPr>
        <w:t>bij</w:t>
      </w:r>
      <w:r w:rsidRPr="00D51DF5" w:rsidR="00D51DF5">
        <w:rPr>
          <w:iCs/>
          <w:szCs w:val="18"/>
          <w:lang w:val="nl-NL"/>
        </w:rPr>
        <w:t xml:space="preserve"> </w:t>
      </w:r>
      <w:r w:rsidR="00D51DF5">
        <w:rPr>
          <w:iCs/>
          <w:szCs w:val="18"/>
          <w:lang w:val="nl-NL"/>
        </w:rPr>
        <w:t>het hoofdstuk over financiële controle</w:t>
      </w:r>
      <w:r w:rsidRPr="00D51DF5" w:rsidR="00D51DF5">
        <w:rPr>
          <w:iCs/>
          <w:szCs w:val="18"/>
          <w:lang w:val="nl-NL"/>
        </w:rPr>
        <w:t xml:space="preserve"> </w:t>
      </w:r>
      <w:r w:rsidR="00413AB7">
        <w:rPr>
          <w:iCs/>
          <w:szCs w:val="18"/>
          <w:lang w:val="nl-NL"/>
        </w:rPr>
        <w:t xml:space="preserve">(hoofdstuk 32) </w:t>
      </w:r>
      <w:r w:rsidRPr="00D51DF5" w:rsidR="00D51DF5">
        <w:rPr>
          <w:iCs/>
          <w:szCs w:val="18"/>
          <w:lang w:val="nl-NL"/>
        </w:rPr>
        <w:t xml:space="preserve">onder voorbehoud werd gesloten. Tijdens de bijeenkomst werd </w:t>
      </w:r>
      <w:r w:rsidR="008A5B0B">
        <w:rPr>
          <w:iCs/>
          <w:szCs w:val="18"/>
          <w:lang w:val="nl-NL"/>
        </w:rPr>
        <w:t>aandacht besteed aan</w:t>
      </w:r>
      <w:r w:rsidRPr="00D51DF5" w:rsidR="00D51DF5">
        <w:rPr>
          <w:iCs/>
          <w:szCs w:val="18"/>
          <w:lang w:val="nl-NL"/>
        </w:rPr>
        <w:t xml:space="preserve"> de verwachtingen die gepaard gaan met het verdere toetredingsproces, </w:t>
      </w:r>
      <w:r w:rsidR="008A5B0B">
        <w:rPr>
          <w:iCs/>
          <w:szCs w:val="18"/>
          <w:lang w:val="nl-NL"/>
        </w:rPr>
        <w:t xml:space="preserve">met nadruk op de </w:t>
      </w:r>
      <w:r w:rsidRPr="00D51DF5" w:rsidR="00D51DF5">
        <w:rPr>
          <w:iCs/>
          <w:szCs w:val="18"/>
          <w:lang w:val="nl-NL"/>
        </w:rPr>
        <w:t>implementatie van reeds aangenomen wetgeving</w:t>
      </w:r>
      <w:r w:rsidR="00D51DF5">
        <w:rPr>
          <w:iCs/>
          <w:szCs w:val="18"/>
          <w:lang w:val="nl-NL"/>
        </w:rPr>
        <w:t xml:space="preserve"> en </w:t>
      </w:r>
      <w:r w:rsidR="008A5B0B">
        <w:rPr>
          <w:iCs/>
          <w:szCs w:val="18"/>
          <w:lang w:val="nl-NL"/>
        </w:rPr>
        <w:t xml:space="preserve">de voortgang </w:t>
      </w:r>
      <w:r w:rsidR="00D51DF5">
        <w:rPr>
          <w:iCs/>
          <w:szCs w:val="18"/>
          <w:lang w:val="nl-NL"/>
        </w:rPr>
        <w:t>op het gebied van de rechtsstaat</w:t>
      </w:r>
      <w:r w:rsidR="008A5B0B">
        <w:rPr>
          <w:iCs/>
          <w:szCs w:val="18"/>
          <w:lang w:val="nl-NL"/>
        </w:rPr>
        <w:t>.</w:t>
      </w:r>
      <w:r w:rsidDel="008A5B0B" w:rsidR="00D51DF5">
        <w:rPr>
          <w:iCs/>
          <w:szCs w:val="18"/>
          <w:lang w:val="nl-NL"/>
        </w:rPr>
        <w:t xml:space="preserve"> </w:t>
      </w:r>
      <w:r w:rsidRPr="00D51DF5" w:rsidR="00D51DF5">
        <w:rPr>
          <w:iCs/>
          <w:szCs w:val="18"/>
          <w:lang w:val="nl-NL"/>
        </w:rPr>
        <w:t xml:space="preserve">In een Benelux-interventie benadrukte </w:t>
      </w:r>
      <w:r w:rsidR="00D51DF5">
        <w:rPr>
          <w:iCs/>
          <w:szCs w:val="18"/>
          <w:lang w:val="nl-NL"/>
        </w:rPr>
        <w:t>Nederland</w:t>
      </w:r>
      <w:r w:rsidRPr="00D51DF5" w:rsidR="00D51DF5">
        <w:rPr>
          <w:iCs/>
          <w:szCs w:val="18"/>
          <w:lang w:val="nl-NL"/>
        </w:rPr>
        <w:t xml:space="preserve"> dit eveneens, alsook </w:t>
      </w:r>
      <w:r w:rsidR="00D51DF5">
        <w:rPr>
          <w:iCs/>
          <w:szCs w:val="18"/>
          <w:lang w:val="nl-NL"/>
        </w:rPr>
        <w:t xml:space="preserve">het belang van </w:t>
      </w:r>
      <w:r w:rsidRPr="00D51DF5" w:rsidR="00D51DF5">
        <w:rPr>
          <w:iCs/>
          <w:szCs w:val="18"/>
          <w:lang w:val="nl-NL"/>
        </w:rPr>
        <w:t xml:space="preserve">voortzetting van de versterking van financieel beheer, </w:t>
      </w:r>
      <w:proofErr w:type="spellStart"/>
      <w:r w:rsidRPr="00462A54" w:rsidR="00D51DF5">
        <w:rPr>
          <w:i/>
          <w:szCs w:val="18"/>
          <w:lang w:val="nl-NL"/>
        </w:rPr>
        <w:t>auditing</w:t>
      </w:r>
      <w:proofErr w:type="spellEnd"/>
      <w:r w:rsidRPr="00D51DF5" w:rsidR="00D51DF5">
        <w:rPr>
          <w:iCs/>
          <w:szCs w:val="18"/>
          <w:lang w:val="nl-NL"/>
        </w:rPr>
        <w:t xml:space="preserve"> en fraudebestrijding</w:t>
      </w:r>
      <w:r w:rsidR="00D51DF5">
        <w:rPr>
          <w:iCs/>
          <w:szCs w:val="18"/>
          <w:lang w:val="nl-NL"/>
        </w:rPr>
        <w:t>.</w:t>
      </w:r>
      <w:r w:rsidR="00413AB7">
        <w:rPr>
          <w:iCs/>
          <w:szCs w:val="18"/>
          <w:lang w:val="nl-NL"/>
        </w:rPr>
        <w:t xml:space="preserve"> Een aantal lidstaten verwees naar de oprichting van een Ad Hoc Werkgroep voor een toetredingsverdrag met Montenegro, dat onder Cypriotisch voorzitterschap zou kunnen plaatsvinden. </w:t>
      </w:r>
      <w:r w:rsidR="00D51DF5">
        <w:rPr>
          <w:iCs/>
          <w:szCs w:val="18"/>
          <w:lang w:val="nl-NL"/>
        </w:rPr>
        <w:br/>
      </w:r>
    </w:p>
    <w:p w:rsidRPr="0014655D" w:rsidR="00CA6E9A" w:rsidP="004C72F3" w:rsidRDefault="00CA6E9A" w14:paraId="1A84C63B" w14:textId="55576B97">
      <w:pPr>
        <w:spacing w:after="0" w:line="276" w:lineRule="auto"/>
        <w:rPr>
          <w:b/>
          <w:bCs/>
          <w:iCs/>
          <w:szCs w:val="18"/>
          <w:lang w:val="nl-NL"/>
        </w:rPr>
      </w:pPr>
      <w:r w:rsidRPr="0014655D">
        <w:rPr>
          <w:b/>
          <w:bCs/>
          <w:iCs/>
          <w:szCs w:val="18"/>
          <w:lang w:val="nl-NL"/>
        </w:rPr>
        <w:t xml:space="preserve">AOB: </w:t>
      </w:r>
      <w:proofErr w:type="spellStart"/>
      <w:r>
        <w:rPr>
          <w:b/>
          <w:bCs/>
          <w:iCs/>
          <w:szCs w:val="18"/>
          <w:lang w:val="nl-NL"/>
        </w:rPr>
        <w:t>U</w:t>
      </w:r>
      <w:r w:rsidRPr="0014655D">
        <w:rPr>
          <w:b/>
          <w:bCs/>
          <w:iCs/>
          <w:szCs w:val="18"/>
          <w:lang w:val="nl-NL"/>
        </w:rPr>
        <w:t>ltraperifere</w:t>
      </w:r>
      <w:proofErr w:type="spellEnd"/>
      <w:r w:rsidRPr="0014655D">
        <w:rPr>
          <w:b/>
          <w:bCs/>
          <w:iCs/>
          <w:szCs w:val="18"/>
          <w:lang w:val="nl-NL"/>
        </w:rPr>
        <w:t xml:space="preserve"> gebieden</w:t>
      </w:r>
    </w:p>
    <w:p w:rsidR="00CA6E9A" w:rsidP="004C72F3" w:rsidRDefault="00CA6E9A" w14:paraId="72B57FA6" w14:textId="668D19B4">
      <w:pPr>
        <w:spacing w:after="0" w:line="276" w:lineRule="auto"/>
        <w:rPr>
          <w:iCs/>
          <w:szCs w:val="18"/>
          <w:lang w:val="nl-NL"/>
        </w:rPr>
      </w:pPr>
      <w:r>
        <w:rPr>
          <w:iCs/>
          <w:szCs w:val="18"/>
          <w:lang w:val="nl-NL"/>
        </w:rPr>
        <w:t xml:space="preserve">Frankrijk, Spanje en Portugal benadrukten het strategisch belang van de </w:t>
      </w:r>
      <w:proofErr w:type="spellStart"/>
      <w:r w:rsidRPr="00CA6E9A">
        <w:rPr>
          <w:iCs/>
          <w:szCs w:val="18"/>
          <w:lang w:val="nl-NL"/>
        </w:rPr>
        <w:t>ultraperifere</w:t>
      </w:r>
      <w:proofErr w:type="spellEnd"/>
      <w:r w:rsidRPr="00CA6E9A">
        <w:rPr>
          <w:iCs/>
          <w:szCs w:val="18"/>
          <w:lang w:val="nl-NL"/>
        </w:rPr>
        <w:t xml:space="preserve"> gebieden (</w:t>
      </w:r>
      <w:proofErr w:type="spellStart"/>
      <w:r w:rsidRPr="00CA6E9A">
        <w:rPr>
          <w:iCs/>
          <w:szCs w:val="18"/>
          <w:lang w:val="nl-NL"/>
        </w:rPr>
        <w:t>UPG</w:t>
      </w:r>
      <w:r>
        <w:rPr>
          <w:iCs/>
          <w:szCs w:val="18"/>
          <w:lang w:val="nl-NL"/>
        </w:rPr>
        <w:t>’s</w:t>
      </w:r>
      <w:proofErr w:type="spellEnd"/>
      <w:r>
        <w:rPr>
          <w:iCs/>
          <w:szCs w:val="18"/>
          <w:lang w:val="nl-NL"/>
        </w:rPr>
        <w:t xml:space="preserve">) in het licht van de herziening van UPG-strategie, het aangekondigde simplificatiepakket en de lopende onderhandelingen over het </w:t>
      </w:r>
      <w:r w:rsidR="008F209C">
        <w:rPr>
          <w:iCs/>
          <w:szCs w:val="18"/>
          <w:lang w:val="nl-NL"/>
        </w:rPr>
        <w:t>MFK</w:t>
      </w:r>
      <w:r>
        <w:rPr>
          <w:iCs/>
          <w:szCs w:val="18"/>
          <w:lang w:val="nl-NL"/>
        </w:rPr>
        <w:t xml:space="preserve">.  </w:t>
      </w:r>
    </w:p>
    <w:p w:rsidR="00CA6E9A" w:rsidP="004C72F3" w:rsidRDefault="00CA6E9A" w14:paraId="682CBAF9" w14:textId="77777777">
      <w:pPr>
        <w:spacing w:after="0" w:line="276" w:lineRule="auto"/>
        <w:rPr>
          <w:b/>
          <w:bCs/>
          <w:iCs/>
          <w:szCs w:val="18"/>
          <w:lang w:val="nl-NL"/>
        </w:rPr>
      </w:pPr>
    </w:p>
    <w:p w:rsidRPr="00CA6E9A" w:rsidR="0014655D" w:rsidP="004C72F3" w:rsidRDefault="0014655D" w14:paraId="3D93D2BA" w14:textId="15C75A5F">
      <w:pPr>
        <w:spacing w:after="0" w:line="276" w:lineRule="auto"/>
        <w:rPr>
          <w:b/>
          <w:bCs/>
          <w:iCs/>
          <w:szCs w:val="18"/>
          <w:lang w:val="de-DE"/>
        </w:rPr>
      </w:pPr>
      <w:r w:rsidRPr="00CA6E9A">
        <w:rPr>
          <w:b/>
          <w:bCs/>
          <w:iCs/>
          <w:szCs w:val="18"/>
          <w:lang w:val="de-DE"/>
        </w:rPr>
        <w:t xml:space="preserve">AOB: </w:t>
      </w:r>
      <w:bookmarkStart w:name="_Hlk220338175" w:id="1"/>
      <w:r w:rsidRPr="00CA6E9A">
        <w:rPr>
          <w:b/>
          <w:bCs/>
          <w:iCs/>
          <w:szCs w:val="18"/>
          <w:lang w:val="de-DE"/>
        </w:rPr>
        <w:t xml:space="preserve">EU </w:t>
      </w:r>
      <w:proofErr w:type="spellStart"/>
      <w:r w:rsidRPr="00CA6E9A">
        <w:rPr>
          <w:b/>
          <w:bCs/>
          <w:iCs/>
          <w:szCs w:val="18"/>
          <w:lang w:val="de-DE"/>
        </w:rPr>
        <w:t>macro</w:t>
      </w:r>
      <w:proofErr w:type="spellEnd"/>
      <w:r w:rsidRPr="00CA6E9A">
        <w:rPr>
          <w:b/>
          <w:bCs/>
          <w:iCs/>
          <w:szCs w:val="18"/>
          <w:lang w:val="de-DE"/>
        </w:rPr>
        <w:t xml:space="preserve">-regionale Atlantische </w:t>
      </w:r>
      <w:proofErr w:type="spellStart"/>
      <w:r w:rsidRPr="00CA6E9A">
        <w:rPr>
          <w:b/>
          <w:bCs/>
          <w:iCs/>
          <w:szCs w:val="18"/>
          <w:lang w:val="de-DE"/>
        </w:rPr>
        <w:t>strategie</w:t>
      </w:r>
      <w:proofErr w:type="spellEnd"/>
      <w:r w:rsidRPr="00CA6E9A">
        <w:rPr>
          <w:b/>
          <w:bCs/>
          <w:iCs/>
          <w:szCs w:val="18"/>
          <w:lang w:val="de-DE"/>
        </w:rPr>
        <w:t xml:space="preserve"> </w:t>
      </w:r>
      <w:bookmarkEnd w:id="1"/>
    </w:p>
    <w:p w:rsidRPr="00CA6E9A" w:rsidR="00CA6E9A" w:rsidP="004C72F3" w:rsidRDefault="00CA6E9A" w14:paraId="32B1769B" w14:textId="41CEFDE1">
      <w:pPr>
        <w:spacing w:after="0" w:line="276" w:lineRule="auto"/>
        <w:rPr>
          <w:iCs/>
          <w:szCs w:val="18"/>
          <w:lang w:val="nl-NL"/>
        </w:rPr>
      </w:pPr>
      <w:r w:rsidRPr="00CA6E9A">
        <w:rPr>
          <w:iCs/>
          <w:szCs w:val="18"/>
          <w:lang w:val="nl-NL"/>
        </w:rPr>
        <w:t>De Raad nam nota v</w:t>
      </w:r>
      <w:r>
        <w:rPr>
          <w:iCs/>
          <w:szCs w:val="18"/>
          <w:lang w:val="nl-NL"/>
        </w:rPr>
        <w:t>an de oproep aan de Europese Commissie tijdens de Europes</w:t>
      </w:r>
      <w:r w:rsidR="00413AB7">
        <w:rPr>
          <w:iCs/>
          <w:szCs w:val="18"/>
          <w:lang w:val="nl-NL"/>
        </w:rPr>
        <w:t>e</w:t>
      </w:r>
      <w:r>
        <w:rPr>
          <w:iCs/>
          <w:szCs w:val="18"/>
          <w:lang w:val="nl-NL"/>
        </w:rPr>
        <w:t xml:space="preserve"> Raad van december </w:t>
      </w:r>
      <w:r w:rsidR="00FC3B0B">
        <w:rPr>
          <w:iCs/>
          <w:szCs w:val="18"/>
          <w:lang w:val="nl-NL"/>
        </w:rPr>
        <w:t xml:space="preserve">2025 </w:t>
      </w:r>
      <w:r>
        <w:rPr>
          <w:iCs/>
          <w:szCs w:val="18"/>
          <w:lang w:val="nl-NL"/>
        </w:rPr>
        <w:t>om</w:t>
      </w:r>
      <w:r w:rsidRPr="00CA6E9A">
        <w:rPr>
          <w:iCs/>
          <w:szCs w:val="18"/>
          <w:lang w:val="nl-NL"/>
        </w:rPr>
        <w:t xml:space="preserve">, in samenwerking met de lidstaten, uiterlijk in juni 2027 een </w:t>
      </w:r>
      <w:r w:rsidR="00A07F9E">
        <w:rPr>
          <w:iCs/>
          <w:szCs w:val="18"/>
          <w:lang w:val="nl-NL"/>
        </w:rPr>
        <w:t>m</w:t>
      </w:r>
      <w:r w:rsidRPr="00CA6E9A">
        <w:rPr>
          <w:iCs/>
          <w:szCs w:val="18"/>
          <w:lang w:val="nl-NL"/>
        </w:rPr>
        <w:t xml:space="preserve">acroregionale </w:t>
      </w:r>
      <w:r w:rsidR="00A07F9E">
        <w:rPr>
          <w:iCs/>
          <w:szCs w:val="18"/>
          <w:lang w:val="nl-NL"/>
        </w:rPr>
        <w:t>EU-</w:t>
      </w:r>
      <w:r w:rsidRPr="00CA6E9A">
        <w:rPr>
          <w:iCs/>
          <w:szCs w:val="18"/>
          <w:lang w:val="nl-NL"/>
        </w:rPr>
        <w:lastRenderedPageBreak/>
        <w:t xml:space="preserve">strategie voor het Atlantisch gebied te ontwikkelen, rekening houdend met de bestaande maritieme strategie voor het Atlantische gebied en het Atlantisch </w:t>
      </w:r>
      <w:r>
        <w:rPr>
          <w:iCs/>
          <w:szCs w:val="18"/>
          <w:lang w:val="nl-NL"/>
        </w:rPr>
        <w:t>a</w:t>
      </w:r>
      <w:r w:rsidRPr="00CA6E9A">
        <w:rPr>
          <w:iCs/>
          <w:szCs w:val="18"/>
          <w:lang w:val="nl-NL"/>
        </w:rPr>
        <w:t>ctieplan.</w:t>
      </w:r>
    </w:p>
    <w:p w:rsidRPr="00CA6E9A" w:rsidR="0014655D" w:rsidP="004C72F3" w:rsidRDefault="0014655D" w14:paraId="5F8A0398" w14:textId="400ADBEC">
      <w:pPr>
        <w:spacing w:after="0" w:line="276" w:lineRule="auto"/>
        <w:rPr>
          <w:iCs/>
          <w:szCs w:val="18"/>
          <w:lang w:val="nl-NL"/>
        </w:rPr>
      </w:pPr>
    </w:p>
    <w:sectPr w:rsidRPr="00CA6E9A" w:rsidR="0014655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2CE46" w14:textId="77777777" w:rsidR="005F4E43" w:rsidRDefault="005F4E43" w:rsidP="00823D7C">
      <w:pPr>
        <w:spacing w:after="0"/>
      </w:pPr>
      <w:r>
        <w:separator/>
      </w:r>
    </w:p>
  </w:endnote>
  <w:endnote w:type="continuationSeparator" w:id="0">
    <w:p w14:paraId="46F79276" w14:textId="77777777" w:rsidR="005F4E43" w:rsidRDefault="005F4E43" w:rsidP="00823D7C">
      <w:pPr>
        <w:spacing w:after="0"/>
      </w:pPr>
      <w:r>
        <w:continuationSeparator/>
      </w:r>
    </w:p>
  </w:endnote>
  <w:endnote w:type="continuationNotice" w:id="1">
    <w:p w14:paraId="6B67123E" w14:textId="77777777" w:rsidR="001831CC" w:rsidRDefault="001831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D0C3" w14:textId="77777777" w:rsidR="00823D7C" w:rsidRDefault="00823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49DE48C4" w14:textId="77777777" w:rsidR="00823D7C" w:rsidRDefault="00823D7C"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A43C0F4" w14:textId="77777777" w:rsidR="00823D7C" w:rsidRDefault="00823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2996" w14:textId="77777777" w:rsidR="00823D7C" w:rsidRDefault="0082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94271" w14:textId="77777777" w:rsidR="005F4E43" w:rsidRDefault="005F4E43" w:rsidP="00823D7C">
      <w:pPr>
        <w:spacing w:after="0"/>
      </w:pPr>
      <w:r>
        <w:separator/>
      </w:r>
    </w:p>
  </w:footnote>
  <w:footnote w:type="continuationSeparator" w:id="0">
    <w:p w14:paraId="178F6B56" w14:textId="77777777" w:rsidR="005F4E43" w:rsidRDefault="005F4E43" w:rsidP="00823D7C">
      <w:pPr>
        <w:spacing w:after="0"/>
      </w:pPr>
      <w:r>
        <w:continuationSeparator/>
      </w:r>
    </w:p>
  </w:footnote>
  <w:footnote w:type="continuationNotice" w:id="1">
    <w:p w14:paraId="795162FB" w14:textId="77777777" w:rsidR="001831CC" w:rsidRDefault="001831CC">
      <w:pPr>
        <w:spacing w:after="0"/>
      </w:pPr>
    </w:p>
  </w:footnote>
  <w:footnote w:id="2">
    <w:p w14:paraId="5C0A5DF3" w14:textId="0EF23FF8" w:rsidR="004D2FAD" w:rsidRPr="004C72F3" w:rsidRDefault="004D2FAD">
      <w:pPr>
        <w:pStyle w:val="FootnoteText"/>
        <w:rPr>
          <w:sz w:val="16"/>
          <w:szCs w:val="16"/>
          <w:lang w:val="nl-NL"/>
        </w:rPr>
      </w:pPr>
      <w:r w:rsidRPr="004C72F3">
        <w:rPr>
          <w:rStyle w:val="FootnoteReference"/>
          <w:sz w:val="16"/>
          <w:szCs w:val="16"/>
        </w:rPr>
        <w:footnoteRef/>
      </w:r>
      <w:r w:rsidRPr="004C72F3">
        <w:rPr>
          <w:sz w:val="16"/>
          <w:szCs w:val="16"/>
          <w:lang w:val="nl-NL"/>
        </w:rPr>
        <w:t xml:space="preserve"> Kabinetsappreciatie van het Witboek Europese Defensiegereedheid: Kamerstuk 22112 nr. 4027</w:t>
      </w:r>
    </w:p>
  </w:footnote>
  <w:footnote w:id="3">
    <w:p w14:paraId="0F65E515" w14:textId="75ECDE06" w:rsidR="009B6453" w:rsidRPr="00557A11" w:rsidRDefault="009B6453">
      <w:pPr>
        <w:pStyle w:val="FootnoteText"/>
      </w:pPr>
      <w:r w:rsidRPr="004C72F3">
        <w:rPr>
          <w:rStyle w:val="FootnoteReference"/>
          <w:sz w:val="16"/>
          <w:szCs w:val="16"/>
        </w:rPr>
        <w:footnoteRef/>
      </w:r>
      <w:r w:rsidRPr="004C72F3">
        <w:rPr>
          <w:sz w:val="16"/>
          <w:szCs w:val="16"/>
        </w:rPr>
        <w:t xml:space="preserve"> </w:t>
      </w:r>
      <w:proofErr w:type="spellStart"/>
      <w:r w:rsidR="00557A11" w:rsidRPr="004C72F3">
        <w:rPr>
          <w:sz w:val="16"/>
          <w:szCs w:val="16"/>
        </w:rPr>
        <w:t>Europese</w:t>
      </w:r>
      <w:proofErr w:type="spellEnd"/>
      <w:r w:rsidR="00557A11" w:rsidRPr="004C72F3">
        <w:rPr>
          <w:sz w:val="16"/>
          <w:szCs w:val="16"/>
        </w:rPr>
        <w:t xml:space="preserve"> Commissie, </w:t>
      </w:r>
      <w:r w:rsidR="00557A11" w:rsidRPr="004C72F3">
        <w:rPr>
          <w:i/>
          <w:iCs/>
          <w:sz w:val="16"/>
          <w:szCs w:val="16"/>
        </w:rPr>
        <w:t>2025 Rule of law report - Communication and country chapters</w:t>
      </w:r>
      <w:r w:rsidR="00557A11" w:rsidRPr="004C72F3">
        <w:rPr>
          <w:sz w:val="16"/>
          <w:szCs w:val="16"/>
        </w:rPr>
        <w:t xml:space="preserve">, </w:t>
      </w:r>
      <w:hyperlink r:id="rId1" w:history="1">
        <w:r w:rsidR="00155584" w:rsidRPr="004C72F3">
          <w:rPr>
            <w:rStyle w:val="Hyperlink"/>
            <w:sz w:val="16"/>
            <w:szCs w:val="16"/>
          </w:rPr>
          <w:t>https://commission.europa.eu/publications/2025-rule-law-report-communication-and-country-chapters_en</w:t>
        </w:r>
      </w:hyperlink>
      <w:r w:rsidR="00C45553" w:rsidRPr="004C72F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8D5D" w14:textId="77777777" w:rsidR="00823D7C" w:rsidRDefault="00823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297E" w14:textId="77777777" w:rsidR="00823D7C" w:rsidRDefault="00823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55C1" w14:textId="77777777" w:rsidR="00823D7C" w:rsidRDefault="00823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509101345">
    <w:abstractNumId w:val="3"/>
  </w:num>
  <w:num w:numId="2" w16cid:durableId="1198734178">
    <w:abstractNumId w:val="0"/>
  </w:num>
  <w:num w:numId="3" w16cid:durableId="1263146525">
    <w:abstractNumId w:val="2"/>
  </w:num>
  <w:num w:numId="4" w16cid:durableId="1713074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F1"/>
    <w:rsid w:val="000138AF"/>
    <w:rsid w:val="00016B8E"/>
    <w:rsid w:val="00023DAA"/>
    <w:rsid w:val="00025B27"/>
    <w:rsid w:val="00025B4B"/>
    <w:rsid w:val="00026DA3"/>
    <w:rsid w:val="00036803"/>
    <w:rsid w:val="00042639"/>
    <w:rsid w:val="000454F5"/>
    <w:rsid w:val="00045EF8"/>
    <w:rsid w:val="0005217C"/>
    <w:rsid w:val="00052562"/>
    <w:rsid w:val="00056E92"/>
    <w:rsid w:val="000613DF"/>
    <w:rsid w:val="00061E30"/>
    <w:rsid w:val="0006314F"/>
    <w:rsid w:val="00071626"/>
    <w:rsid w:val="00077F28"/>
    <w:rsid w:val="000812BD"/>
    <w:rsid w:val="000813F1"/>
    <w:rsid w:val="00083992"/>
    <w:rsid w:val="00087443"/>
    <w:rsid w:val="00087C6A"/>
    <w:rsid w:val="00092B2F"/>
    <w:rsid w:val="000951B7"/>
    <w:rsid w:val="00095BD2"/>
    <w:rsid w:val="000A0738"/>
    <w:rsid w:val="000A2BF0"/>
    <w:rsid w:val="000A37FD"/>
    <w:rsid w:val="000A39C2"/>
    <w:rsid w:val="000A76A4"/>
    <w:rsid w:val="000A7B86"/>
    <w:rsid w:val="000B34D7"/>
    <w:rsid w:val="000B45BC"/>
    <w:rsid w:val="000B7E22"/>
    <w:rsid w:val="000C5220"/>
    <w:rsid w:val="000C739B"/>
    <w:rsid w:val="000D11F6"/>
    <w:rsid w:val="000D1EC1"/>
    <w:rsid w:val="000E1500"/>
    <w:rsid w:val="000E2AC3"/>
    <w:rsid w:val="000E355F"/>
    <w:rsid w:val="000E35EF"/>
    <w:rsid w:val="000F3379"/>
    <w:rsid w:val="000F3C93"/>
    <w:rsid w:val="000F6273"/>
    <w:rsid w:val="00100BE9"/>
    <w:rsid w:val="00104ABD"/>
    <w:rsid w:val="00105DE6"/>
    <w:rsid w:val="0011288B"/>
    <w:rsid w:val="001146EF"/>
    <w:rsid w:val="00121B83"/>
    <w:rsid w:val="001230E2"/>
    <w:rsid w:val="00130635"/>
    <w:rsid w:val="00137661"/>
    <w:rsid w:val="001405EA"/>
    <w:rsid w:val="00145E4A"/>
    <w:rsid w:val="0014655D"/>
    <w:rsid w:val="0014743A"/>
    <w:rsid w:val="001524B4"/>
    <w:rsid w:val="00155584"/>
    <w:rsid w:val="001556D8"/>
    <w:rsid w:val="00156269"/>
    <w:rsid w:val="00163B35"/>
    <w:rsid w:val="00164C23"/>
    <w:rsid w:val="001757C6"/>
    <w:rsid w:val="001762C0"/>
    <w:rsid w:val="00180793"/>
    <w:rsid w:val="00180D7B"/>
    <w:rsid w:val="00181A17"/>
    <w:rsid w:val="001831CC"/>
    <w:rsid w:val="00190B31"/>
    <w:rsid w:val="0019132A"/>
    <w:rsid w:val="00191613"/>
    <w:rsid w:val="00191A35"/>
    <w:rsid w:val="00197A20"/>
    <w:rsid w:val="001A0185"/>
    <w:rsid w:val="001A041A"/>
    <w:rsid w:val="001A247B"/>
    <w:rsid w:val="001C246D"/>
    <w:rsid w:val="001C2ACC"/>
    <w:rsid w:val="001C40FD"/>
    <w:rsid w:val="001C43B1"/>
    <w:rsid w:val="001C5E95"/>
    <w:rsid w:val="001C7196"/>
    <w:rsid w:val="001C79C0"/>
    <w:rsid w:val="001D42D7"/>
    <w:rsid w:val="001D6992"/>
    <w:rsid w:val="001E19D9"/>
    <w:rsid w:val="001E1D82"/>
    <w:rsid w:val="001E5F2D"/>
    <w:rsid w:val="001F041E"/>
    <w:rsid w:val="001F35AA"/>
    <w:rsid w:val="001F4DDD"/>
    <w:rsid w:val="001F6852"/>
    <w:rsid w:val="001F7085"/>
    <w:rsid w:val="001F7BE1"/>
    <w:rsid w:val="002026CA"/>
    <w:rsid w:val="0020351C"/>
    <w:rsid w:val="00204B45"/>
    <w:rsid w:val="00206555"/>
    <w:rsid w:val="0020682E"/>
    <w:rsid w:val="00213114"/>
    <w:rsid w:val="00215C9A"/>
    <w:rsid w:val="00216632"/>
    <w:rsid w:val="00225CEA"/>
    <w:rsid w:val="00236019"/>
    <w:rsid w:val="00236D05"/>
    <w:rsid w:val="002505C0"/>
    <w:rsid w:val="00250CA9"/>
    <w:rsid w:val="002531FC"/>
    <w:rsid w:val="002538B2"/>
    <w:rsid w:val="0025541B"/>
    <w:rsid w:val="002634F1"/>
    <w:rsid w:val="00264180"/>
    <w:rsid w:val="002653F6"/>
    <w:rsid w:val="00265827"/>
    <w:rsid w:val="00265B3B"/>
    <w:rsid w:val="0026703A"/>
    <w:rsid w:val="00267AF9"/>
    <w:rsid w:val="002734F9"/>
    <w:rsid w:val="00275840"/>
    <w:rsid w:val="00276DBA"/>
    <w:rsid w:val="00282A97"/>
    <w:rsid w:val="00282DF6"/>
    <w:rsid w:val="002834D8"/>
    <w:rsid w:val="0028668E"/>
    <w:rsid w:val="002873B2"/>
    <w:rsid w:val="002938EB"/>
    <w:rsid w:val="00293DDD"/>
    <w:rsid w:val="00294874"/>
    <w:rsid w:val="00295A58"/>
    <w:rsid w:val="002978CF"/>
    <w:rsid w:val="002A5E5A"/>
    <w:rsid w:val="002A6054"/>
    <w:rsid w:val="002A7A94"/>
    <w:rsid w:val="002B4891"/>
    <w:rsid w:val="002D3251"/>
    <w:rsid w:val="002D3FFF"/>
    <w:rsid w:val="002D6A98"/>
    <w:rsid w:val="002D7FE4"/>
    <w:rsid w:val="002E226C"/>
    <w:rsid w:val="002E26BE"/>
    <w:rsid w:val="002E4B8D"/>
    <w:rsid w:val="002F03BD"/>
    <w:rsid w:val="002F0727"/>
    <w:rsid w:val="002F40A5"/>
    <w:rsid w:val="003054C1"/>
    <w:rsid w:val="0030687E"/>
    <w:rsid w:val="00306956"/>
    <w:rsid w:val="00317FA1"/>
    <w:rsid w:val="00320089"/>
    <w:rsid w:val="003207F7"/>
    <w:rsid w:val="003222D8"/>
    <w:rsid w:val="003247F4"/>
    <w:rsid w:val="003254D2"/>
    <w:rsid w:val="00325BD7"/>
    <w:rsid w:val="00330ECA"/>
    <w:rsid w:val="00331A19"/>
    <w:rsid w:val="00333680"/>
    <w:rsid w:val="00334F6B"/>
    <w:rsid w:val="0033697E"/>
    <w:rsid w:val="00337CBE"/>
    <w:rsid w:val="00340258"/>
    <w:rsid w:val="00340632"/>
    <w:rsid w:val="003425D2"/>
    <w:rsid w:val="00345CCC"/>
    <w:rsid w:val="0034707F"/>
    <w:rsid w:val="00352327"/>
    <w:rsid w:val="00360705"/>
    <w:rsid w:val="0036391A"/>
    <w:rsid w:val="003650A9"/>
    <w:rsid w:val="003651BE"/>
    <w:rsid w:val="00367075"/>
    <w:rsid w:val="0038195A"/>
    <w:rsid w:val="003821EA"/>
    <w:rsid w:val="003848CB"/>
    <w:rsid w:val="00387297"/>
    <w:rsid w:val="00396D55"/>
    <w:rsid w:val="003A0F6B"/>
    <w:rsid w:val="003A563F"/>
    <w:rsid w:val="003B0443"/>
    <w:rsid w:val="003B066D"/>
    <w:rsid w:val="003B48E8"/>
    <w:rsid w:val="003B4FA1"/>
    <w:rsid w:val="003B60CC"/>
    <w:rsid w:val="003B6FA4"/>
    <w:rsid w:val="003C2C70"/>
    <w:rsid w:val="003C4450"/>
    <w:rsid w:val="003D2F6A"/>
    <w:rsid w:val="003D43C5"/>
    <w:rsid w:val="003D5008"/>
    <w:rsid w:val="003D7833"/>
    <w:rsid w:val="003E071D"/>
    <w:rsid w:val="003E3165"/>
    <w:rsid w:val="003E6655"/>
    <w:rsid w:val="003E72E3"/>
    <w:rsid w:val="003F0793"/>
    <w:rsid w:val="00400D93"/>
    <w:rsid w:val="00407062"/>
    <w:rsid w:val="00413A09"/>
    <w:rsid w:val="00413AB7"/>
    <w:rsid w:val="00416BE8"/>
    <w:rsid w:val="00421CD2"/>
    <w:rsid w:val="00427437"/>
    <w:rsid w:val="00431371"/>
    <w:rsid w:val="00432BE4"/>
    <w:rsid w:val="004428AE"/>
    <w:rsid w:val="004504E6"/>
    <w:rsid w:val="00454028"/>
    <w:rsid w:val="00460135"/>
    <w:rsid w:val="00462A54"/>
    <w:rsid w:val="00466833"/>
    <w:rsid w:val="00471AEE"/>
    <w:rsid w:val="00473886"/>
    <w:rsid w:val="00473D18"/>
    <w:rsid w:val="004753A7"/>
    <w:rsid w:val="004827FB"/>
    <w:rsid w:val="00483067"/>
    <w:rsid w:val="00490AF5"/>
    <w:rsid w:val="004A0AC5"/>
    <w:rsid w:val="004A27EF"/>
    <w:rsid w:val="004A61C7"/>
    <w:rsid w:val="004A6C9D"/>
    <w:rsid w:val="004A73F5"/>
    <w:rsid w:val="004B1691"/>
    <w:rsid w:val="004B5052"/>
    <w:rsid w:val="004B68DF"/>
    <w:rsid w:val="004B7240"/>
    <w:rsid w:val="004C0896"/>
    <w:rsid w:val="004C0F72"/>
    <w:rsid w:val="004C325A"/>
    <w:rsid w:val="004C47E4"/>
    <w:rsid w:val="004C72F3"/>
    <w:rsid w:val="004D2DCA"/>
    <w:rsid w:val="004D2FAD"/>
    <w:rsid w:val="004D4D93"/>
    <w:rsid w:val="004D6228"/>
    <w:rsid w:val="004E09B1"/>
    <w:rsid w:val="004F0A05"/>
    <w:rsid w:val="004F177A"/>
    <w:rsid w:val="004F32B9"/>
    <w:rsid w:val="004F6046"/>
    <w:rsid w:val="004F629F"/>
    <w:rsid w:val="004F7189"/>
    <w:rsid w:val="00505D7F"/>
    <w:rsid w:val="005067A8"/>
    <w:rsid w:val="00510B2E"/>
    <w:rsid w:val="00512192"/>
    <w:rsid w:val="00513744"/>
    <w:rsid w:val="00520D1C"/>
    <w:rsid w:val="0052109B"/>
    <w:rsid w:val="00523CE5"/>
    <w:rsid w:val="00524564"/>
    <w:rsid w:val="005254DC"/>
    <w:rsid w:val="005261DC"/>
    <w:rsid w:val="00532DE9"/>
    <w:rsid w:val="00536129"/>
    <w:rsid w:val="00541844"/>
    <w:rsid w:val="00543453"/>
    <w:rsid w:val="0055040D"/>
    <w:rsid w:val="005505B7"/>
    <w:rsid w:val="005529ED"/>
    <w:rsid w:val="00552AA9"/>
    <w:rsid w:val="00553353"/>
    <w:rsid w:val="00557A11"/>
    <w:rsid w:val="005614FF"/>
    <w:rsid w:val="005615E1"/>
    <w:rsid w:val="00563162"/>
    <w:rsid w:val="005635D8"/>
    <w:rsid w:val="00566F2D"/>
    <w:rsid w:val="00570ED8"/>
    <w:rsid w:val="00571047"/>
    <w:rsid w:val="00572334"/>
    <w:rsid w:val="00591483"/>
    <w:rsid w:val="0059456B"/>
    <w:rsid w:val="0059768A"/>
    <w:rsid w:val="00597724"/>
    <w:rsid w:val="005977AB"/>
    <w:rsid w:val="005A1192"/>
    <w:rsid w:val="005B099A"/>
    <w:rsid w:val="005B2317"/>
    <w:rsid w:val="005C0E84"/>
    <w:rsid w:val="005C1F30"/>
    <w:rsid w:val="005C3BD3"/>
    <w:rsid w:val="005C6938"/>
    <w:rsid w:val="005D1BF9"/>
    <w:rsid w:val="005D3812"/>
    <w:rsid w:val="005D38DF"/>
    <w:rsid w:val="005E1E4B"/>
    <w:rsid w:val="005E57E1"/>
    <w:rsid w:val="005E705D"/>
    <w:rsid w:val="005F042D"/>
    <w:rsid w:val="005F4E43"/>
    <w:rsid w:val="005F6EE6"/>
    <w:rsid w:val="005F746A"/>
    <w:rsid w:val="00600F9D"/>
    <w:rsid w:val="00601E3B"/>
    <w:rsid w:val="00604961"/>
    <w:rsid w:val="00616C6A"/>
    <w:rsid w:val="00617A26"/>
    <w:rsid w:val="00620AF5"/>
    <w:rsid w:val="00623028"/>
    <w:rsid w:val="00623AFB"/>
    <w:rsid w:val="00624A7F"/>
    <w:rsid w:val="0062716A"/>
    <w:rsid w:val="00627BA6"/>
    <w:rsid w:val="00631E87"/>
    <w:rsid w:val="00632322"/>
    <w:rsid w:val="00632FCD"/>
    <w:rsid w:val="0063472D"/>
    <w:rsid w:val="006425EB"/>
    <w:rsid w:val="00643B3B"/>
    <w:rsid w:val="006466B2"/>
    <w:rsid w:val="00660A1E"/>
    <w:rsid w:val="006628DC"/>
    <w:rsid w:val="006653E8"/>
    <w:rsid w:val="0067363F"/>
    <w:rsid w:val="0067398C"/>
    <w:rsid w:val="00673CC4"/>
    <w:rsid w:val="006769AF"/>
    <w:rsid w:val="00680246"/>
    <w:rsid w:val="00690652"/>
    <w:rsid w:val="0069367B"/>
    <w:rsid w:val="00693BBF"/>
    <w:rsid w:val="006958AC"/>
    <w:rsid w:val="006A4339"/>
    <w:rsid w:val="006A6DF2"/>
    <w:rsid w:val="006B07FA"/>
    <w:rsid w:val="006B1210"/>
    <w:rsid w:val="006B461C"/>
    <w:rsid w:val="006C0877"/>
    <w:rsid w:val="006D036F"/>
    <w:rsid w:val="006D0DDF"/>
    <w:rsid w:val="006D21A9"/>
    <w:rsid w:val="006D439C"/>
    <w:rsid w:val="006D5585"/>
    <w:rsid w:val="006E013C"/>
    <w:rsid w:val="006E3C24"/>
    <w:rsid w:val="006E4B19"/>
    <w:rsid w:val="006F46BD"/>
    <w:rsid w:val="006F5192"/>
    <w:rsid w:val="006F64DF"/>
    <w:rsid w:val="006F6C63"/>
    <w:rsid w:val="00701164"/>
    <w:rsid w:val="00703C63"/>
    <w:rsid w:val="00713C5F"/>
    <w:rsid w:val="00721955"/>
    <w:rsid w:val="007264DF"/>
    <w:rsid w:val="007309B3"/>
    <w:rsid w:val="007349F5"/>
    <w:rsid w:val="00734FDC"/>
    <w:rsid w:val="007411C3"/>
    <w:rsid w:val="00741A8D"/>
    <w:rsid w:val="00747308"/>
    <w:rsid w:val="00752050"/>
    <w:rsid w:val="00752F22"/>
    <w:rsid w:val="00754062"/>
    <w:rsid w:val="007543D5"/>
    <w:rsid w:val="00761CC8"/>
    <w:rsid w:val="00765E92"/>
    <w:rsid w:val="00765F42"/>
    <w:rsid w:val="00767F2C"/>
    <w:rsid w:val="007736D1"/>
    <w:rsid w:val="00774828"/>
    <w:rsid w:val="007765C0"/>
    <w:rsid w:val="007825BC"/>
    <w:rsid w:val="00782C34"/>
    <w:rsid w:val="007830E7"/>
    <w:rsid w:val="007839EA"/>
    <w:rsid w:val="00784968"/>
    <w:rsid w:val="00790D77"/>
    <w:rsid w:val="00791A91"/>
    <w:rsid w:val="00792850"/>
    <w:rsid w:val="00796B51"/>
    <w:rsid w:val="007A311B"/>
    <w:rsid w:val="007A385A"/>
    <w:rsid w:val="007A42D2"/>
    <w:rsid w:val="007A7361"/>
    <w:rsid w:val="007B3A76"/>
    <w:rsid w:val="007B3E05"/>
    <w:rsid w:val="007B494D"/>
    <w:rsid w:val="007B5866"/>
    <w:rsid w:val="007B74F0"/>
    <w:rsid w:val="007B7CDE"/>
    <w:rsid w:val="007B7F48"/>
    <w:rsid w:val="007B7F6A"/>
    <w:rsid w:val="007D15B9"/>
    <w:rsid w:val="007D3A24"/>
    <w:rsid w:val="007D4E77"/>
    <w:rsid w:val="007D679F"/>
    <w:rsid w:val="007D6D37"/>
    <w:rsid w:val="007D78A8"/>
    <w:rsid w:val="007E60D7"/>
    <w:rsid w:val="007E76C4"/>
    <w:rsid w:val="007E7D70"/>
    <w:rsid w:val="007F11CE"/>
    <w:rsid w:val="007F2EC2"/>
    <w:rsid w:val="007F3359"/>
    <w:rsid w:val="007F5E85"/>
    <w:rsid w:val="007F621C"/>
    <w:rsid w:val="00800BC0"/>
    <w:rsid w:val="00800DD1"/>
    <w:rsid w:val="0081294C"/>
    <w:rsid w:val="00813D25"/>
    <w:rsid w:val="00816160"/>
    <w:rsid w:val="00817708"/>
    <w:rsid w:val="00821D24"/>
    <w:rsid w:val="00823A71"/>
    <w:rsid w:val="00823D7C"/>
    <w:rsid w:val="00825243"/>
    <w:rsid w:val="008320AF"/>
    <w:rsid w:val="0083579E"/>
    <w:rsid w:val="0084250A"/>
    <w:rsid w:val="00842528"/>
    <w:rsid w:val="00842BD6"/>
    <w:rsid w:val="00843F15"/>
    <w:rsid w:val="00852F62"/>
    <w:rsid w:val="008532A2"/>
    <w:rsid w:val="00855F42"/>
    <w:rsid w:val="008605C0"/>
    <w:rsid w:val="00864D2A"/>
    <w:rsid w:val="00866155"/>
    <w:rsid w:val="008676F3"/>
    <w:rsid w:val="0087217F"/>
    <w:rsid w:val="0087749A"/>
    <w:rsid w:val="008825EE"/>
    <w:rsid w:val="00884382"/>
    <w:rsid w:val="0088688A"/>
    <w:rsid w:val="00894A66"/>
    <w:rsid w:val="00894BD5"/>
    <w:rsid w:val="00895784"/>
    <w:rsid w:val="00895ADD"/>
    <w:rsid w:val="008A046A"/>
    <w:rsid w:val="008A1378"/>
    <w:rsid w:val="008A14C2"/>
    <w:rsid w:val="008A5B0B"/>
    <w:rsid w:val="008B02FC"/>
    <w:rsid w:val="008B7610"/>
    <w:rsid w:val="008C11EC"/>
    <w:rsid w:val="008C6FFF"/>
    <w:rsid w:val="008C7A78"/>
    <w:rsid w:val="008D1250"/>
    <w:rsid w:val="008D38F2"/>
    <w:rsid w:val="008D44B0"/>
    <w:rsid w:val="008D5A25"/>
    <w:rsid w:val="008E0128"/>
    <w:rsid w:val="008E1882"/>
    <w:rsid w:val="008E452E"/>
    <w:rsid w:val="008E5089"/>
    <w:rsid w:val="008F209C"/>
    <w:rsid w:val="008F2310"/>
    <w:rsid w:val="008F5B61"/>
    <w:rsid w:val="008F76FF"/>
    <w:rsid w:val="00902D9B"/>
    <w:rsid w:val="00906CC5"/>
    <w:rsid w:val="00907C34"/>
    <w:rsid w:val="00920592"/>
    <w:rsid w:val="00923C95"/>
    <w:rsid w:val="00925E12"/>
    <w:rsid w:val="00930C84"/>
    <w:rsid w:val="00931031"/>
    <w:rsid w:val="009337FF"/>
    <w:rsid w:val="009350A3"/>
    <w:rsid w:val="00937A35"/>
    <w:rsid w:val="00943D76"/>
    <w:rsid w:val="009470C6"/>
    <w:rsid w:val="00951D6F"/>
    <w:rsid w:val="00954856"/>
    <w:rsid w:val="00957DB1"/>
    <w:rsid w:val="009605AD"/>
    <w:rsid w:val="00961C7F"/>
    <w:rsid w:val="00962FD0"/>
    <w:rsid w:val="00967C0F"/>
    <w:rsid w:val="009752F0"/>
    <w:rsid w:val="00975FA2"/>
    <w:rsid w:val="009760C7"/>
    <w:rsid w:val="0098218A"/>
    <w:rsid w:val="009859A6"/>
    <w:rsid w:val="00986FD4"/>
    <w:rsid w:val="00987A6C"/>
    <w:rsid w:val="0099096E"/>
    <w:rsid w:val="009937D5"/>
    <w:rsid w:val="009A3876"/>
    <w:rsid w:val="009A6F5F"/>
    <w:rsid w:val="009A70F2"/>
    <w:rsid w:val="009B0995"/>
    <w:rsid w:val="009B1259"/>
    <w:rsid w:val="009B51CF"/>
    <w:rsid w:val="009B6453"/>
    <w:rsid w:val="009C126C"/>
    <w:rsid w:val="009C19CF"/>
    <w:rsid w:val="009C749D"/>
    <w:rsid w:val="009D1BCA"/>
    <w:rsid w:val="009D4FC3"/>
    <w:rsid w:val="009D52A6"/>
    <w:rsid w:val="009D6FD7"/>
    <w:rsid w:val="009E6147"/>
    <w:rsid w:val="009E6220"/>
    <w:rsid w:val="009E7061"/>
    <w:rsid w:val="009E7854"/>
    <w:rsid w:val="009F2293"/>
    <w:rsid w:val="009F5974"/>
    <w:rsid w:val="00A041C6"/>
    <w:rsid w:val="00A0582A"/>
    <w:rsid w:val="00A061AD"/>
    <w:rsid w:val="00A07F9E"/>
    <w:rsid w:val="00A11593"/>
    <w:rsid w:val="00A144F8"/>
    <w:rsid w:val="00A22F62"/>
    <w:rsid w:val="00A23466"/>
    <w:rsid w:val="00A259B3"/>
    <w:rsid w:val="00A278BB"/>
    <w:rsid w:val="00A3562B"/>
    <w:rsid w:val="00A41799"/>
    <w:rsid w:val="00A42AD0"/>
    <w:rsid w:val="00A43F9E"/>
    <w:rsid w:val="00A444A5"/>
    <w:rsid w:val="00A51925"/>
    <w:rsid w:val="00A51DC1"/>
    <w:rsid w:val="00A527EC"/>
    <w:rsid w:val="00A548E2"/>
    <w:rsid w:val="00A54C06"/>
    <w:rsid w:val="00A54D8C"/>
    <w:rsid w:val="00A55267"/>
    <w:rsid w:val="00A617C0"/>
    <w:rsid w:val="00A62483"/>
    <w:rsid w:val="00A63B1D"/>
    <w:rsid w:val="00A63E5F"/>
    <w:rsid w:val="00A65714"/>
    <w:rsid w:val="00A71F18"/>
    <w:rsid w:val="00A730CA"/>
    <w:rsid w:val="00A73F22"/>
    <w:rsid w:val="00A74CC4"/>
    <w:rsid w:val="00A838E1"/>
    <w:rsid w:val="00A939FD"/>
    <w:rsid w:val="00A94194"/>
    <w:rsid w:val="00A96ABD"/>
    <w:rsid w:val="00AA20C3"/>
    <w:rsid w:val="00AA3799"/>
    <w:rsid w:val="00AB7799"/>
    <w:rsid w:val="00AC0204"/>
    <w:rsid w:val="00AC4419"/>
    <w:rsid w:val="00AD2DE0"/>
    <w:rsid w:val="00AE31B5"/>
    <w:rsid w:val="00AE34D4"/>
    <w:rsid w:val="00AE3C69"/>
    <w:rsid w:val="00AE4804"/>
    <w:rsid w:val="00AE4819"/>
    <w:rsid w:val="00AE721A"/>
    <w:rsid w:val="00AF0742"/>
    <w:rsid w:val="00AF3143"/>
    <w:rsid w:val="00AF7E34"/>
    <w:rsid w:val="00B01832"/>
    <w:rsid w:val="00B06732"/>
    <w:rsid w:val="00B068E6"/>
    <w:rsid w:val="00B1377B"/>
    <w:rsid w:val="00B144A5"/>
    <w:rsid w:val="00B22DAB"/>
    <w:rsid w:val="00B305E9"/>
    <w:rsid w:val="00B316A8"/>
    <w:rsid w:val="00B33A7C"/>
    <w:rsid w:val="00B34D6E"/>
    <w:rsid w:val="00B35B2F"/>
    <w:rsid w:val="00B365FE"/>
    <w:rsid w:val="00B3694B"/>
    <w:rsid w:val="00B469F9"/>
    <w:rsid w:val="00B50934"/>
    <w:rsid w:val="00B518E7"/>
    <w:rsid w:val="00B52EFA"/>
    <w:rsid w:val="00B601F6"/>
    <w:rsid w:val="00B62878"/>
    <w:rsid w:val="00B643EA"/>
    <w:rsid w:val="00B64948"/>
    <w:rsid w:val="00B66BC3"/>
    <w:rsid w:val="00B73D94"/>
    <w:rsid w:val="00B75816"/>
    <w:rsid w:val="00B77CE2"/>
    <w:rsid w:val="00B84517"/>
    <w:rsid w:val="00B847B6"/>
    <w:rsid w:val="00B858A1"/>
    <w:rsid w:val="00B87A1B"/>
    <w:rsid w:val="00B91692"/>
    <w:rsid w:val="00B91F2C"/>
    <w:rsid w:val="00B960AC"/>
    <w:rsid w:val="00B96523"/>
    <w:rsid w:val="00B96A2C"/>
    <w:rsid w:val="00B97DA1"/>
    <w:rsid w:val="00BA0815"/>
    <w:rsid w:val="00BA1B65"/>
    <w:rsid w:val="00BA1EB3"/>
    <w:rsid w:val="00BA382D"/>
    <w:rsid w:val="00BA60F2"/>
    <w:rsid w:val="00BA7A51"/>
    <w:rsid w:val="00BB52EC"/>
    <w:rsid w:val="00BC1F7D"/>
    <w:rsid w:val="00BC335E"/>
    <w:rsid w:val="00BC6647"/>
    <w:rsid w:val="00BD0366"/>
    <w:rsid w:val="00BD2A5C"/>
    <w:rsid w:val="00BD6527"/>
    <w:rsid w:val="00BD6BB1"/>
    <w:rsid w:val="00BD7C5F"/>
    <w:rsid w:val="00BE295E"/>
    <w:rsid w:val="00BF080E"/>
    <w:rsid w:val="00BF1CBD"/>
    <w:rsid w:val="00BF6710"/>
    <w:rsid w:val="00BF7922"/>
    <w:rsid w:val="00C0605B"/>
    <w:rsid w:val="00C101C2"/>
    <w:rsid w:val="00C15A61"/>
    <w:rsid w:val="00C1775D"/>
    <w:rsid w:val="00C209AB"/>
    <w:rsid w:val="00C22B96"/>
    <w:rsid w:val="00C246AE"/>
    <w:rsid w:val="00C25407"/>
    <w:rsid w:val="00C2657C"/>
    <w:rsid w:val="00C311CB"/>
    <w:rsid w:val="00C321A0"/>
    <w:rsid w:val="00C351EC"/>
    <w:rsid w:val="00C35B5B"/>
    <w:rsid w:val="00C35B89"/>
    <w:rsid w:val="00C35C0F"/>
    <w:rsid w:val="00C35D58"/>
    <w:rsid w:val="00C36C48"/>
    <w:rsid w:val="00C36F66"/>
    <w:rsid w:val="00C41E08"/>
    <w:rsid w:val="00C4317E"/>
    <w:rsid w:val="00C434BF"/>
    <w:rsid w:val="00C45553"/>
    <w:rsid w:val="00C4754D"/>
    <w:rsid w:val="00C503D1"/>
    <w:rsid w:val="00C51670"/>
    <w:rsid w:val="00C53325"/>
    <w:rsid w:val="00C551CE"/>
    <w:rsid w:val="00C617DE"/>
    <w:rsid w:val="00C61F09"/>
    <w:rsid w:val="00C63291"/>
    <w:rsid w:val="00C65B19"/>
    <w:rsid w:val="00C701FC"/>
    <w:rsid w:val="00C7077E"/>
    <w:rsid w:val="00C73B03"/>
    <w:rsid w:val="00C74BDB"/>
    <w:rsid w:val="00C76B95"/>
    <w:rsid w:val="00C7706B"/>
    <w:rsid w:val="00C772E3"/>
    <w:rsid w:val="00C807E2"/>
    <w:rsid w:val="00C81575"/>
    <w:rsid w:val="00C83AA9"/>
    <w:rsid w:val="00C86318"/>
    <w:rsid w:val="00C9065C"/>
    <w:rsid w:val="00C94C26"/>
    <w:rsid w:val="00C95EFA"/>
    <w:rsid w:val="00C96211"/>
    <w:rsid w:val="00C96E29"/>
    <w:rsid w:val="00CA04B2"/>
    <w:rsid w:val="00CA083B"/>
    <w:rsid w:val="00CA6E9A"/>
    <w:rsid w:val="00CB77FD"/>
    <w:rsid w:val="00CC3A3A"/>
    <w:rsid w:val="00CC76E9"/>
    <w:rsid w:val="00CD1D25"/>
    <w:rsid w:val="00CD1F04"/>
    <w:rsid w:val="00CD23EE"/>
    <w:rsid w:val="00CD410D"/>
    <w:rsid w:val="00CD4F03"/>
    <w:rsid w:val="00CD5011"/>
    <w:rsid w:val="00CD64A2"/>
    <w:rsid w:val="00CE0BF8"/>
    <w:rsid w:val="00CE4393"/>
    <w:rsid w:val="00CE4DD5"/>
    <w:rsid w:val="00CE5D9F"/>
    <w:rsid w:val="00D01657"/>
    <w:rsid w:val="00D0228F"/>
    <w:rsid w:val="00D11161"/>
    <w:rsid w:val="00D11380"/>
    <w:rsid w:val="00D11734"/>
    <w:rsid w:val="00D1254E"/>
    <w:rsid w:val="00D141B2"/>
    <w:rsid w:val="00D1493C"/>
    <w:rsid w:val="00D16012"/>
    <w:rsid w:val="00D20640"/>
    <w:rsid w:val="00D274EB"/>
    <w:rsid w:val="00D309B7"/>
    <w:rsid w:val="00D339DD"/>
    <w:rsid w:val="00D343BC"/>
    <w:rsid w:val="00D3444A"/>
    <w:rsid w:val="00D354F7"/>
    <w:rsid w:val="00D40507"/>
    <w:rsid w:val="00D41752"/>
    <w:rsid w:val="00D42AD6"/>
    <w:rsid w:val="00D441BE"/>
    <w:rsid w:val="00D450A0"/>
    <w:rsid w:val="00D468A0"/>
    <w:rsid w:val="00D507B6"/>
    <w:rsid w:val="00D51DF5"/>
    <w:rsid w:val="00D562BA"/>
    <w:rsid w:val="00D601D4"/>
    <w:rsid w:val="00D609BF"/>
    <w:rsid w:val="00D62B69"/>
    <w:rsid w:val="00D75A66"/>
    <w:rsid w:val="00D75EEB"/>
    <w:rsid w:val="00D77705"/>
    <w:rsid w:val="00D84233"/>
    <w:rsid w:val="00D93933"/>
    <w:rsid w:val="00D93DEF"/>
    <w:rsid w:val="00D96DE4"/>
    <w:rsid w:val="00D97927"/>
    <w:rsid w:val="00DA06A3"/>
    <w:rsid w:val="00DA1355"/>
    <w:rsid w:val="00DA47A8"/>
    <w:rsid w:val="00DA68DF"/>
    <w:rsid w:val="00DA76AC"/>
    <w:rsid w:val="00DA7862"/>
    <w:rsid w:val="00DB56E1"/>
    <w:rsid w:val="00DB78C7"/>
    <w:rsid w:val="00DC5BE0"/>
    <w:rsid w:val="00DC5CFF"/>
    <w:rsid w:val="00DD06DB"/>
    <w:rsid w:val="00DD17B1"/>
    <w:rsid w:val="00DD427A"/>
    <w:rsid w:val="00DD5C34"/>
    <w:rsid w:val="00DD665F"/>
    <w:rsid w:val="00DE12C1"/>
    <w:rsid w:val="00DE135E"/>
    <w:rsid w:val="00DE18AF"/>
    <w:rsid w:val="00DE2DAA"/>
    <w:rsid w:val="00DE319E"/>
    <w:rsid w:val="00DE4055"/>
    <w:rsid w:val="00DE4093"/>
    <w:rsid w:val="00DE558B"/>
    <w:rsid w:val="00DE625E"/>
    <w:rsid w:val="00DF1081"/>
    <w:rsid w:val="00DF1D25"/>
    <w:rsid w:val="00E0273A"/>
    <w:rsid w:val="00E07812"/>
    <w:rsid w:val="00E12B26"/>
    <w:rsid w:val="00E14A71"/>
    <w:rsid w:val="00E27A30"/>
    <w:rsid w:val="00E316F7"/>
    <w:rsid w:val="00E31BA7"/>
    <w:rsid w:val="00E3254C"/>
    <w:rsid w:val="00E32BCC"/>
    <w:rsid w:val="00E353BF"/>
    <w:rsid w:val="00E41BBF"/>
    <w:rsid w:val="00E42334"/>
    <w:rsid w:val="00E540B3"/>
    <w:rsid w:val="00E545F4"/>
    <w:rsid w:val="00E60B15"/>
    <w:rsid w:val="00E61FE9"/>
    <w:rsid w:val="00E642D6"/>
    <w:rsid w:val="00E6645F"/>
    <w:rsid w:val="00E738C4"/>
    <w:rsid w:val="00E763BE"/>
    <w:rsid w:val="00E80430"/>
    <w:rsid w:val="00E8154F"/>
    <w:rsid w:val="00E847B0"/>
    <w:rsid w:val="00E90EBF"/>
    <w:rsid w:val="00E96F90"/>
    <w:rsid w:val="00EA00FF"/>
    <w:rsid w:val="00EA3A0F"/>
    <w:rsid w:val="00EA3AF8"/>
    <w:rsid w:val="00EA3E19"/>
    <w:rsid w:val="00EA53AD"/>
    <w:rsid w:val="00EA721A"/>
    <w:rsid w:val="00EA783E"/>
    <w:rsid w:val="00EB1D46"/>
    <w:rsid w:val="00EC14BC"/>
    <w:rsid w:val="00EC20CD"/>
    <w:rsid w:val="00ED009D"/>
    <w:rsid w:val="00ED2118"/>
    <w:rsid w:val="00ED46C9"/>
    <w:rsid w:val="00ED5965"/>
    <w:rsid w:val="00ED69B8"/>
    <w:rsid w:val="00EE3A36"/>
    <w:rsid w:val="00EE7705"/>
    <w:rsid w:val="00EF19C0"/>
    <w:rsid w:val="00EF443F"/>
    <w:rsid w:val="00EF4573"/>
    <w:rsid w:val="00EF5770"/>
    <w:rsid w:val="00F00AEA"/>
    <w:rsid w:val="00F025AF"/>
    <w:rsid w:val="00F03FB1"/>
    <w:rsid w:val="00F05594"/>
    <w:rsid w:val="00F10AA1"/>
    <w:rsid w:val="00F124B2"/>
    <w:rsid w:val="00F14BFB"/>
    <w:rsid w:val="00F14E7C"/>
    <w:rsid w:val="00F25281"/>
    <w:rsid w:val="00F254FF"/>
    <w:rsid w:val="00F276FB"/>
    <w:rsid w:val="00F278D7"/>
    <w:rsid w:val="00F27904"/>
    <w:rsid w:val="00F32CB3"/>
    <w:rsid w:val="00F54F8C"/>
    <w:rsid w:val="00F56BC6"/>
    <w:rsid w:val="00F607AB"/>
    <w:rsid w:val="00F624F3"/>
    <w:rsid w:val="00F70E62"/>
    <w:rsid w:val="00F71FD4"/>
    <w:rsid w:val="00F720FD"/>
    <w:rsid w:val="00F81068"/>
    <w:rsid w:val="00F840BE"/>
    <w:rsid w:val="00F84DF0"/>
    <w:rsid w:val="00FA356B"/>
    <w:rsid w:val="00FA5762"/>
    <w:rsid w:val="00FA7BB0"/>
    <w:rsid w:val="00FB0314"/>
    <w:rsid w:val="00FB18E7"/>
    <w:rsid w:val="00FC3B0B"/>
    <w:rsid w:val="00FC4B96"/>
    <w:rsid w:val="00FD1994"/>
    <w:rsid w:val="00FD4F2F"/>
    <w:rsid w:val="00FE19AF"/>
    <w:rsid w:val="00FE2CBA"/>
    <w:rsid w:val="00FF54CC"/>
    <w:rsid w:val="00FF77BF"/>
    <w:rsid w:val="11130961"/>
    <w:rsid w:val="240C628F"/>
    <w:rsid w:val="75B53B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paragraph" w:styleId="Heading1">
    <w:name w:val="heading 1"/>
    <w:basedOn w:val="Normal"/>
    <w:next w:val="Normal"/>
    <w:link w:val="Heading1Char"/>
    <w:uiPriority w:val="9"/>
    <w:qFormat/>
    <w:rsid w:val="00557A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3054C1"/>
    <w:pPr>
      <w:spacing w:after="0"/>
    </w:pPr>
  </w:style>
  <w:style w:type="paragraph" w:styleId="Header">
    <w:name w:val="header"/>
    <w:basedOn w:val="Normal"/>
    <w:link w:val="HeaderChar"/>
    <w:uiPriority w:val="99"/>
    <w:unhideWhenUsed/>
    <w:rsid w:val="00823D7C"/>
    <w:pPr>
      <w:tabs>
        <w:tab w:val="center" w:pos="4513"/>
        <w:tab w:val="right" w:pos="9026"/>
      </w:tabs>
      <w:spacing w:after="0"/>
    </w:pPr>
  </w:style>
  <w:style w:type="character" w:customStyle="1" w:styleId="HeaderChar">
    <w:name w:val="Header Char"/>
    <w:basedOn w:val="DefaultParagraphFont"/>
    <w:link w:val="Header"/>
    <w:uiPriority w:val="99"/>
    <w:rsid w:val="00823D7C"/>
  </w:style>
  <w:style w:type="paragraph" w:styleId="Footer">
    <w:name w:val="footer"/>
    <w:basedOn w:val="Normal"/>
    <w:link w:val="FooterChar"/>
    <w:uiPriority w:val="99"/>
    <w:unhideWhenUsed/>
    <w:rsid w:val="00823D7C"/>
    <w:pPr>
      <w:tabs>
        <w:tab w:val="center" w:pos="4513"/>
        <w:tab w:val="right" w:pos="9026"/>
      </w:tabs>
      <w:spacing w:after="0"/>
    </w:pPr>
  </w:style>
  <w:style w:type="character" w:customStyle="1" w:styleId="FooterChar">
    <w:name w:val="Footer Char"/>
    <w:basedOn w:val="DefaultParagraphFont"/>
    <w:link w:val="Footer"/>
    <w:uiPriority w:val="99"/>
    <w:rsid w:val="00823D7C"/>
  </w:style>
  <w:style w:type="paragraph" w:styleId="FootnoteText">
    <w:name w:val="footnote text"/>
    <w:basedOn w:val="Normal"/>
    <w:link w:val="FootnoteTextChar"/>
    <w:uiPriority w:val="99"/>
    <w:semiHidden/>
    <w:unhideWhenUsed/>
    <w:rsid w:val="009B6453"/>
    <w:pPr>
      <w:spacing w:after="0"/>
    </w:pPr>
    <w:rPr>
      <w:sz w:val="20"/>
      <w:szCs w:val="20"/>
    </w:rPr>
  </w:style>
  <w:style w:type="character" w:customStyle="1" w:styleId="FootnoteTextChar">
    <w:name w:val="Footnote Text Char"/>
    <w:basedOn w:val="DefaultParagraphFont"/>
    <w:link w:val="FootnoteText"/>
    <w:uiPriority w:val="99"/>
    <w:semiHidden/>
    <w:rsid w:val="009B6453"/>
    <w:rPr>
      <w:sz w:val="20"/>
      <w:szCs w:val="20"/>
    </w:rPr>
  </w:style>
  <w:style w:type="character" w:styleId="FootnoteReference">
    <w:name w:val="footnote reference"/>
    <w:basedOn w:val="DefaultParagraphFont"/>
    <w:uiPriority w:val="99"/>
    <w:semiHidden/>
    <w:unhideWhenUsed/>
    <w:rsid w:val="009B6453"/>
    <w:rPr>
      <w:vertAlign w:val="superscript"/>
    </w:rPr>
  </w:style>
  <w:style w:type="character" w:styleId="UnresolvedMention">
    <w:name w:val="Unresolved Mention"/>
    <w:basedOn w:val="DefaultParagraphFont"/>
    <w:uiPriority w:val="99"/>
    <w:semiHidden/>
    <w:unhideWhenUsed/>
    <w:rsid w:val="009B6453"/>
    <w:rPr>
      <w:color w:val="605E5C"/>
      <w:shd w:val="clear" w:color="auto" w:fill="E1DFDD"/>
    </w:rPr>
  </w:style>
  <w:style w:type="paragraph" w:styleId="Revision">
    <w:name w:val="Revision"/>
    <w:hidden/>
    <w:uiPriority w:val="99"/>
    <w:semiHidden/>
    <w:rsid w:val="00AD2DE0"/>
    <w:pPr>
      <w:spacing w:after="0"/>
    </w:pPr>
  </w:style>
  <w:style w:type="character" w:customStyle="1" w:styleId="Heading1Char">
    <w:name w:val="Heading 1 Char"/>
    <w:basedOn w:val="DefaultParagraphFont"/>
    <w:link w:val="Heading1"/>
    <w:uiPriority w:val="9"/>
    <w:rsid w:val="00557A1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458376169">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550963023">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725567619">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24220660">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2065714964">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publications/2025-rule-law-report-communication-and-country-chapter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1190</ap:Words>
  <ap:Characters>6545</ap:Characters>
  <ap:DocSecurity>0</ap:DocSecurity>
  <ap:Lines>54</ap:Lines>
  <ap:Paragraphs>15</ap:Paragraphs>
  <ap:ScaleCrop>false</ap:ScaleCrop>
  <ap:LinksUpToDate>false</ap:LinksUpToDate>
  <ap:CharactersWithSpaces>7720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2015-06-26T08:09:00.0000000Z</lastPrinted>
  <dcterms:created xsi:type="dcterms:W3CDTF">2026-01-30T11:25:00.0000000Z</dcterms:created>
  <dcterms:modified xsi:type="dcterms:W3CDTF">2026-01-30T11:25:00.0000000Z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_dlc_DocIdItemGuid">
    <vt:lpwstr>ac9c8ea6-9490-4a88-8944-e48f721a404c</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9;#The Netherlands|7f69a7bb-478c-499d-a6cf-5869916dfee4</vt:lpwstr>
  </property>
  <property fmtid="{D5CDD505-2E9C-101B-9397-08002B2CF9AE}" pid="9" name="BZ_Classification">
    <vt:lpwstr>14;#UNCLASSIFIED|d92c6340-bc14-4cb2-a9a6-6deda93c493b</vt:lpwstr>
  </property>
  <property fmtid="{D5CDD505-2E9C-101B-9397-08002B2CF9AE}" pid="10" name="BZ_Forum">
    <vt:lpwstr>8;#EU|4d8f9873-61b3-4ee5-b6f7-0bb00c6df5e8</vt:lpwstr>
  </property>
  <property fmtid="{D5CDD505-2E9C-101B-9397-08002B2CF9AE}" pid="11" name="BZ_Theme">
    <vt:lpwstr>11;#Organization|d3f777fe-abca-43dd-b11c-a7496ad32ea5;#7;#Visits (logistic)|53e8069b-a40e-4a89-b4f3-9b7112716272</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DocumentSetDescription">
    <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URL">
    <vt:lpwstr>https://247.plaza.buzaservices.nl/subject/PV-RK2026012026/BZ2624564/Verslag%20RAZ.docx, </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a45510494d1a450e9cee6905c7ad8168">
    <vt:lpwstr>The Netherlands|7f69a7bb-478c-499d-a6cf-5869916dfee4</vt:lpwstr>
  </property>
  <property fmtid="{D5CDD505-2E9C-101B-9397-08002B2CF9AE}" pid="21" name="ge4bd621e46a403e97baf402a410deb5">
    <vt:lpwstr>EU|4d8f9873-61b3-4ee5-b6f7-0bb00c6df5e8</vt:lpwstr>
  </property>
  <property fmtid="{D5CDD505-2E9C-101B-9397-08002B2CF9AE}" pid="22" name="gc2efd3bfea04f7f8169be07009f5536">
    <vt:lpwstr/>
  </property>
  <property fmtid="{D5CDD505-2E9C-101B-9397-08002B2CF9AE}" pid="23" name="BZDossierPublishingHistory">
    <vt:lpwstr/>
  </property>
  <property fmtid="{D5CDD505-2E9C-101B-9397-08002B2CF9AE}" pid="24" name="BZDossierApprovalHistory">
    <vt:lpwstr/>
  </property>
  <property fmtid="{D5CDD505-2E9C-101B-9397-08002B2CF9AE}" pid="25" name="BZDossierContributors">
    <vt:lpwstr/>
  </property>
  <property fmtid="{D5CDD505-2E9C-101B-9397-08002B2CF9AE}" pid="26" name="BZDossierProcessLocation">
    <vt:lpwstr/>
  </property>
  <property fmtid="{D5CDD505-2E9C-101B-9397-08002B2CF9AE}" pid="27" name="BZDossierPublishingWOOCategory">
    <vt:lpwstr/>
  </property>
  <property fmtid="{D5CDD505-2E9C-101B-9397-08002B2CF9AE}" pid="28" name="i42ef48d5fa942a0ad0d60e44f201751">
    <vt:lpwstr/>
  </property>
  <property fmtid="{D5CDD505-2E9C-101B-9397-08002B2CF9AE}" pid="29" name="f2fb2a8e39404f1ab554e4e4a49d2918">
    <vt:lpwstr/>
  </property>
  <property fmtid="{D5CDD505-2E9C-101B-9397-08002B2CF9AE}" pid="30" name="BZDossierDescription">
    <vt:lpwstr/>
  </property>
  <property fmtid="{D5CDD505-2E9C-101B-9397-08002B2CF9AE}" pid="31" name="BZDossierReaders">
    <vt:lpwstr/>
  </property>
  <property fmtid="{D5CDD505-2E9C-101B-9397-08002B2CF9AE}" pid="32" name="p29721a54a5c4bbe9786e930fc91e270">
    <vt:lpwstr/>
  </property>
  <property fmtid="{D5CDD505-2E9C-101B-9397-08002B2CF9AE}" pid="33" name="BZDossierTranslationHistory">
    <vt:lpwstr/>
  </property>
  <property fmtid="{D5CDD505-2E9C-101B-9397-08002B2CF9AE}" pid="34" name="BZDossierReference">
    <vt:lpwstr/>
  </property>
  <property fmtid="{D5CDD505-2E9C-101B-9397-08002B2CF9AE}" pid="35" name="BZDossierAuditLog">
    <vt:lpwstr/>
  </property>
  <property fmtid="{D5CDD505-2E9C-101B-9397-08002B2CF9AE}" pid="36" name="BZDossierTitle">
    <vt:lpwstr/>
  </property>
  <property fmtid="{D5CDD505-2E9C-101B-9397-08002B2CF9AE}" pid="37" name="ed9282a3f18446ec8c17c7829edf82dd">
    <vt:lpwstr/>
  </property>
  <property fmtid="{D5CDD505-2E9C-101B-9397-08002B2CF9AE}" pid="38" name="e256f556a7b748329ab47889947c7d40">
    <vt:lpwstr/>
  </property>
  <property fmtid="{D5CDD505-2E9C-101B-9397-08002B2CF9AE}" pid="39" name="BZDossierProcessType">
    <vt:lpwstr/>
  </property>
  <property fmtid="{D5CDD505-2E9C-101B-9397-08002B2CF9AE}" pid="40" name="BZDossierSendingHistory">
    <vt:lpwstr/>
  </property>
  <property fmtid="{D5CDD505-2E9C-101B-9397-08002B2CF9AE}" pid="41" name="BZDossierBudgetManager">
    <vt:lpwstr/>
  </property>
  <property fmtid="{D5CDD505-2E9C-101B-9397-08002B2CF9AE}" pid="42" name="BZDossierAlignmentHistory">
    <vt:lpwstr/>
  </property>
  <property fmtid="{D5CDD505-2E9C-101B-9397-08002B2CF9AE}" pid="43" name="BZDossierSendTo">
    <vt:lpwstr/>
  </property>
  <property fmtid="{D5CDD505-2E9C-101B-9397-08002B2CF9AE}" pid="44" name="BZDossierRedacting">
    <vt:lpwstr/>
  </property>
  <property fmtid="{D5CDD505-2E9C-101B-9397-08002B2CF9AE}" pid="45" name="BZDossierRedactingHistory">
    <vt:lpwstr/>
  </property>
  <property fmtid="{D5CDD505-2E9C-101B-9397-08002B2CF9AE}" pid="46" name="BZDossierApprovalPolitical">
    <vt:lpwstr/>
  </property>
  <property fmtid="{D5CDD505-2E9C-101B-9397-08002B2CF9AE}" pid="47" name="BZDossierPrincipalsInvolved">
    <vt:lpwstr/>
  </property>
  <property fmtid="{D5CDD505-2E9C-101B-9397-08002B2CF9AE}" pid="48" name="BZDossierApproval">
    <vt:lpwstr/>
  </property>
  <property fmtid="{D5CDD505-2E9C-101B-9397-08002B2CF9AE}" pid="49" name="BZDossierAlignment">
    <vt:lpwstr/>
  </property>
  <property fmtid="{D5CDD505-2E9C-101B-9397-08002B2CF9AE}" pid="50" name="BZDossierSending">
    <vt:lpwstr/>
  </property>
  <property fmtid="{D5CDD505-2E9C-101B-9397-08002B2CF9AE}" pid="51" name="BZDossierResponsibleDepartment">
    <vt:lpwstr/>
  </property>
  <property fmtid="{D5CDD505-2E9C-101B-9397-08002B2CF9AE}" pid="52" name="BZDossierResponsibleGroup">
    <vt:lpwstr/>
  </property>
  <property fmtid="{D5CDD505-2E9C-101B-9397-08002B2CF9AE}" pid="53" name="BZDossierApprovalPoliticalHistory">
    <vt:lpwstr/>
  </property>
  <property fmtid="{D5CDD505-2E9C-101B-9397-08002B2CF9AE}" pid="54" name="BZDossierPublishing">
    <vt:lpwstr/>
  </property>
  <property fmtid="{D5CDD505-2E9C-101B-9397-08002B2CF9AE}" pid="55" name="BZDossierSpecifics">
    <vt:lpwstr/>
  </property>
  <property fmtid="{D5CDD505-2E9C-101B-9397-08002B2CF9AE}" pid="56" name="BZDossierGovernmentOfficial">
    <vt:lpwstr/>
  </property>
  <property fmtid="{D5CDD505-2E9C-101B-9397-08002B2CF9AE}" pid="57" name="f8e003236e1c4ac2ab9051d5d8789bbb">
    <vt:lpwstr/>
  </property>
  <property fmtid="{D5CDD505-2E9C-101B-9397-08002B2CF9AE}" pid="58" name="BZDossierNotes">
    <vt:lpwstr/>
  </property>
  <property fmtid="{D5CDD505-2E9C-101B-9397-08002B2CF9AE}" pid="59" name="BZDossierTranslation">
    <vt:lpwstr/>
  </property>
  <property fmtid="{D5CDD505-2E9C-101B-9397-08002B2CF9AE}" pid="60" name="BZEmailSubject">
    <vt:lpwstr/>
  </property>
  <property fmtid="{D5CDD505-2E9C-101B-9397-08002B2CF9AE}" pid="61" name="BZEmailFrom">
    <vt:lpwstr/>
  </property>
  <property fmtid="{D5CDD505-2E9C-101B-9397-08002B2CF9AE}" pid="62" name="BZEmailCC">
    <vt:lpwstr/>
  </property>
  <property fmtid="{D5CDD505-2E9C-101B-9397-08002B2CF9AE}" pid="63" name="BZEmailTo">
    <vt:lpwstr/>
  </property>
  <property fmtid="{D5CDD505-2E9C-101B-9397-08002B2CF9AE}" pid="64" name="BZEmailBody">
    <vt:lpwstr/>
  </property>
  <property fmtid="{D5CDD505-2E9C-101B-9397-08002B2CF9AE}" pid="65" name="BZDossierTemplate">
    <vt:lpwstr>ReguliereKamerbrief</vt:lpwstr>
  </property>
  <property fmtid="{D5CDD505-2E9C-101B-9397-08002B2CF9AE}" pid="66" name="_docset_NoMedatataSyncRequired">
    <vt:lpwstr>False</vt:lpwstr>
  </property>
</Properties>
</file>