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E98" w:rsidR="00171627" w:rsidP="00BD2F21" w:rsidRDefault="00126605" w14:paraId="28314EC1" w14:textId="060AC629">
      <w:pPr>
        <w:spacing w:line="276" w:lineRule="auto"/>
      </w:pPr>
      <w:bookmarkStart w:name="_Hlk220003339" w:id="0"/>
      <w:r w:rsidRPr="00595E98">
        <w:t>Geachte voorzitter,</w:t>
      </w:r>
    </w:p>
    <w:p w:rsidRPr="00595E98" w:rsidR="00171627" w:rsidP="00BD2F21" w:rsidRDefault="00171627" w14:paraId="28314EC2" w14:textId="77777777">
      <w:pPr>
        <w:spacing w:line="276" w:lineRule="auto"/>
      </w:pPr>
    </w:p>
    <w:bookmarkEnd w:id="0"/>
    <w:p w:rsidRPr="00595E98" w:rsidR="00BE1206" w:rsidP="00BE1206" w:rsidRDefault="00BE1206" w14:paraId="05114C34" w14:textId="77777777">
      <w:pPr>
        <w:spacing w:line="276" w:lineRule="auto"/>
      </w:pPr>
      <w:r w:rsidRPr="00595E98">
        <w:t>Met deze brief informeren wij uw Kamer over de medische capaciteit in de Gazastrook en de regio, zoals toegezegd door de minister van Buitenlandse Zaken tijdens de commissiedebatten Raad Buitenlandse Zaken van 11 december jl. en 13 januari jl. en door de staatssecretaris Buitenlandse Handel en Ontwikkelingshulp tijdens de BHO Begrotingsbehandeling van 15 januari jl.</w:t>
      </w:r>
      <w:r w:rsidRPr="00595E98">
        <w:rPr>
          <w:rStyle w:val="FootnoteReference"/>
        </w:rPr>
        <w:footnoteReference w:id="2"/>
      </w:r>
      <w:r w:rsidRPr="00595E98">
        <w:t xml:space="preserve">  </w:t>
      </w:r>
    </w:p>
    <w:p w:rsidRPr="00595E98" w:rsidR="00BE1206" w:rsidP="00BE1206" w:rsidRDefault="00BE1206" w14:paraId="03A51C9E" w14:textId="77777777">
      <w:pPr>
        <w:spacing w:line="276" w:lineRule="auto"/>
      </w:pPr>
      <w:r w:rsidRPr="00595E98">
        <w:t xml:space="preserve"> </w:t>
      </w:r>
    </w:p>
    <w:p w:rsidRPr="00595E98" w:rsidR="00BE1206" w:rsidP="00BE1206" w:rsidRDefault="00BE1206" w14:paraId="704795F0" w14:textId="77777777">
      <w:pPr>
        <w:pStyle w:val="Standaardcursief"/>
        <w:spacing w:line="276" w:lineRule="auto"/>
      </w:pPr>
      <w:r w:rsidRPr="00595E98">
        <w:t>Medische capaciteit in Gaza</w:t>
      </w:r>
    </w:p>
    <w:p w:rsidRPr="00595E98" w:rsidR="00BE1206" w:rsidP="76F41666" w:rsidRDefault="007212E8" w14:paraId="30B8A743" w14:textId="489A5DF3">
      <w:pPr>
        <w:spacing w:line="276" w:lineRule="auto"/>
        <w:rPr>
          <w:lang w:eastAsia="ja-JP"/>
        </w:rPr>
      </w:pPr>
      <w:r w:rsidRPr="00595E98">
        <w:rPr>
          <w:lang w:eastAsia="ja-JP"/>
        </w:rPr>
        <w:t xml:space="preserve">Het VN </w:t>
      </w:r>
      <w:r w:rsidRPr="004474FC">
        <w:rPr>
          <w:lang w:eastAsia="ja-JP"/>
        </w:rPr>
        <w:t>Bureau voor de Coördinatie van Humanitaire Aangelegenheden (OCHA) meldt dat van de gezondheidsfaciliteiten in Gaza</w:t>
      </w:r>
      <w:r w:rsidRPr="004474FC" w:rsidR="00706046">
        <w:rPr>
          <w:lang w:eastAsia="ja-JP"/>
        </w:rPr>
        <w:t>, de helft van de 36 ziekenhuizen</w:t>
      </w:r>
      <w:r w:rsidRPr="004474FC" w:rsidR="00951A7E">
        <w:rPr>
          <w:lang w:eastAsia="ja-JP"/>
        </w:rPr>
        <w:t xml:space="preserve"> buiten werking is. De overige </w:t>
      </w:r>
      <w:r w:rsidRPr="004474FC" w:rsidR="00706046">
        <w:rPr>
          <w:lang w:eastAsia="ja-JP"/>
        </w:rPr>
        <w:t xml:space="preserve">18 ziekenhuizen zijn </w:t>
      </w:r>
      <w:r w:rsidRPr="004474FC" w:rsidR="00951A7E">
        <w:rPr>
          <w:lang w:eastAsia="ja-JP"/>
        </w:rPr>
        <w:t xml:space="preserve">gedeeltelijk operationeel </w:t>
      </w:r>
      <w:r w:rsidRPr="004474FC" w:rsidR="00706046">
        <w:rPr>
          <w:lang w:eastAsia="ja-JP"/>
        </w:rPr>
        <w:t xml:space="preserve">en van de kleinere gezondheidscentra is het merendeel </w:t>
      </w:r>
      <w:r w:rsidRPr="004474FC" w:rsidR="009A51D2">
        <w:rPr>
          <w:lang w:eastAsia="ja-JP"/>
        </w:rPr>
        <w:t xml:space="preserve">niet volledig operationeel of </w:t>
      </w:r>
      <w:r w:rsidRPr="004474FC" w:rsidR="006E4993">
        <w:rPr>
          <w:lang w:eastAsia="ja-JP"/>
        </w:rPr>
        <w:t>buiten werking</w:t>
      </w:r>
      <w:r w:rsidRPr="004474FC" w:rsidR="00706046">
        <w:rPr>
          <w:lang w:eastAsia="ja-JP"/>
        </w:rPr>
        <w:t xml:space="preserve">. </w:t>
      </w:r>
      <w:r w:rsidRPr="004474FC" w:rsidR="00BE1206">
        <w:t>De Wereldgezondheidsorganisatie (</w:t>
      </w:r>
      <w:r w:rsidRPr="00595E98" w:rsidR="00BE1206">
        <w:t xml:space="preserve">WHO) en aanwezige hulporganisaties geven aan dat de medische capaciteit in Gaza zeer beperkt is. Er is schade aan medische infrastructuur en tekort aan personeel, medische goederen en </w:t>
      </w:r>
      <w:r w:rsidRPr="004474FC" w:rsidR="00BE1206">
        <w:t xml:space="preserve">apparatuur. </w:t>
      </w:r>
      <w:r w:rsidRPr="004474FC" w:rsidR="00706046">
        <w:rPr>
          <w:lang w:eastAsia="ja-JP"/>
        </w:rPr>
        <w:t>Hierdoor kunnen ernstig gewonden en chronisch zieken niet tijdig of adequaat behandeld worden.</w:t>
      </w:r>
    </w:p>
    <w:p w:rsidRPr="00595E98" w:rsidR="00AD6E63" w:rsidP="00BE1206" w:rsidRDefault="00AD6E63" w14:paraId="4016E89F" w14:textId="77777777">
      <w:pPr>
        <w:pStyle w:val="ListParagraph"/>
        <w:spacing w:line="276" w:lineRule="auto"/>
        <w:ind w:left="0"/>
      </w:pPr>
    </w:p>
    <w:p w:rsidRPr="00595E98" w:rsidR="00BE1206" w:rsidP="00BE1206" w:rsidRDefault="00BE1206" w14:paraId="36F59001" w14:textId="77777777">
      <w:pPr>
        <w:pStyle w:val="Standaardcursief"/>
        <w:spacing w:line="276" w:lineRule="auto"/>
      </w:pPr>
      <w:r w:rsidRPr="00595E98">
        <w:t>Medische capaciteit in de regio</w:t>
      </w:r>
    </w:p>
    <w:p w:rsidRPr="00595E98" w:rsidR="00BE1206" w:rsidP="00BE1206" w:rsidRDefault="00BE1206" w14:paraId="05A247F7" w14:textId="77777777">
      <w:pPr>
        <w:spacing w:line="276" w:lineRule="auto"/>
      </w:pPr>
      <w:r w:rsidRPr="00595E98">
        <w:t xml:space="preserve">Medische evacuaties uit de Gazastrook vinden plaats, maar zijn complex in uitvoering. Sinds oktober 2023 hebben de WHO en partners meer dan 10.762 patiënten uit Gaza medisch geëvacueerd, onder wie 5.715 kinderen. Momenteel wachten meer dan 18.500 mensen op medische evacuatie volgens de WHO, onder wie zo’n 4.000 kinderen. </w:t>
      </w:r>
    </w:p>
    <w:p w:rsidRPr="00595E98" w:rsidR="00BE1206" w:rsidP="00BE1206" w:rsidRDefault="00BE1206" w14:paraId="3DAF7ACA" w14:textId="77777777">
      <w:pPr>
        <w:spacing w:line="276" w:lineRule="auto"/>
      </w:pPr>
    </w:p>
    <w:p w:rsidRPr="00595E98" w:rsidR="00BE1206" w:rsidP="00BE1206" w:rsidRDefault="00BE1206" w14:paraId="100669BB" w14:textId="1DCB1F16">
      <w:pPr>
        <w:spacing w:line="276" w:lineRule="auto"/>
        <w:rPr>
          <w:rFonts w:cstheme="minorBidi"/>
          <w:lang w:eastAsia="ja-JP"/>
        </w:rPr>
      </w:pPr>
      <w:r w:rsidRPr="00595E98">
        <w:rPr>
          <w:rFonts w:cstheme="minorBidi"/>
          <w:lang w:eastAsia="ja-JP"/>
        </w:rPr>
        <w:t>Uit cijfers van de WHO blijkt dat het merendeel van de medische evacuees wordt opgevangen in de regio zelf, met name in Egypte (6.334), de Verenigde Arabische Emiraten (1.519), Qatar (970), Turkije (449) en Jordanië (446). De opvang van patiënten uit Gaza legt beslag op zowel publieke als private zorgcapaciteiten in de landen in de regio en hoge kosten met zich mee</w:t>
      </w:r>
      <w:r w:rsidRPr="00595E98" w:rsidR="00415C8E">
        <w:rPr>
          <w:rFonts w:cstheme="minorBidi"/>
          <w:lang w:eastAsia="ja-JP"/>
        </w:rPr>
        <w:t>brengen</w:t>
      </w:r>
      <w:r w:rsidRPr="00595E98">
        <w:rPr>
          <w:rFonts w:cstheme="minorBidi"/>
          <w:lang w:eastAsia="ja-JP"/>
        </w:rPr>
        <w:t xml:space="preserve">. Zowel in Jordanië als Egypte zijn er tekorten aan medicijnen, ziekenhuisbedden en financiële middelen. </w:t>
      </w:r>
      <w:r w:rsidRPr="00595E98">
        <w:rPr>
          <w:rFonts w:cstheme="minorBidi"/>
          <w:lang w:eastAsia="ja-JP"/>
        </w:rPr>
        <w:lastRenderedPageBreak/>
        <w:t xml:space="preserve">Volgens hulporganisaties opereren de publieke zorgsectoren in deze landen boven de maximale capaciteit, waardoor er onvoldoende capaciteit is voor specialistische zorg. </w:t>
      </w:r>
    </w:p>
    <w:p w:rsidRPr="00595E98" w:rsidR="00BE1206" w:rsidP="00BE1206" w:rsidRDefault="00BE1206" w14:paraId="6112F64F" w14:textId="77777777">
      <w:pPr>
        <w:spacing w:line="276" w:lineRule="auto"/>
        <w:rPr>
          <w:rFonts w:cstheme="minorBidi"/>
          <w:lang w:eastAsia="ja-JP"/>
        </w:rPr>
      </w:pPr>
    </w:p>
    <w:p w:rsidRPr="00595E98" w:rsidR="00BE1206" w:rsidP="00BE1206" w:rsidRDefault="00BE1206" w14:paraId="2F802A90" w14:textId="14D342B7">
      <w:pPr>
        <w:spacing w:line="276" w:lineRule="auto"/>
        <w:rPr>
          <w:rFonts w:cstheme="minorBidi"/>
          <w:lang w:eastAsia="ja-JP"/>
        </w:rPr>
      </w:pPr>
      <w:r w:rsidRPr="00595E98">
        <w:rPr>
          <w:rFonts w:cstheme="minorBidi"/>
          <w:lang w:eastAsia="ja-JP"/>
        </w:rPr>
        <w:t xml:space="preserve">Naast beperkte zorgcapaciteit in deze landen, worden er door VN-organisaties, humanitaire ngo’s en autoriteiten in de regio de volgende belemmeringen gesignaleerd voor </w:t>
      </w:r>
      <w:r w:rsidR="00F7558D">
        <w:rPr>
          <w:rFonts w:cstheme="minorBidi"/>
          <w:lang w:eastAsia="ja-JP"/>
        </w:rPr>
        <w:t xml:space="preserve">de </w:t>
      </w:r>
      <w:r w:rsidRPr="00595E98">
        <w:rPr>
          <w:rFonts w:cstheme="minorBidi"/>
          <w:lang w:eastAsia="ja-JP"/>
        </w:rPr>
        <w:t>opschaling van medische evacuaties: de veiligheidssituatie</w:t>
      </w:r>
      <w:r w:rsidR="00866F82">
        <w:rPr>
          <w:rFonts w:cstheme="minorBidi"/>
          <w:lang w:eastAsia="ja-JP"/>
        </w:rPr>
        <w:t xml:space="preserve"> en</w:t>
      </w:r>
      <w:r w:rsidRPr="00595E98">
        <w:rPr>
          <w:rFonts w:cstheme="minorBidi"/>
          <w:lang w:eastAsia="ja-JP"/>
        </w:rPr>
        <w:t xml:space="preserve"> beperkingen door Israël op de uitreis en terugkeer van medische evacuees uit Gaza</w:t>
      </w:r>
      <w:r w:rsidRPr="00595E98" w:rsidR="007212E8">
        <w:rPr>
          <w:rFonts w:cstheme="minorBidi"/>
          <w:lang w:eastAsia="ja-JP"/>
        </w:rPr>
        <w:t xml:space="preserve">. </w:t>
      </w:r>
      <w:r w:rsidRPr="00595E98">
        <w:rPr>
          <w:rFonts w:cstheme="minorBidi"/>
          <w:lang w:eastAsia="ja-JP"/>
        </w:rPr>
        <w:t xml:space="preserve">Door het uitblijven van toestemming voor terugkeer naar Gaza verblijven patiënten en hun begeleiders vaak langdurig in de ontvangende landen, waardoor capaciteit niet vrijkomt voor nieuwe evacuaties. Daartoe heeft Jordanië volgens hulporganisaties inmiddels het aantal begeleiders per patiënt teruggebracht en evacueert het kleine groepen, waardoor de doelstelling om 2.000 zieke kinderen uit Gaza te evacueren nog niet is bereikt. </w:t>
      </w:r>
    </w:p>
    <w:p w:rsidRPr="00595E98" w:rsidR="00BE1206" w:rsidP="00BE1206" w:rsidRDefault="00BE1206" w14:paraId="62EDA56F" w14:textId="77777777">
      <w:pPr>
        <w:spacing w:line="276" w:lineRule="auto"/>
        <w:rPr>
          <w:rFonts w:cstheme="minorBidi"/>
          <w:lang w:eastAsia="ja-JP"/>
        </w:rPr>
      </w:pPr>
    </w:p>
    <w:p w:rsidRPr="00595E98" w:rsidR="00BE1206" w:rsidP="00BE1206" w:rsidRDefault="00BE1206" w14:paraId="51F08C55" w14:textId="77777777">
      <w:pPr>
        <w:spacing w:line="276" w:lineRule="auto"/>
        <w:rPr>
          <w:rFonts w:cstheme="minorBidi"/>
          <w:lang w:eastAsia="ja-JP"/>
        </w:rPr>
      </w:pPr>
      <w:r w:rsidRPr="00595E98">
        <w:rPr>
          <w:rFonts w:cstheme="minorBidi"/>
          <w:lang w:eastAsia="ja-JP"/>
        </w:rPr>
        <w:t xml:space="preserve">De Verenigde Arabische Emiraten, Qatar en Turkije geven aan – ondanks goede kwaliteit van medische zorg – dat opvang en behandeling hoge kosten met zich meebrengt en dat het gebrek aan perspectief op terugkeer naar Gaza een rem zet op verdere opschaling van medische evacuaties. Ook Saoedi-Arabië, dat weliswaar met personele en financiële middelen aanzienlijk bijdraagt aan humanitaire hulp in Gaza, geeft aan niet naar eigen land te willen evacueren zolang terugkeer van behandelde patiënten niet wordt gegarandeerd. </w:t>
      </w:r>
    </w:p>
    <w:p w:rsidRPr="00595E98" w:rsidR="00BE1206" w:rsidP="00BE1206" w:rsidRDefault="00BE1206" w14:paraId="14448022" w14:textId="77777777">
      <w:pPr>
        <w:spacing w:line="276" w:lineRule="auto"/>
        <w:rPr>
          <w:rFonts w:cstheme="minorBidi"/>
          <w:lang w:eastAsia="ja-JP"/>
        </w:rPr>
      </w:pPr>
    </w:p>
    <w:p w:rsidRPr="00595E98" w:rsidR="00BE1206" w:rsidP="00BE1206" w:rsidRDefault="00BE1206" w14:paraId="22F4575E" w14:textId="77777777">
      <w:pPr>
        <w:spacing w:line="276" w:lineRule="auto"/>
        <w:rPr>
          <w:i/>
          <w:iCs/>
        </w:rPr>
      </w:pPr>
      <w:r w:rsidRPr="00595E98">
        <w:rPr>
          <w:i/>
          <w:iCs/>
        </w:rPr>
        <w:t xml:space="preserve">Kabinetsinzet </w:t>
      </w:r>
    </w:p>
    <w:p w:rsidRPr="00595E98" w:rsidR="00BE1206" w:rsidP="00BE1206" w:rsidRDefault="00BE1206" w14:paraId="12C881C6" w14:textId="77777777">
      <w:pPr>
        <w:autoSpaceDN/>
        <w:spacing w:after="160" w:line="276" w:lineRule="auto"/>
        <w:textAlignment w:val="auto"/>
      </w:pPr>
      <w:r w:rsidRPr="00595E98">
        <w:t>Zoals toegelicht in de Kamerbrieven van 2, 10 en 30 oktober jl.</w:t>
      </w:r>
      <w:r w:rsidRPr="00595E98">
        <w:rPr>
          <w:rStyle w:val="FootnoteReference"/>
        </w:rPr>
        <w:footnoteReference w:id="3"/>
      </w:r>
      <w:r w:rsidRPr="00595E98">
        <w:t xml:space="preserve">, richt het kabinet zich op een versterking van de medische capaciteit in Gaza en de regio. Het kabinet heeft de additionele bijdrage van 25 miljoen euro gericht ingezet voor hulp aan mensen uit de Gazastrook, mede ter verlichting van de druk op zorgsystemen in de regio. Deze middelen zijn via vaste humanitaire partners (het Nederlandse Rode Kruis en het Internationale Comité van het Rode Kruis (ICRC), de </w:t>
      </w:r>
      <w:r w:rsidRPr="00595E98">
        <w:rPr>
          <w:i/>
        </w:rPr>
        <w:t>Dutch Relief Alliance</w:t>
      </w:r>
      <w:r w:rsidRPr="00595E98">
        <w:t xml:space="preserve"> (DRA) en VN-organisaties verdeeld ter ondersteuning van zowel de acute als structurele zorgcapaciteit in Gaza en opvanglanden in de regio. </w:t>
      </w:r>
    </w:p>
    <w:p w:rsidRPr="00595E98" w:rsidR="00BE1206" w:rsidP="00BE1206" w:rsidRDefault="00BE1206" w14:paraId="31274D7E" w14:textId="77777777">
      <w:pPr>
        <w:autoSpaceDN/>
        <w:spacing w:after="160" w:line="276" w:lineRule="auto"/>
        <w:textAlignment w:val="auto"/>
      </w:pPr>
      <w:r w:rsidRPr="00595E98">
        <w:t xml:space="preserve">Zo heeft de DRA met 3 miljoen euro haar humanitaire en medische inzet in Gaza uitgebreid, waarmee ze circa 197.000 mensen kunnen bereiken. De bijdrage verlicht de druk op het overbelaste gezondheidssysteem door basiszorg te bieden, waaronder behandeling van verwondingen, infectieziekten, chronische aandoeningen en zorg bij zwangerschap en bevallingen.  </w:t>
      </w:r>
    </w:p>
    <w:p w:rsidRPr="00595E98" w:rsidR="00BE1206" w:rsidP="00BE1206" w:rsidRDefault="00BE1206" w14:paraId="4BD495F7" w14:textId="77777777">
      <w:pPr>
        <w:autoSpaceDN/>
        <w:spacing w:after="160" w:line="276" w:lineRule="auto"/>
        <w:textAlignment w:val="auto"/>
      </w:pPr>
      <w:r w:rsidRPr="00595E98">
        <w:t xml:space="preserve">Het ICRC ondersteunt in Gaza het veldhospitaal in Rafah met 120 bedden, twee ziekenhuizen en vijf eerstelijnsgezondheidscentra met (specialistische) zorg, training, apparatuur en medicijnen, waar zij met 2,5 miljoen euro in ondersteund worden. UNICEF kan met de extra bijdrage van 3 miljoen euro circa 140.000 kinderen, moeders en andere patiënten in Gaza en op de Westelijke Jordaanoever bereiken met levensreddende zorg. </w:t>
      </w:r>
    </w:p>
    <w:p w:rsidRPr="00595E98" w:rsidR="00BE1206" w:rsidP="00BE1206" w:rsidRDefault="00BE1206" w14:paraId="358A119A" w14:textId="77777777">
      <w:pPr>
        <w:autoSpaceDN/>
        <w:spacing w:after="160" w:line="276" w:lineRule="auto"/>
        <w:textAlignment w:val="auto"/>
      </w:pPr>
      <w:r w:rsidRPr="00595E98">
        <w:t xml:space="preserve">Daarnaast wordt 4,3 miljoen euro ingezet via het </w:t>
      </w:r>
      <w:proofErr w:type="spellStart"/>
      <w:r w:rsidRPr="00595E98">
        <w:rPr>
          <w:i/>
        </w:rPr>
        <w:t>Middle</w:t>
      </w:r>
      <w:proofErr w:type="spellEnd"/>
      <w:r w:rsidRPr="00595E98">
        <w:rPr>
          <w:i/>
        </w:rPr>
        <w:t xml:space="preserve"> East Crisis Appeal</w:t>
      </w:r>
      <w:r w:rsidRPr="00595E98">
        <w:t xml:space="preserve"> van de Internationale Federatie van Rode Kruis- en Rode Halve Maanverenigingen ter ondersteuning van de Egyptische en Jordaanse Rode Halve Maan. Daarmee </w:t>
      </w:r>
      <w:r w:rsidRPr="00595E98">
        <w:lastRenderedPageBreak/>
        <w:t>worden in Jordanië naar verwachting 200 medische evacuees en 300 begeleiders geholpen met specialistische zorg en psychosociale begeleiding, en in Egypte circa 3.000 mensen, waaronder 2.000 patiënten die revalidatiezorg ontvangen.</w:t>
      </w:r>
    </w:p>
    <w:p w:rsidRPr="00595E98" w:rsidR="00BE1206" w:rsidP="00BE1206" w:rsidRDefault="00BE1206" w14:paraId="0CD217DE" w14:textId="77777777">
      <w:pPr>
        <w:autoSpaceDN/>
        <w:spacing w:after="160" w:line="276" w:lineRule="auto"/>
        <w:textAlignment w:val="auto"/>
      </w:pPr>
      <w:r w:rsidRPr="00595E98">
        <w:t xml:space="preserve">Ook heeft </w:t>
      </w:r>
      <w:r w:rsidRPr="00595E98">
        <w:rPr>
          <w:i/>
        </w:rPr>
        <w:t xml:space="preserve">Save the Children </w:t>
      </w:r>
      <w:r w:rsidRPr="00595E98">
        <w:t xml:space="preserve">800.000 euro ontvangen voor behandeling in Egypte van ongeveer 600 patiënten, voornamelijk kinderen, uit Gaza. Deze patiënten en hun begeleiders krijgen medische behandeling in private klinieken, inclusief noodzakelijke nazorg zoals psychosociale zorg, protheses en fysiotherapie. Met de bilaterale ondersteuning aan Jordanië en Egypte via de WHO worden medische goederen, trainingen en opvang van medische evacuees ondersteund. </w:t>
      </w:r>
    </w:p>
    <w:p w:rsidRPr="004474FC" w:rsidR="00BE1206" w:rsidP="00BE1206" w:rsidRDefault="00BE1206" w14:paraId="3A3F91C5" w14:textId="1C9E3EF6">
      <w:pPr>
        <w:spacing w:line="276" w:lineRule="auto"/>
      </w:pPr>
      <w:r w:rsidRPr="00595E98">
        <w:t xml:space="preserve">Naast financiële steun </w:t>
      </w:r>
      <w:r w:rsidR="001B2FEF">
        <w:t>zet</w:t>
      </w:r>
      <w:r w:rsidRPr="00595E98">
        <w:t xml:space="preserve"> Nederland zich diplomatiek in voor verruiming van humanitaire toegan</w:t>
      </w:r>
      <w:r w:rsidRPr="004474FC">
        <w:t xml:space="preserve">g. </w:t>
      </w:r>
      <w:r w:rsidRPr="004474FC" w:rsidR="008939FD">
        <w:t>Het kabinet</w:t>
      </w:r>
      <w:r w:rsidRPr="004474FC">
        <w:t xml:space="preserve"> blijft zich ervoor inspannen dat professionele hulporganisaties, waaronder de VN, de Rode Kruis- en Halve Maanbeweging en internationale ngo’s volledige, veilige en ongehinderde humanitaire toegang hebben om hun werk uit te kunnen voeren. Dit alles doet </w:t>
      </w:r>
      <w:r w:rsidRPr="004474FC" w:rsidR="008939FD">
        <w:t>het kabinet</w:t>
      </w:r>
      <w:r w:rsidRPr="004474FC">
        <w:t xml:space="preserve"> zowel bilateraal in contacten met de Israëlische autoriteiten, als in EU verband. </w:t>
      </w:r>
    </w:p>
    <w:p w:rsidRPr="004474FC" w:rsidR="00BE1206" w:rsidP="00BE1206" w:rsidRDefault="00BE1206" w14:paraId="33C7FC26" w14:textId="77777777">
      <w:pPr>
        <w:spacing w:line="276" w:lineRule="auto"/>
      </w:pPr>
    </w:p>
    <w:p w:rsidRPr="00595E98" w:rsidR="00BE1206" w:rsidP="00BE1206" w:rsidRDefault="00695E22" w14:paraId="1A20FF85" w14:textId="3B3C352E">
      <w:pPr>
        <w:spacing w:line="276" w:lineRule="auto"/>
      </w:pPr>
      <w:r w:rsidRPr="004474FC">
        <w:t>Het kabinet heeft d</w:t>
      </w:r>
      <w:r w:rsidRPr="004474FC" w:rsidR="00BE1206">
        <w:t xml:space="preserve">it </w:t>
      </w:r>
      <w:r w:rsidRPr="004474FC" w:rsidR="006E4993">
        <w:t xml:space="preserve">bijvoorbeeld </w:t>
      </w:r>
      <w:r w:rsidRPr="004474FC" w:rsidR="00BE1206">
        <w:t>recent gedaan naar aanleiding van de herregistratieplicht</w:t>
      </w:r>
      <w:r w:rsidRPr="004474FC" w:rsidR="00EE798A">
        <w:t xml:space="preserve"> voor internationale ngo’s</w:t>
      </w:r>
      <w:r w:rsidRPr="004474FC" w:rsidR="00BE1206">
        <w:t>. De minister</w:t>
      </w:r>
      <w:r w:rsidRPr="00595E98" w:rsidR="00BE1206">
        <w:t xml:space="preserve"> van Buitenlandse Zaken nam na het besluit van Israël op 31 december jl. telefonisch contact op met de Israëlische minister van Buitenlandse Zaken en heeft zijn zorgen ook in november benadrukt tijdens zijn bezoek aan Israël. </w:t>
      </w:r>
      <w:r w:rsidRPr="00595E98" w:rsidR="00E56F51">
        <w:t xml:space="preserve">Op diezelfde dag sprak ook de staatssecretaris voor Buitenlandse Handel en Ontwikkelingshulp publiekelijk haar zorgen uit. </w:t>
      </w:r>
      <w:r w:rsidRPr="00595E98" w:rsidR="00BE1206">
        <w:t xml:space="preserve">Nederland benadrukte </w:t>
      </w:r>
      <w:r w:rsidRPr="00595E98" w:rsidR="00AD6E63">
        <w:t>meerdere malen de</w:t>
      </w:r>
      <w:r w:rsidRPr="00595E98" w:rsidR="00BE1206">
        <w:t xml:space="preserve"> zorgen over de wetgeving tijdens de Europese Raad.</w:t>
      </w:r>
      <w:r w:rsidRPr="00595E98" w:rsidR="00BE1206">
        <w:rPr>
          <w:vertAlign w:val="superscript"/>
        </w:rPr>
        <w:footnoteReference w:id="4"/>
      </w:r>
      <w:r w:rsidRPr="00595E98" w:rsidR="00BE1206">
        <w:t xml:space="preserve"> In eerdere Kamerbrieven bent u geïnformeerd over de wijze waarop Nederland ten tijde van de humanitaire blokkade de druk heeft opgevoerd.</w:t>
      </w:r>
      <w:r w:rsidRPr="00595E98" w:rsidR="00BE1206">
        <w:rPr>
          <w:rStyle w:val="FootnoteReference"/>
        </w:rPr>
        <w:footnoteReference w:id="5"/>
      </w:r>
    </w:p>
    <w:p w:rsidRPr="00595E98" w:rsidR="00BE1206" w:rsidP="00BE1206" w:rsidRDefault="00BE1206" w14:paraId="7EF75041" w14:textId="77777777">
      <w:pPr>
        <w:spacing w:line="276" w:lineRule="auto"/>
      </w:pPr>
    </w:p>
    <w:p w:rsidRPr="00595E98" w:rsidR="00BE1206" w:rsidP="00BE1206" w:rsidRDefault="00BE1206" w14:paraId="70CEBDA1" w14:textId="01C63850">
      <w:pPr>
        <w:spacing w:line="276" w:lineRule="auto"/>
      </w:pPr>
      <w:r w:rsidRPr="00595E98">
        <w:t xml:space="preserve">Ook roept Nederland Israël in bilateraal en multilateraal verband op om meer grensovergangen te openen voor zowel medische evacuaties als humanitaire hulp en om hulporganisaties in staat te stellen om essentiële goederen – waaronder ook goederen die Israël als </w:t>
      </w:r>
      <w:r w:rsidRPr="00595E98">
        <w:rPr>
          <w:i/>
        </w:rPr>
        <w:t xml:space="preserve">dual use </w:t>
      </w:r>
      <w:r w:rsidRPr="00595E98">
        <w:t>ziet – de Gazastrook in te voeren en te distribueren. Ook moeten hulpverleners vrij en veilig kunnen in- en uitreizen en moeten patiënten uit Gaza de mogelijkheid hebben om op termijn terug te keren</w:t>
      </w:r>
      <w:r w:rsidRPr="00595E98" w:rsidDel="00394FCE">
        <w:t>.</w:t>
      </w:r>
      <w:r w:rsidRPr="00595E98">
        <w:t xml:space="preserve"> </w:t>
      </w:r>
    </w:p>
    <w:p w:rsidRPr="00595E98" w:rsidR="00BE1206" w:rsidP="00BE1206" w:rsidRDefault="00BE1206" w14:paraId="464DB89B" w14:textId="77777777">
      <w:pPr>
        <w:spacing w:line="276" w:lineRule="auto"/>
      </w:pPr>
    </w:p>
    <w:p w:rsidRPr="00595E98" w:rsidR="001B7F4E" w:rsidP="001B7F4E" w:rsidRDefault="00BE1206" w14:paraId="062F89BF" w14:textId="77777777">
      <w:pPr>
        <w:spacing w:line="276" w:lineRule="auto"/>
      </w:pPr>
      <w:r w:rsidRPr="00595E98">
        <w:t xml:space="preserve">De inzet van het kabinet is gericht op de opvang en behandeling van patiënten in de regio, omdat Nederland met het beschikbaar gestelde budget op deze manier de meeste mensen kan ondersteunen. Daarnaast heeft het kabinet </w:t>
      </w:r>
      <w:r w:rsidR="006E4993">
        <w:t>begin</w:t>
      </w:r>
      <w:r w:rsidRPr="00595E98" w:rsidR="006E4993">
        <w:t xml:space="preserve"> </w:t>
      </w:r>
      <w:r w:rsidRPr="00595E98">
        <w:t xml:space="preserve">oktober besloten om vijf kinderen uit Gaza met hoog-specialistische zorgbehoeften naar </w:t>
      </w:r>
      <w:r w:rsidRPr="00560326">
        <w:t xml:space="preserve">Nederland te evacueren, waarvoor in de regio beperkte zorgcapaciteit beschikbaar was. </w:t>
      </w:r>
      <w:r w:rsidRPr="00560326" w:rsidR="001B7F4E">
        <w:t xml:space="preserve">Dit brengt diverse kosten met zich mee waaronder reis- en verblijfskosten, leefgeld en zorgkosten. Voor de mogelijk langjarige zorgverlening aan de kinderen en hun begeleiders heeft het kabinet vijf miljoen euro gereserveerd. De uiteindelijke kosten zijn afhankelijk van het verloop van de medische behandelingen en de duur van het verblijf. </w:t>
      </w:r>
      <w:r w:rsidRPr="00560326" w:rsidDel="006B2D3C" w:rsidR="001B7F4E">
        <w:t>Ook</w:t>
      </w:r>
      <w:r w:rsidRPr="00595E98" w:rsidDel="006B2D3C" w:rsidR="001B7F4E">
        <w:t xml:space="preserve"> vormt de terugkeer van patiënten en begeleiders een </w:t>
      </w:r>
      <w:r w:rsidRPr="00595E98" w:rsidR="001B7F4E">
        <w:t>complex vraagstuk omdat dit</w:t>
      </w:r>
      <w:r w:rsidRPr="00595E98" w:rsidDel="006B2D3C" w:rsidR="001B7F4E">
        <w:t xml:space="preserve"> mede afhankelijk is van de </w:t>
      </w:r>
      <w:r w:rsidRPr="00595E98" w:rsidDel="006B2D3C" w:rsidR="001B7F4E">
        <w:lastRenderedPageBreak/>
        <w:t xml:space="preserve">toestemming van Israël </w:t>
      </w:r>
      <w:r w:rsidRPr="004474FC" w:rsidDel="006B2D3C" w:rsidR="001B7F4E">
        <w:t xml:space="preserve">voor terugkeer </w:t>
      </w:r>
      <w:r w:rsidRPr="004474FC" w:rsidR="001B7F4E">
        <w:t xml:space="preserve">en </w:t>
      </w:r>
      <w:r w:rsidRPr="004474FC" w:rsidDel="006B2D3C" w:rsidR="001B7F4E">
        <w:t xml:space="preserve">de </w:t>
      </w:r>
      <w:r w:rsidRPr="004474FC" w:rsidR="001B7F4E">
        <w:t>vraag of uiteindelijk</w:t>
      </w:r>
      <w:r w:rsidRPr="00595E98" w:rsidR="001B7F4E">
        <w:t xml:space="preserve"> om asiel wordt verzocht</w:t>
      </w:r>
      <w:r w:rsidRPr="00595E98" w:rsidDel="006B2D3C" w:rsidR="001B7F4E">
        <w:t xml:space="preserve">. </w:t>
      </w:r>
    </w:p>
    <w:p w:rsidRPr="00595E98" w:rsidR="00BE1206" w:rsidP="00BE1206" w:rsidRDefault="00BE1206" w14:paraId="302B26A6" w14:textId="68C42486">
      <w:pPr>
        <w:spacing w:line="276" w:lineRule="auto"/>
      </w:pPr>
    </w:p>
    <w:p w:rsidR="00BE1206" w:rsidP="00BE1206" w:rsidRDefault="00AD6E63" w14:paraId="02766FB9" w14:textId="2E09E0AC">
      <w:pPr>
        <w:spacing w:line="276" w:lineRule="auto"/>
      </w:pPr>
      <w:r w:rsidRPr="00595E98">
        <w:t xml:space="preserve">Het kabinet heeft zich de afgelopen maanden ingezet voor het vergroten van de medische capaciteit in de regio en het uitvoeren van een zeer complexe operatie waarmee vijf kinderen zijn geëvacueerd die hoog-specialistische zorg nodig hadden. </w:t>
      </w:r>
      <w:r w:rsidRPr="00595E98" w:rsidR="00BE1206">
        <w:t>Gezien de complexe omstandigheden in Gaza en de regio en de aanvang van de tweede fase van het vredesplan</w:t>
      </w:r>
      <w:r w:rsidRPr="00595E98">
        <w:t xml:space="preserve"> waarin de opening van de grensovergang bij Rafah wordt aangekondigd</w:t>
      </w:r>
      <w:r w:rsidRPr="00595E98" w:rsidR="00BE1206">
        <w:t xml:space="preserve">, zal het aan een volgend kabinet zijn om besluiten te nemen over de verdere kabinetsinzet, inclusief </w:t>
      </w:r>
      <w:r w:rsidRPr="00595E98">
        <w:t>eventuele</w:t>
      </w:r>
      <w:r w:rsidRPr="00595E98" w:rsidR="00BE1206">
        <w:t xml:space="preserve"> budgettaire keuzes.</w:t>
      </w:r>
    </w:p>
    <w:p w:rsidRPr="00595E98" w:rsidR="00BE1206" w:rsidP="00BE1206" w:rsidRDefault="00BE1206" w14:paraId="14A8AF47" w14:textId="77777777">
      <w:pPr>
        <w:spacing w:line="276" w:lineRule="auto"/>
        <w:rPr>
          <w:rFonts w:cstheme="minorHAnsi"/>
          <w:lang w:eastAsia="ja-JP"/>
        </w:rPr>
      </w:pPr>
    </w:p>
    <w:p w:rsidRPr="00595E98" w:rsidR="00BE1206" w:rsidP="00BE1206" w:rsidRDefault="00BE1206" w14:paraId="2658EA93"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BE1206" w:rsidTr="00CA35BD" w14:paraId="2B70F432" w14:textId="77777777">
        <w:tc>
          <w:tcPr>
            <w:tcW w:w="3620" w:type="dxa"/>
          </w:tcPr>
          <w:p w:rsidRPr="00595E98" w:rsidR="00BE1206" w:rsidP="00CA35BD" w:rsidRDefault="00BE1206" w14:paraId="3C2BC139" w14:textId="77777777">
            <w:pPr>
              <w:spacing w:line="276" w:lineRule="auto"/>
            </w:pPr>
            <w:r w:rsidRPr="00595E98">
              <w:t>Staatssecretaris Buitenlandse Handel en Ontwikkelingshulp,</w:t>
            </w:r>
            <w:r w:rsidRPr="00595E98">
              <w:br/>
              <w:t xml:space="preserve"> </w:t>
            </w:r>
            <w:r w:rsidRPr="00595E98">
              <w:br/>
            </w:r>
            <w:r w:rsidRPr="00595E98">
              <w:br/>
            </w:r>
            <w:r w:rsidRPr="00595E98">
              <w:br/>
            </w:r>
            <w:r w:rsidRPr="00595E98">
              <w:br/>
              <w:t>Aukje de Vries</w:t>
            </w:r>
          </w:p>
        </w:tc>
        <w:tc>
          <w:tcPr>
            <w:tcW w:w="3921" w:type="dxa"/>
          </w:tcPr>
          <w:p w:rsidR="00BE1206" w:rsidP="00CA35BD" w:rsidRDefault="00BE1206" w14:paraId="75A08DE8" w14:textId="77777777">
            <w:pPr>
              <w:spacing w:line="276" w:lineRule="auto"/>
            </w:pPr>
            <w:r w:rsidRPr="00595E98">
              <w:t>De minister van Buitenlandse Zaken,</w:t>
            </w:r>
            <w:r w:rsidRPr="00595E98">
              <w:br/>
            </w:r>
            <w:r w:rsidRPr="00595E98">
              <w:br/>
            </w:r>
            <w:r w:rsidRPr="00595E98">
              <w:br/>
            </w:r>
            <w:r w:rsidRPr="00595E98">
              <w:br/>
            </w:r>
            <w:r w:rsidRPr="00595E98">
              <w:br/>
            </w:r>
            <w:r w:rsidRPr="00595E98">
              <w:br/>
              <w:t>D.M. van Weel</w:t>
            </w:r>
          </w:p>
        </w:tc>
      </w:tr>
    </w:tbl>
    <w:p w:rsidR="00BE1206" w:rsidP="00BE1206" w:rsidRDefault="00BE1206" w14:paraId="2754DFD5" w14:textId="77777777">
      <w:pPr>
        <w:spacing w:line="276" w:lineRule="auto"/>
      </w:pPr>
    </w:p>
    <w:p w:rsidR="00BE1206" w:rsidP="00BE1206" w:rsidRDefault="00BE1206" w14:paraId="7E1BB4A8" w14:textId="77777777">
      <w:pPr>
        <w:spacing w:line="276" w:lineRule="auto"/>
      </w:pPr>
    </w:p>
    <w:p w:rsidR="00A50900" w:rsidP="00BE1206" w:rsidRDefault="00A50900" w14:paraId="4F5718D9" w14:textId="77777777">
      <w:pPr>
        <w:spacing w:line="276" w:lineRule="auto"/>
      </w:pPr>
    </w:p>
    <w:sectPr w:rsidR="00A50900" w:rsidSect="00560326">
      <w:headerReference w:type="default" r:id="rId14"/>
      <w:footerReference w:type="default" r:id="rId15"/>
      <w:headerReference w:type="first" r:id="rId16"/>
      <w:footerReference w:type="first" r:id="rId17"/>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CB44" w14:textId="77777777" w:rsidR="006828B4" w:rsidRDefault="006828B4">
      <w:pPr>
        <w:spacing w:line="240" w:lineRule="auto"/>
      </w:pPr>
      <w:r>
        <w:separator/>
      </w:r>
    </w:p>
  </w:endnote>
  <w:endnote w:type="continuationSeparator" w:id="0">
    <w:p w14:paraId="7BE0044F" w14:textId="77777777" w:rsidR="006828B4" w:rsidRDefault="006828B4">
      <w:pPr>
        <w:spacing w:line="240" w:lineRule="auto"/>
      </w:pPr>
      <w:r>
        <w:continuationSeparator/>
      </w:r>
    </w:p>
  </w:endnote>
  <w:endnote w:type="continuationNotice" w:id="1">
    <w:p w14:paraId="46825E36" w14:textId="77777777" w:rsidR="006828B4" w:rsidRDefault="006828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258009"/>
      <w:docPartObj>
        <w:docPartGallery w:val="Page Numbers (Bottom of Page)"/>
        <w:docPartUnique/>
      </w:docPartObj>
    </w:sdtPr>
    <w:sdtContent>
      <w:p w14:paraId="06059A04" w14:textId="5BFA42B1" w:rsidR="00BD2F21" w:rsidRDefault="00BD2F21">
        <w:pPr>
          <w:pStyle w:val="Footer"/>
          <w:jc w:val="center"/>
        </w:pPr>
        <w:r>
          <w:fldChar w:fldCharType="begin"/>
        </w:r>
        <w:r>
          <w:instrText>PAGE   \* MERGEFORMAT</w:instrText>
        </w:r>
        <w:r>
          <w:fldChar w:fldCharType="separate"/>
        </w:r>
        <w:r>
          <w:t>2</w:t>
        </w:r>
        <w:r>
          <w:fldChar w:fldCharType="end"/>
        </w:r>
      </w:p>
    </w:sdtContent>
  </w:sdt>
  <w:p w14:paraId="74052FBF" w14:textId="77777777" w:rsidR="00BD2F21" w:rsidRDefault="00BD2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88850"/>
      <w:docPartObj>
        <w:docPartGallery w:val="Page Numbers (Bottom of Page)"/>
        <w:docPartUnique/>
      </w:docPartObj>
    </w:sdtPr>
    <w:sdtContent>
      <w:p w14:paraId="458FD3DE" w14:textId="7375CD58" w:rsidR="00BD2F21" w:rsidRDefault="00BD2F21">
        <w:pPr>
          <w:pStyle w:val="Footer"/>
          <w:jc w:val="center"/>
        </w:pPr>
        <w:r>
          <w:fldChar w:fldCharType="begin"/>
        </w:r>
        <w:r>
          <w:instrText>PAGE   \* MERGEFORMAT</w:instrText>
        </w:r>
        <w:r>
          <w:fldChar w:fldCharType="separate"/>
        </w:r>
        <w:r>
          <w:t>2</w:t>
        </w:r>
        <w:r>
          <w:fldChar w:fldCharType="end"/>
        </w:r>
      </w:p>
    </w:sdtContent>
  </w:sdt>
  <w:p w14:paraId="1D8E2428" w14:textId="17565F3A" w:rsidR="00BD2F21" w:rsidRDefault="00BD2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651BF" w14:textId="77777777" w:rsidR="006828B4" w:rsidRDefault="006828B4">
      <w:pPr>
        <w:spacing w:line="240" w:lineRule="auto"/>
      </w:pPr>
      <w:r>
        <w:separator/>
      </w:r>
    </w:p>
  </w:footnote>
  <w:footnote w:type="continuationSeparator" w:id="0">
    <w:p w14:paraId="3F6E437F" w14:textId="77777777" w:rsidR="006828B4" w:rsidRDefault="006828B4">
      <w:pPr>
        <w:spacing w:line="240" w:lineRule="auto"/>
      </w:pPr>
      <w:r>
        <w:continuationSeparator/>
      </w:r>
    </w:p>
  </w:footnote>
  <w:footnote w:type="continuationNotice" w:id="1">
    <w:p w14:paraId="60B59D55" w14:textId="77777777" w:rsidR="006828B4" w:rsidRDefault="006828B4">
      <w:pPr>
        <w:spacing w:line="240" w:lineRule="auto"/>
      </w:pPr>
    </w:p>
  </w:footnote>
  <w:footnote w:id="2">
    <w:p w14:paraId="68742374" w14:textId="77777777" w:rsidR="00BE1206" w:rsidRPr="00E82BF4" w:rsidRDefault="00BE1206" w:rsidP="00BE1206">
      <w:pPr>
        <w:pStyle w:val="FootnoteText"/>
        <w:tabs>
          <w:tab w:val="center" w:pos="3770"/>
          <w:tab w:val="left" w:pos="6075"/>
        </w:tabs>
        <w:rPr>
          <w:sz w:val="18"/>
          <w:szCs w:val="18"/>
        </w:rPr>
      </w:pPr>
      <w:r w:rsidRPr="00E82BF4">
        <w:rPr>
          <w:rStyle w:val="FootnoteReference"/>
          <w:sz w:val="18"/>
          <w:szCs w:val="18"/>
        </w:rPr>
        <w:footnoteRef/>
      </w:r>
      <w:r w:rsidRPr="00E82BF4">
        <w:rPr>
          <w:sz w:val="18"/>
          <w:szCs w:val="18"/>
        </w:rPr>
        <w:t xml:space="preserve"> </w:t>
      </w:r>
      <w:r w:rsidRPr="00EC5F71">
        <w:rPr>
          <w:rFonts w:cs="Calibri"/>
          <w:sz w:val="16"/>
          <w:szCs w:val="16"/>
        </w:rPr>
        <w:t xml:space="preserve">Toezeggingen TZ202512-027, TZ202601-005 en TZ202601-047. </w:t>
      </w:r>
      <w:r w:rsidRPr="00E82BF4">
        <w:rPr>
          <w:rFonts w:cs="Calibri"/>
          <w:sz w:val="18"/>
          <w:szCs w:val="18"/>
        </w:rPr>
        <w:tab/>
      </w:r>
    </w:p>
  </w:footnote>
  <w:footnote w:id="3">
    <w:p w14:paraId="4A80FFA4" w14:textId="77777777" w:rsidR="00BE1206" w:rsidRDefault="00BE1206" w:rsidP="00BE1206">
      <w:pPr>
        <w:pStyle w:val="FootnoteText"/>
      </w:pPr>
      <w:r w:rsidRPr="00141993">
        <w:rPr>
          <w:rStyle w:val="FootnoteReference"/>
          <w:sz w:val="18"/>
          <w:szCs w:val="18"/>
        </w:rPr>
        <w:footnoteRef/>
      </w:r>
      <w:r w:rsidRPr="00141993">
        <w:rPr>
          <w:sz w:val="18"/>
          <w:szCs w:val="18"/>
        </w:rPr>
        <w:t xml:space="preserve"> </w:t>
      </w:r>
      <w:r w:rsidRPr="00595E98">
        <w:rPr>
          <w:sz w:val="16"/>
          <w:szCs w:val="16"/>
        </w:rPr>
        <w:t>Kamerstukken 23 432 nr. 611, nr. 614 en nr. 616</w:t>
      </w:r>
    </w:p>
  </w:footnote>
  <w:footnote w:id="4">
    <w:p w14:paraId="51DC2300" w14:textId="77777777" w:rsidR="00BE1206" w:rsidRDefault="00BE1206" w:rsidP="00BE1206">
      <w:pPr>
        <w:pStyle w:val="FootnoteText"/>
      </w:pPr>
      <w:r w:rsidRPr="00F377FC">
        <w:rPr>
          <w:rStyle w:val="FootnoteReference"/>
          <w:sz w:val="18"/>
          <w:szCs w:val="18"/>
        </w:rPr>
        <w:footnoteRef/>
      </w:r>
      <w:r w:rsidRPr="00FE5A5A">
        <w:rPr>
          <w:sz w:val="18"/>
          <w:szCs w:val="18"/>
        </w:rPr>
        <w:t xml:space="preserve"> </w:t>
      </w:r>
      <w:r w:rsidRPr="00E26EF7">
        <w:rPr>
          <w:sz w:val="16"/>
          <w:szCs w:val="16"/>
        </w:rPr>
        <w:t xml:space="preserve">Europese Raadsconclusies, 18 december 2025, </w:t>
      </w:r>
      <w:hyperlink r:id="rId1" w:history="1">
        <w:r w:rsidRPr="00E26EF7">
          <w:rPr>
            <w:sz w:val="16"/>
            <w:szCs w:val="16"/>
          </w:rPr>
          <w:t>nl-20251218-european-council-conclusions.pdf</w:t>
        </w:r>
      </w:hyperlink>
    </w:p>
  </w:footnote>
  <w:footnote w:id="5">
    <w:p w14:paraId="05378A79" w14:textId="77777777" w:rsidR="00BE1206" w:rsidRPr="00A91860" w:rsidRDefault="00BE1206" w:rsidP="00BE1206">
      <w:pPr>
        <w:pStyle w:val="FootnoteText"/>
      </w:pPr>
      <w:r w:rsidRPr="00F377FC">
        <w:rPr>
          <w:rStyle w:val="FootnoteReference"/>
          <w:sz w:val="18"/>
          <w:szCs w:val="18"/>
        </w:rPr>
        <w:footnoteRef/>
      </w:r>
      <w:r>
        <w:t xml:space="preserve"> </w:t>
      </w:r>
      <w:r w:rsidRPr="00E26EF7">
        <w:rPr>
          <w:sz w:val="16"/>
          <w:szCs w:val="16"/>
        </w:rPr>
        <w:t>Kamerstuk 32 623, nr. 352, en Kamerstuk 23 432, nr. 569.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4EC9" w14:textId="6EFAA8B4" w:rsidR="00171627" w:rsidRDefault="00126605">
    <w:r>
      <w:rPr>
        <w:noProof/>
      </w:rPr>
      <mc:AlternateContent>
        <mc:Choice Requires="wps">
          <w:drawing>
            <wp:anchor distT="0" distB="0" distL="0" distR="0" simplePos="0" relativeHeight="251658240" behindDoc="0" locked="1" layoutInCell="1" allowOverlap="1" wp14:anchorId="28314ECD" wp14:editId="71B998C3">
              <wp:simplePos x="0" y="0"/>
              <wp:positionH relativeFrom="page">
                <wp:posOffset>5924550</wp:posOffset>
              </wp:positionH>
              <wp:positionV relativeFrom="page">
                <wp:posOffset>1968500</wp:posOffset>
              </wp:positionV>
              <wp:extent cx="1536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36700" cy="8009890"/>
                      </a:xfrm>
                      <a:prstGeom prst="rect">
                        <a:avLst/>
                      </a:prstGeom>
                      <a:noFill/>
                    </wps:spPr>
                    <wps:txbx>
                      <w:txbxContent>
                        <w:p w14:paraId="28314EFD" w14:textId="77777777" w:rsidR="00171627" w:rsidRDefault="00126605">
                          <w:pPr>
                            <w:pStyle w:val="Referentiegegevensbold"/>
                          </w:pPr>
                          <w:r>
                            <w:t>Ministerie van Buitenlandse Zaken</w:t>
                          </w:r>
                        </w:p>
                        <w:p w14:paraId="28314EFE" w14:textId="77777777" w:rsidR="00171627" w:rsidRDefault="00171627">
                          <w:pPr>
                            <w:pStyle w:val="WitregelW2"/>
                          </w:pPr>
                        </w:p>
                        <w:p w14:paraId="28314EFF" w14:textId="77777777" w:rsidR="00171627" w:rsidRDefault="00126605">
                          <w:pPr>
                            <w:pStyle w:val="Referentiegegevensbold"/>
                          </w:pPr>
                          <w:r>
                            <w:t>Onze referentie</w:t>
                          </w:r>
                        </w:p>
                        <w:p w14:paraId="28314F00" w14:textId="77777777" w:rsidR="00171627" w:rsidRDefault="00126605">
                          <w:pPr>
                            <w:pStyle w:val="Referentiegegevens"/>
                          </w:pPr>
                          <w:r>
                            <w:t>BZ2624378</w:t>
                          </w:r>
                        </w:p>
                      </w:txbxContent>
                    </wps:txbx>
                    <wps:bodyPr vert="horz" wrap="square" lIns="0" tIns="0" rIns="0" bIns="0" anchor="t" anchorCtr="0"/>
                  </wps:wsp>
                </a:graphicData>
              </a:graphic>
              <wp14:sizeRelH relativeFrom="margin">
                <wp14:pctWidth>0</wp14:pctWidth>
              </wp14:sizeRelH>
            </wp:anchor>
          </w:drawing>
        </mc:Choice>
        <mc:Fallback>
          <w:pict>
            <v:shapetype w14:anchorId="28314ECD" id="_x0000_t202" coordsize="21600,21600" o:spt="202" path="m,l,21600r21600,l21600,xe">
              <v:stroke joinstyle="miter"/>
              <v:path gradientshapeok="t" o:connecttype="rect"/>
            </v:shapetype>
            <v:shape id="41b1110a-80a4-11ea-b356-6230a4311406" o:spid="_x0000_s1026" type="#_x0000_t202" style="position:absolute;margin-left:466.5pt;margin-top:155pt;width:12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" filled="f" stroked="f">
              <v:textbox inset="0,0,0,0">
                <w:txbxContent>
                  <w:p w14:paraId="28314EFD" w14:textId="77777777" w:rsidR="00171627" w:rsidRDefault="00126605">
                    <w:pPr>
                      <w:pStyle w:val="Referentiegegevensbold"/>
                    </w:pPr>
                    <w:r>
                      <w:t>Ministerie van Buitenlandse Zaken</w:t>
                    </w:r>
                  </w:p>
                  <w:p w14:paraId="28314EFE" w14:textId="77777777" w:rsidR="00171627" w:rsidRDefault="00171627">
                    <w:pPr>
                      <w:pStyle w:val="WitregelW2"/>
                    </w:pPr>
                  </w:p>
                  <w:p w14:paraId="28314EFF" w14:textId="77777777" w:rsidR="00171627" w:rsidRDefault="00126605">
                    <w:pPr>
                      <w:pStyle w:val="Referentiegegevensbold"/>
                    </w:pPr>
                    <w:r>
                      <w:t>Onze referentie</w:t>
                    </w:r>
                  </w:p>
                  <w:p w14:paraId="28314F00" w14:textId="77777777" w:rsidR="00171627" w:rsidRDefault="00126605">
                    <w:pPr>
                      <w:pStyle w:val="Referentiegegevens"/>
                    </w:pPr>
                    <w:r>
                      <w:t>BZ2624378</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8314ED1" wp14:editId="2126FF59">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314F0E" w14:textId="77777777" w:rsidR="00126605" w:rsidRDefault="00126605"/>
                      </w:txbxContent>
                    </wps:txbx>
                    <wps:bodyPr vert="horz" wrap="square" lIns="0" tIns="0" rIns="0" bIns="0" anchor="t" anchorCtr="0"/>
                  </wps:wsp>
                </a:graphicData>
              </a:graphic>
            </wp:anchor>
          </w:drawing>
        </mc:Choice>
        <mc:Fallback>
          <w:pict>
            <v:shape w14:anchorId="28314ED1" id="41b1115b-80a4-11ea-b356-6230a4311406"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8314F0E" w14:textId="77777777" w:rsidR="00126605" w:rsidRDefault="0012660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4ECB" w14:textId="415F428A" w:rsidR="00171627" w:rsidRDefault="00126605">
    <w:pPr>
      <w:spacing w:after="7131" w:line="14" w:lineRule="exact"/>
    </w:pPr>
    <w:r>
      <w:rPr>
        <w:noProof/>
      </w:rPr>
      <mc:AlternateContent>
        <mc:Choice Requires="wps">
          <w:drawing>
            <wp:anchor distT="0" distB="0" distL="0" distR="0" simplePos="0" relativeHeight="251658242" behindDoc="0" locked="1" layoutInCell="1" allowOverlap="1" wp14:anchorId="28314ED3" wp14:editId="28314ED4">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8314F02" w14:textId="77777777" w:rsidR="00126605" w:rsidRDefault="00126605"/>
                      </w:txbxContent>
                    </wps:txbx>
                    <wps:bodyPr vert="horz" wrap="square" lIns="0" tIns="0" rIns="0" bIns="0" anchor="t" anchorCtr="0"/>
                  </wps:wsp>
                </a:graphicData>
              </a:graphic>
            </wp:anchor>
          </w:drawing>
        </mc:Choice>
        <mc:Fallback>
          <w:pict>
            <v:shapetype w14:anchorId="28314ED3"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8314F02" w14:textId="77777777" w:rsidR="00126605" w:rsidRDefault="00126605"/>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28314ED5" wp14:editId="28314ED6">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314EE4" w14:textId="77777777" w:rsidR="00171627" w:rsidRDefault="00126605">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8314ED5" id="41b10c0b-80a4-11ea-b356-6230a4311406"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8314EE4" w14:textId="77777777" w:rsidR="00171627" w:rsidRDefault="00126605">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8314ED7" wp14:editId="28314ED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171627" w14:paraId="28314EE7" w14:textId="77777777">
                            <w:tc>
                              <w:tcPr>
                                <w:tcW w:w="678" w:type="dxa"/>
                              </w:tcPr>
                              <w:p w14:paraId="28314EE5" w14:textId="77777777" w:rsidR="00171627" w:rsidRDefault="00126605">
                                <w:r>
                                  <w:t>Datum</w:t>
                                </w:r>
                              </w:p>
                            </w:tc>
                            <w:tc>
                              <w:tcPr>
                                <w:tcW w:w="6851" w:type="dxa"/>
                              </w:tcPr>
                              <w:p w14:paraId="28314EE6" w14:textId="2F742622" w:rsidR="00171627" w:rsidRDefault="00595E98">
                                <w:r>
                                  <w:t xml:space="preserve">30 </w:t>
                                </w:r>
                                <w:r w:rsidR="00126605">
                                  <w:t>januari 2026</w:t>
                                </w:r>
                              </w:p>
                            </w:tc>
                          </w:tr>
                          <w:tr w:rsidR="00171627" w14:paraId="28314EEC" w14:textId="77777777">
                            <w:tc>
                              <w:tcPr>
                                <w:tcW w:w="678" w:type="dxa"/>
                              </w:tcPr>
                              <w:p w14:paraId="28314EE8" w14:textId="77777777" w:rsidR="00171627" w:rsidRDefault="00126605">
                                <w:r>
                                  <w:t>Betreft</w:t>
                                </w:r>
                              </w:p>
                              <w:p w14:paraId="28314EE9" w14:textId="77777777" w:rsidR="00171627" w:rsidRDefault="00171627"/>
                            </w:tc>
                            <w:tc>
                              <w:tcPr>
                                <w:tcW w:w="6851" w:type="dxa"/>
                              </w:tcPr>
                              <w:p w14:paraId="28314EEA" w14:textId="746A4768" w:rsidR="00171627" w:rsidRDefault="00126605">
                                <w:r>
                                  <w:t>Kamerbrief over de</w:t>
                                </w:r>
                                <w:r w:rsidR="00BD2F21">
                                  <w:t xml:space="preserve"> </w:t>
                                </w:r>
                                <w:r w:rsidR="000D5FA4">
                                  <w:t xml:space="preserve">stand van zaken omtrent de </w:t>
                                </w:r>
                                <w:r w:rsidR="008E5CB8">
                                  <w:t xml:space="preserve">medische capaciteit in </w:t>
                                </w:r>
                                <w:r w:rsidR="002F3B5A">
                                  <w:t xml:space="preserve">de </w:t>
                                </w:r>
                                <w:r w:rsidR="008E5CB8">
                                  <w:t>Gaza</w:t>
                                </w:r>
                                <w:r w:rsidR="002F3B5A">
                                  <w:t>strook</w:t>
                                </w:r>
                                <w:r w:rsidR="008E5CB8">
                                  <w:t xml:space="preserve"> en de regio</w:t>
                                </w:r>
                              </w:p>
                              <w:p w14:paraId="28314EEB" w14:textId="77777777" w:rsidR="00171627" w:rsidRDefault="00171627"/>
                            </w:tc>
                          </w:tr>
                        </w:tbl>
                        <w:p w14:paraId="28314EED" w14:textId="77777777" w:rsidR="00171627" w:rsidRDefault="00171627"/>
                        <w:p w14:paraId="28314EEE" w14:textId="77777777" w:rsidR="00171627" w:rsidRDefault="00171627"/>
                      </w:txbxContent>
                    </wps:txbx>
                    <wps:bodyPr vert="horz" wrap="square" lIns="0" tIns="0" rIns="0" bIns="0" anchor="t" anchorCtr="0"/>
                  </wps:wsp>
                </a:graphicData>
              </a:graphic>
            </wp:anchor>
          </w:drawing>
        </mc:Choice>
        <mc:Fallback>
          <w:pict>
            <v:shape w14:anchorId="28314ED7" id="41b10c7e-80a4-11ea-b356-6230a431140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171627" w14:paraId="28314EE7" w14:textId="77777777">
                      <w:tc>
                        <w:tcPr>
                          <w:tcW w:w="678" w:type="dxa"/>
                        </w:tcPr>
                        <w:p w14:paraId="28314EE5" w14:textId="77777777" w:rsidR="00171627" w:rsidRDefault="00126605">
                          <w:r>
                            <w:t>Datum</w:t>
                          </w:r>
                        </w:p>
                      </w:tc>
                      <w:tc>
                        <w:tcPr>
                          <w:tcW w:w="6851" w:type="dxa"/>
                        </w:tcPr>
                        <w:p w14:paraId="28314EE6" w14:textId="2F742622" w:rsidR="00171627" w:rsidRDefault="00595E98">
                          <w:r>
                            <w:t xml:space="preserve">30 </w:t>
                          </w:r>
                          <w:r w:rsidR="00126605">
                            <w:t>januari 2026</w:t>
                          </w:r>
                        </w:p>
                      </w:tc>
                    </w:tr>
                    <w:tr w:rsidR="00171627" w14:paraId="28314EEC" w14:textId="77777777">
                      <w:tc>
                        <w:tcPr>
                          <w:tcW w:w="678" w:type="dxa"/>
                        </w:tcPr>
                        <w:p w14:paraId="28314EE8" w14:textId="77777777" w:rsidR="00171627" w:rsidRDefault="00126605">
                          <w:r>
                            <w:t>Betreft</w:t>
                          </w:r>
                        </w:p>
                        <w:p w14:paraId="28314EE9" w14:textId="77777777" w:rsidR="00171627" w:rsidRDefault="00171627"/>
                      </w:tc>
                      <w:tc>
                        <w:tcPr>
                          <w:tcW w:w="6851" w:type="dxa"/>
                        </w:tcPr>
                        <w:p w14:paraId="28314EEA" w14:textId="746A4768" w:rsidR="00171627" w:rsidRDefault="00126605">
                          <w:r>
                            <w:t>Kamerbrief over de</w:t>
                          </w:r>
                          <w:r w:rsidR="00BD2F21">
                            <w:t xml:space="preserve"> </w:t>
                          </w:r>
                          <w:r w:rsidR="000D5FA4">
                            <w:t xml:space="preserve">stand van zaken omtrent de </w:t>
                          </w:r>
                          <w:r w:rsidR="008E5CB8">
                            <w:t xml:space="preserve">medische capaciteit in </w:t>
                          </w:r>
                          <w:r w:rsidR="002F3B5A">
                            <w:t xml:space="preserve">de </w:t>
                          </w:r>
                          <w:r w:rsidR="008E5CB8">
                            <w:t>Gaza</w:t>
                          </w:r>
                          <w:r w:rsidR="002F3B5A">
                            <w:t>strook</w:t>
                          </w:r>
                          <w:r w:rsidR="008E5CB8">
                            <w:t xml:space="preserve"> en de regio</w:t>
                          </w:r>
                        </w:p>
                        <w:p w14:paraId="28314EEB" w14:textId="77777777" w:rsidR="00171627" w:rsidRDefault="00171627"/>
                      </w:tc>
                    </w:tr>
                  </w:tbl>
                  <w:p w14:paraId="28314EED" w14:textId="77777777" w:rsidR="00171627" w:rsidRDefault="00171627"/>
                  <w:p w14:paraId="28314EEE" w14:textId="77777777" w:rsidR="00171627" w:rsidRDefault="0017162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8314ED9" wp14:editId="460647E6">
              <wp:simplePos x="0" y="0"/>
              <wp:positionH relativeFrom="page">
                <wp:posOffset>5924550</wp:posOffset>
              </wp:positionH>
              <wp:positionV relativeFrom="page">
                <wp:posOffset>1968500</wp:posOffset>
              </wp:positionV>
              <wp:extent cx="13589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8801FAA" w14:textId="77777777" w:rsidR="00BD2F21" w:rsidRPr="00F51C07" w:rsidRDefault="00BD2F21" w:rsidP="00BD2F21">
                              <w:pPr>
                                <w:rPr>
                                  <w:b/>
                                  <w:sz w:val="13"/>
                                  <w:szCs w:val="13"/>
                                </w:rPr>
                              </w:pPr>
                              <w:r w:rsidRPr="00FC13FA">
                                <w:rPr>
                                  <w:b/>
                                  <w:sz w:val="13"/>
                                  <w:szCs w:val="13"/>
                                </w:rPr>
                                <w:t>Ministerie van Buitenlandse Zaken</w:t>
                              </w:r>
                            </w:p>
                          </w:sdtContent>
                        </w:sdt>
                        <w:p w14:paraId="764BA80D" w14:textId="77777777" w:rsidR="00BD2F21" w:rsidRPr="00EE5E5D" w:rsidRDefault="00BD2F21" w:rsidP="00BD2F21">
                          <w:pPr>
                            <w:rPr>
                              <w:sz w:val="13"/>
                              <w:szCs w:val="13"/>
                            </w:rPr>
                          </w:pPr>
                          <w:r>
                            <w:rPr>
                              <w:sz w:val="13"/>
                              <w:szCs w:val="13"/>
                            </w:rPr>
                            <w:t>Rijnstraat 8</w:t>
                          </w:r>
                        </w:p>
                        <w:p w14:paraId="4F7AFF1F" w14:textId="77777777" w:rsidR="00BD2F21" w:rsidRPr="0059764A" w:rsidRDefault="00BD2F21" w:rsidP="00BD2F21">
                          <w:pPr>
                            <w:rPr>
                              <w:sz w:val="13"/>
                              <w:szCs w:val="13"/>
                              <w:lang w:val="da-DK"/>
                            </w:rPr>
                          </w:pPr>
                          <w:r w:rsidRPr="0059764A">
                            <w:rPr>
                              <w:sz w:val="13"/>
                              <w:szCs w:val="13"/>
                              <w:lang w:val="da-DK"/>
                            </w:rPr>
                            <w:t>2515 XP Den Haag</w:t>
                          </w:r>
                        </w:p>
                        <w:p w14:paraId="3C9A209A" w14:textId="77777777" w:rsidR="00BD2F21" w:rsidRPr="0059764A" w:rsidRDefault="00BD2F21" w:rsidP="00BD2F21">
                          <w:pPr>
                            <w:rPr>
                              <w:sz w:val="13"/>
                              <w:szCs w:val="13"/>
                              <w:lang w:val="da-DK"/>
                            </w:rPr>
                          </w:pPr>
                          <w:r w:rsidRPr="0059764A">
                            <w:rPr>
                              <w:sz w:val="13"/>
                              <w:szCs w:val="13"/>
                              <w:lang w:val="da-DK"/>
                            </w:rPr>
                            <w:t>Postbus 20061</w:t>
                          </w:r>
                        </w:p>
                        <w:p w14:paraId="7FE193B3" w14:textId="77777777" w:rsidR="00BD2F21" w:rsidRDefault="00BD2F21" w:rsidP="00BD2F21">
                          <w:pPr>
                            <w:rPr>
                              <w:sz w:val="13"/>
                              <w:szCs w:val="13"/>
                              <w:lang w:val="da-DK"/>
                            </w:rPr>
                          </w:pPr>
                          <w:r w:rsidRPr="0059764A">
                            <w:rPr>
                              <w:sz w:val="13"/>
                              <w:szCs w:val="13"/>
                              <w:lang w:val="da-DK"/>
                            </w:rPr>
                            <w:t>Nederland</w:t>
                          </w:r>
                        </w:p>
                        <w:p w14:paraId="19CD47CB" w14:textId="77777777" w:rsidR="00BD2F21" w:rsidRPr="0059764A" w:rsidRDefault="00BD2F21" w:rsidP="00BD2F21">
                          <w:pPr>
                            <w:rPr>
                              <w:sz w:val="13"/>
                              <w:szCs w:val="13"/>
                              <w:lang w:val="da-DK"/>
                            </w:rPr>
                          </w:pPr>
                        </w:p>
                        <w:p w14:paraId="28314EF3" w14:textId="77777777" w:rsidR="00171627" w:rsidRPr="007409D9" w:rsidRDefault="00126605">
                          <w:pPr>
                            <w:pStyle w:val="Referentiegegevens"/>
                            <w:rPr>
                              <w:lang w:val="da-DK"/>
                            </w:rPr>
                          </w:pPr>
                          <w:r w:rsidRPr="007409D9">
                            <w:rPr>
                              <w:lang w:val="da-DK"/>
                            </w:rPr>
                            <w:t>www.minbuza.nl</w:t>
                          </w:r>
                        </w:p>
                        <w:p w14:paraId="28314EF4" w14:textId="77777777" w:rsidR="00171627" w:rsidRPr="007409D9" w:rsidRDefault="00171627">
                          <w:pPr>
                            <w:pStyle w:val="WitregelW2"/>
                            <w:rPr>
                              <w:lang w:val="da-DK"/>
                            </w:rPr>
                          </w:pPr>
                        </w:p>
                        <w:p w14:paraId="28314EF5" w14:textId="77777777" w:rsidR="00171627" w:rsidRPr="007409D9" w:rsidRDefault="00126605">
                          <w:pPr>
                            <w:pStyle w:val="Referentiegegevensbold"/>
                          </w:pPr>
                          <w:r w:rsidRPr="007409D9">
                            <w:t>Onze referentie</w:t>
                          </w:r>
                        </w:p>
                        <w:p w14:paraId="28314EF6" w14:textId="77777777" w:rsidR="00171627" w:rsidRPr="007409D9" w:rsidRDefault="00126605">
                          <w:pPr>
                            <w:pStyle w:val="Referentiegegevens"/>
                          </w:pPr>
                          <w:r w:rsidRPr="007409D9">
                            <w:t>BZ2624378</w:t>
                          </w:r>
                        </w:p>
                        <w:p w14:paraId="28314EF7" w14:textId="77777777" w:rsidR="00171627" w:rsidRPr="007409D9" w:rsidRDefault="00171627">
                          <w:pPr>
                            <w:pStyle w:val="WitregelW1"/>
                          </w:pPr>
                        </w:p>
                        <w:p w14:paraId="28314EF8" w14:textId="77777777" w:rsidR="00171627" w:rsidRDefault="00126605">
                          <w:pPr>
                            <w:pStyle w:val="Referentiegegevensbold"/>
                          </w:pPr>
                          <w:r>
                            <w:t>Bijlage(n)</w:t>
                          </w:r>
                        </w:p>
                        <w:p w14:paraId="28314EF9" w14:textId="77777777" w:rsidR="00171627" w:rsidRDefault="00126605">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8314ED9" id="41b10cd4-80a4-11ea-b356-6230a4311406" o:spid="_x0000_s1031" type="#_x0000_t202" style="position:absolute;margin-left:466.5pt;margin-top:155pt;width:107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8801FAA" w14:textId="77777777" w:rsidR="00BD2F21" w:rsidRPr="00F51C07" w:rsidRDefault="00BD2F21" w:rsidP="00BD2F21">
                        <w:pPr>
                          <w:rPr>
                            <w:b/>
                            <w:sz w:val="13"/>
                            <w:szCs w:val="13"/>
                          </w:rPr>
                        </w:pPr>
                        <w:r w:rsidRPr="00FC13FA">
                          <w:rPr>
                            <w:b/>
                            <w:sz w:val="13"/>
                            <w:szCs w:val="13"/>
                          </w:rPr>
                          <w:t>Ministerie van Buitenlandse Zaken</w:t>
                        </w:r>
                      </w:p>
                    </w:sdtContent>
                  </w:sdt>
                  <w:p w14:paraId="764BA80D" w14:textId="77777777" w:rsidR="00BD2F21" w:rsidRPr="00EE5E5D" w:rsidRDefault="00BD2F21" w:rsidP="00BD2F21">
                    <w:pPr>
                      <w:rPr>
                        <w:sz w:val="13"/>
                        <w:szCs w:val="13"/>
                      </w:rPr>
                    </w:pPr>
                    <w:r>
                      <w:rPr>
                        <w:sz w:val="13"/>
                        <w:szCs w:val="13"/>
                      </w:rPr>
                      <w:t>Rijnstraat 8</w:t>
                    </w:r>
                  </w:p>
                  <w:p w14:paraId="4F7AFF1F" w14:textId="77777777" w:rsidR="00BD2F21" w:rsidRPr="0059764A" w:rsidRDefault="00BD2F21" w:rsidP="00BD2F21">
                    <w:pPr>
                      <w:rPr>
                        <w:sz w:val="13"/>
                        <w:szCs w:val="13"/>
                        <w:lang w:val="da-DK"/>
                      </w:rPr>
                    </w:pPr>
                    <w:r w:rsidRPr="0059764A">
                      <w:rPr>
                        <w:sz w:val="13"/>
                        <w:szCs w:val="13"/>
                        <w:lang w:val="da-DK"/>
                      </w:rPr>
                      <w:t>2515 XP Den Haag</w:t>
                    </w:r>
                  </w:p>
                  <w:p w14:paraId="3C9A209A" w14:textId="77777777" w:rsidR="00BD2F21" w:rsidRPr="0059764A" w:rsidRDefault="00BD2F21" w:rsidP="00BD2F21">
                    <w:pPr>
                      <w:rPr>
                        <w:sz w:val="13"/>
                        <w:szCs w:val="13"/>
                        <w:lang w:val="da-DK"/>
                      </w:rPr>
                    </w:pPr>
                    <w:r w:rsidRPr="0059764A">
                      <w:rPr>
                        <w:sz w:val="13"/>
                        <w:szCs w:val="13"/>
                        <w:lang w:val="da-DK"/>
                      </w:rPr>
                      <w:t>Postbus 20061</w:t>
                    </w:r>
                  </w:p>
                  <w:p w14:paraId="7FE193B3" w14:textId="77777777" w:rsidR="00BD2F21" w:rsidRDefault="00BD2F21" w:rsidP="00BD2F21">
                    <w:pPr>
                      <w:rPr>
                        <w:sz w:val="13"/>
                        <w:szCs w:val="13"/>
                        <w:lang w:val="da-DK"/>
                      </w:rPr>
                    </w:pPr>
                    <w:r w:rsidRPr="0059764A">
                      <w:rPr>
                        <w:sz w:val="13"/>
                        <w:szCs w:val="13"/>
                        <w:lang w:val="da-DK"/>
                      </w:rPr>
                      <w:t>Nederland</w:t>
                    </w:r>
                  </w:p>
                  <w:p w14:paraId="19CD47CB" w14:textId="77777777" w:rsidR="00BD2F21" w:rsidRPr="0059764A" w:rsidRDefault="00BD2F21" w:rsidP="00BD2F21">
                    <w:pPr>
                      <w:rPr>
                        <w:sz w:val="13"/>
                        <w:szCs w:val="13"/>
                        <w:lang w:val="da-DK"/>
                      </w:rPr>
                    </w:pPr>
                  </w:p>
                  <w:p w14:paraId="28314EF3" w14:textId="77777777" w:rsidR="00171627" w:rsidRPr="007409D9" w:rsidRDefault="00126605">
                    <w:pPr>
                      <w:pStyle w:val="Referentiegegevens"/>
                      <w:rPr>
                        <w:lang w:val="da-DK"/>
                      </w:rPr>
                    </w:pPr>
                    <w:r w:rsidRPr="007409D9">
                      <w:rPr>
                        <w:lang w:val="da-DK"/>
                      </w:rPr>
                      <w:t>www.minbuza.nl</w:t>
                    </w:r>
                  </w:p>
                  <w:p w14:paraId="28314EF4" w14:textId="77777777" w:rsidR="00171627" w:rsidRPr="007409D9" w:rsidRDefault="00171627">
                    <w:pPr>
                      <w:pStyle w:val="WitregelW2"/>
                      <w:rPr>
                        <w:lang w:val="da-DK"/>
                      </w:rPr>
                    </w:pPr>
                  </w:p>
                  <w:p w14:paraId="28314EF5" w14:textId="77777777" w:rsidR="00171627" w:rsidRPr="007409D9" w:rsidRDefault="00126605">
                    <w:pPr>
                      <w:pStyle w:val="Referentiegegevensbold"/>
                    </w:pPr>
                    <w:r w:rsidRPr="007409D9">
                      <w:t>Onze referentie</w:t>
                    </w:r>
                  </w:p>
                  <w:p w14:paraId="28314EF6" w14:textId="77777777" w:rsidR="00171627" w:rsidRPr="007409D9" w:rsidRDefault="00126605">
                    <w:pPr>
                      <w:pStyle w:val="Referentiegegevens"/>
                    </w:pPr>
                    <w:r w:rsidRPr="007409D9">
                      <w:t>BZ2624378</w:t>
                    </w:r>
                  </w:p>
                  <w:p w14:paraId="28314EF7" w14:textId="77777777" w:rsidR="00171627" w:rsidRPr="007409D9" w:rsidRDefault="00171627">
                    <w:pPr>
                      <w:pStyle w:val="WitregelW1"/>
                    </w:pPr>
                  </w:p>
                  <w:p w14:paraId="28314EF8" w14:textId="77777777" w:rsidR="00171627" w:rsidRDefault="00126605">
                    <w:pPr>
                      <w:pStyle w:val="Referentiegegevensbold"/>
                    </w:pPr>
                    <w:r>
                      <w:t>Bijlage(n)</w:t>
                    </w:r>
                  </w:p>
                  <w:p w14:paraId="28314EF9" w14:textId="77777777" w:rsidR="00171627" w:rsidRDefault="00126605">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8314EDD" wp14:editId="7E88747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8314F08" w14:textId="77777777" w:rsidR="00126605" w:rsidRDefault="00126605"/>
                      </w:txbxContent>
                    </wps:txbx>
                    <wps:bodyPr vert="horz" wrap="square" lIns="0" tIns="0" rIns="0" bIns="0" anchor="t" anchorCtr="0"/>
                  </wps:wsp>
                </a:graphicData>
              </a:graphic>
            </wp:anchor>
          </w:drawing>
        </mc:Choice>
        <mc:Fallback>
          <w:pict>
            <v:shape w14:anchorId="28314EDD" id="41b10d73-80a4-11ea-b356-6230a4311406"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8314F08" w14:textId="77777777" w:rsidR="00126605" w:rsidRDefault="00126605"/>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28314EDF" wp14:editId="28314EE0">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8314EFB" w14:textId="77777777" w:rsidR="00171627" w:rsidRDefault="00126605">
                          <w:pPr>
                            <w:spacing w:line="240" w:lineRule="auto"/>
                          </w:pPr>
                          <w:r>
                            <w:rPr>
                              <w:noProof/>
                            </w:rPr>
                            <w:drawing>
                              <wp:inline distT="0" distB="0" distL="0" distR="0" wp14:anchorId="3DFDAFDC" wp14:editId="28314F0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314EDF" id="41b10dc3-80a4-11ea-b356-6230a4311406"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8314EFB" w14:textId="77777777" w:rsidR="00171627" w:rsidRDefault="00126605">
                    <w:pPr>
                      <w:spacing w:line="240" w:lineRule="auto"/>
                    </w:pPr>
                    <w:r>
                      <w:rPr>
                        <w:noProof/>
                      </w:rPr>
                      <w:drawing>
                        <wp:inline distT="0" distB="0" distL="0" distR="0" wp14:anchorId="3DFDAFDC" wp14:editId="28314F03">
                          <wp:extent cx="467995" cy="1583865"/>
                          <wp:effectExtent l="0" t="0" r="0" b="0"/>
                          <wp:docPr id="1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8314EE1" wp14:editId="28314EE2">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314EFC" w14:textId="77777777" w:rsidR="00171627" w:rsidRDefault="00126605">
                          <w:pPr>
                            <w:spacing w:line="240" w:lineRule="auto"/>
                          </w:pPr>
                          <w:r>
                            <w:rPr>
                              <w:noProof/>
                            </w:rPr>
                            <w:drawing>
                              <wp:inline distT="0" distB="0" distL="0" distR="0" wp14:anchorId="28314F04" wp14:editId="28314F0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314EE1" id="41b10edc-80a4-11ea-b356-6230a4311406"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8314EFC" w14:textId="77777777" w:rsidR="00171627" w:rsidRDefault="00126605">
                    <w:pPr>
                      <w:spacing w:line="240" w:lineRule="auto"/>
                    </w:pPr>
                    <w:r>
                      <w:rPr>
                        <w:noProof/>
                      </w:rPr>
                      <w:drawing>
                        <wp:inline distT="0" distB="0" distL="0" distR="0" wp14:anchorId="28314F04" wp14:editId="28314F05">
                          <wp:extent cx="2339975" cy="1582834"/>
                          <wp:effectExtent l="0" t="0" r="0" b="0"/>
                          <wp:docPr id="13"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7C050"/>
    <w:multiLevelType w:val="multilevel"/>
    <w:tmpl w:val="8CDBE81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0D12E40"/>
    <w:multiLevelType w:val="multilevel"/>
    <w:tmpl w:val="AC20227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F0EE39C"/>
    <w:multiLevelType w:val="multilevel"/>
    <w:tmpl w:val="15B9FD42"/>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599374C"/>
    <w:multiLevelType w:val="multilevel"/>
    <w:tmpl w:val="541B21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EBC1E64"/>
    <w:multiLevelType w:val="multilevel"/>
    <w:tmpl w:val="2CC02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8445FD"/>
    <w:multiLevelType w:val="hybridMultilevel"/>
    <w:tmpl w:val="95B8288C"/>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6" w15:restartNumberingAfterBreak="0">
    <w:nsid w:val="4C0F2871"/>
    <w:multiLevelType w:val="hybridMultilevel"/>
    <w:tmpl w:val="80165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EB9CC5"/>
    <w:multiLevelType w:val="multilevel"/>
    <w:tmpl w:val="7E68F8BD"/>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8" w15:restartNumberingAfterBreak="0">
    <w:nsid w:val="53F64AC4"/>
    <w:multiLevelType w:val="hybridMultilevel"/>
    <w:tmpl w:val="1130A9D4"/>
    <w:lvl w:ilvl="0" w:tplc="B7001432">
      <w:start w:val="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5736E3"/>
    <w:multiLevelType w:val="hybridMultilevel"/>
    <w:tmpl w:val="AE487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1608963">
    <w:abstractNumId w:val="7"/>
  </w:num>
  <w:num w:numId="2" w16cid:durableId="1352414715">
    <w:abstractNumId w:val="1"/>
  </w:num>
  <w:num w:numId="3" w16cid:durableId="1078746090">
    <w:abstractNumId w:val="3"/>
  </w:num>
  <w:num w:numId="4" w16cid:durableId="2031910428">
    <w:abstractNumId w:val="2"/>
  </w:num>
  <w:num w:numId="5" w16cid:durableId="849880726">
    <w:abstractNumId w:val="0"/>
  </w:num>
  <w:num w:numId="6" w16cid:durableId="889347443">
    <w:abstractNumId w:val="6"/>
  </w:num>
  <w:num w:numId="7" w16cid:durableId="1260408941">
    <w:abstractNumId w:val="5"/>
  </w:num>
  <w:num w:numId="8" w16cid:durableId="18048425">
    <w:abstractNumId w:val="4"/>
  </w:num>
  <w:num w:numId="9" w16cid:durableId="1726105010">
    <w:abstractNumId w:val="9"/>
  </w:num>
  <w:num w:numId="10" w16cid:durableId="389424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27"/>
    <w:rsid w:val="00002DF5"/>
    <w:rsid w:val="00003AD5"/>
    <w:rsid w:val="00004D36"/>
    <w:rsid w:val="00005CD6"/>
    <w:rsid w:val="00010697"/>
    <w:rsid w:val="0001375A"/>
    <w:rsid w:val="00013D33"/>
    <w:rsid w:val="0001513C"/>
    <w:rsid w:val="00015738"/>
    <w:rsid w:val="0001724C"/>
    <w:rsid w:val="00020A6E"/>
    <w:rsid w:val="00025236"/>
    <w:rsid w:val="000305A0"/>
    <w:rsid w:val="00033B25"/>
    <w:rsid w:val="00034A7D"/>
    <w:rsid w:val="00034E74"/>
    <w:rsid w:val="00035039"/>
    <w:rsid w:val="00035F37"/>
    <w:rsid w:val="00037362"/>
    <w:rsid w:val="000377AF"/>
    <w:rsid w:val="000410DA"/>
    <w:rsid w:val="0004574D"/>
    <w:rsid w:val="00045F0D"/>
    <w:rsid w:val="00047329"/>
    <w:rsid w:val="00047F4A"/>
    <w:rsid w:val="00054998"/>
    <w:rsid w:val="00056DFF"/>
    <w:rsid w:val="00057D31"/>
    <w:rsid w:val="000610AD"/>
    <w:rsid w:val="000617E5"/>
    <w:rsid w:val="00062239"/>
    <w:rsid w:val="000644BD"/>
    <w:rsid w:val="00064BED"/>
    <w:rsid w:val="00067335"/>
    <w:rsid w:val="0006741D"/>
    <w:rsid w:val="00067755"/>
    <w:rsid w:val="00067D59"/>
    <w:rsid w:val="0007093F"/>
    <w:rsid w:val="00073528"/>
    <w:rsid w:val="000735C9"/>
    <w:rsid w:val="000803F2"/>
    <w:rsid w:val="00080DC3"/>
    <w:rsid w:val="000811D9"/>
    <w:rsid w:val="000822B5"/>
    <w:rsid w:val="00082C66"/>
    <w:rsid w:val="00083BF6"/>
    <w:rsid w:val="00084D47"/>
    <w:rsid w:val="00085110"/>
    <w:rsid w:val="00085BA6"/>
    <w:rsid w:val="00090041"/>
    <w:rsid w:val="00090225"/>
    <w:rsid w:val="00090E5B"/>
    <w:rsid w:val="0009413B"/>
    <w:rsid w:val="0009543A"/>
    <w:rsid w:val="000A0C96"/>
    <w:rsid w:val="000A3F68"/>
    <w:rsid w:val="000A5B02"/>
    <w:rsid w:val="000A71F2"/>
    <w:rsid w:val="000B4BCF"/>
    <w:rsid w:val="000B60D6"/>
    <w:rsid w:val="000B612F"/>
    <w:rsid w:val="000B6A41"/>
    <w:rsid w:val="000B79DA"/>
    <w:rsid w:val="000C100B"/>
    <w:rsid w:val="000C1A30"/>
    <w:rsid w:val="000C3050"/>
    <w:rsid w:val="000C4952"/>
    <w:rsid w:val="000C4DAB"/>
    <w:rsid w:val="000C6325"/>
    <w:rsid w:val="000C6EBA"/>
    <w:rsid w:val="000D1CB6"/>
    <w:rsid w:val="000D1CDB"/>
    <w:rsid w:val="000D3E1F"/>
    <w:rsid w:val="000D411B"/>
    <w:rsid w:val="000D5FA4"/>
    <w:rsid w:val="000D67AF"/>
    <w:rsid w:val="000E21A3"/>
    <w:rsid w:val="000E3D7E"/>
    <w:rsid w:val="000F2322"/>
    <w:rsid w:val="000F31FA"/>
    <w:rsid w:val="000F7D16"/>
    <w:rsid w:val="000F7E2C"/>
    <w:rsid w:val="00103900"/>
    <w:rsid w:val="00103D9F"/>
    <w:rsid w:val="00104328"/>
    <w:rsid w:val="00106AFF"/>
    <w:rsid w:val="00106BB1"/>
    <w:rsid w:val="00107CD7"/>
    <w:rsid w:val="00110EB0"/>
    <w:rsid w:val="00113537"/>
    <w:rsid w:val="0011695E"/>
    <w:rsid w:val="0011728B"/>
    <w:rsid w:val="00117BD3"/>
    <w:rsid w:val="00121FFC"/>
    <w:rsid w:val="00122106"/>
    <w:rsid w:val="00124EB7"/>
    <w:rsid w:val="00126605"/>
    <w:rsid w:val="00126952"/>
    <w:rsid w:val="0012756C"/>
    <w:rsid w:val="001277D3"/>
    <w:rsid w:val="001306E1"/>
    <w:rsid w:val="00133D1C"/>
    <w:rsid w:val="00135639"/>
    <w:rsid w:val="00140EA0"/>
    <w:rsid w:val="00141993"/>
    <w:rsid w:val="001426D8"/>
    <w:rsid w:val="00152023"/>
    <w:rsid w:val="0015220F"/>
    <w:rsid w:val="00152D90"/>
    <w:rsid w:val="001538AD"/>
    <w:rsid w:val="00155211"/>
    <w:rsid w:val="00160D7B"/>
    <w:rsid w:val="00160DDB"/>
    <w:rsid w:val="001622C4"/>
    <w:rsid w:val="0016558B"/>
    <w:rsid w:val="001655BA"/>
    <w:rsid w:val="001660AC"/>
    <w:rsid w:val="00166A49"/>
    <w:rsid w:val="001700BD"/>
    <w:rsid w:val="00171627"/>
    <w:rsid w:val="00174092"/>
    <w:rsid w:val="0018107D"/>
    <w:rsid w:val="00181EA5"/>
    <w:rsid w:val="00183BA5"/>
    <w:rsid w:val="001857F5"/>
    <w:rsid w:val="0018653A"/>
    <w:rsid w:val="0018728B"/>
    <w:rsid w:val="0018770F"/>
    <w:rsid w:val="00187A2D"/>
    <w:rsid w:val="00187AC9"/>
    <w:rsid w:val="00191AA9"/>
    <w:rsid w:val="00191C18"/>
    <w:rsid w:val="001930DE"/>
    <w:rsid w:val="00193A11"/>
    <w:rsid w:val="00193AC5"/>
    <w:rsid w:val="001954B3"/>
    <w:rsid w:val="00195518"/>
    <w:rsid w:val="00195A65"/>
    <w:rsid w:val="001967A8"/>
    <w:rsid w:val="00196944"/>
    <w:rsid w:val="001A108C"/>
    <w:rsid w:val="001A63C6"/>
    <w:rsid w:val="001A7BC5"/>
    <w:rsid w:val="001B178B"/>
    <w:rsid w:val="001B2FEF"/>
    <w:rsid w:val="001B39F3"/>
    <w:rsid w:val="001B7021"/>
    <w:rsid w:val="001B7F4E"/>
    <w:rsid w:val="001C069E"/>
    <w:rsid w:val="001C328E"/>
    <w:rsid w:val="001D0E6F"/>
    <w:rsid w:val="001D1F3F"/>
    <w:rsid w:val="001D708D"/>
    <w:rsid w:val="001E2817"/>
    <w:rsid w:val="001E3A9E"/>
    <w:rsid w:val="001E51BC"/>
    <w:rsid w:val="001F122C"/>
    <w:rsid w:val="001F2CE5"/>
    <w:rsid w:val="001F304B"/>
    <w:rsid w:val="0020141F"/>
    <w:rsid w:val="0020152C"/>
    <w:rsid w:val="00204E7B"/>
    <w:rsid w:val="00206071"/>
    <w:rsid w:val="002060CF"/>
    <w:rsid w:val="00207434"/>
    <w:rsid w:val="00210926"/>
    <w:rsid w:val="00211E95"/>
    <w:rsid w:val="00212D63"/>
    <w:rsid w:val="00217D78"/>
    <w:rsid w:val="00220C79"/>
    <w:rsid w:val="00223487"/>
    <w:rsid w:val="00223C9B"/>
    <w:rsid w:val="00224A6E"/>
    <w:rsid w:val="00227B72"/>
    <w:rsid w:val="0023013A"/>
    <w:rsid w:val="0023145A"/>
    <w:rsid w:val="002328F8"/>
    <w:rsid w:val="00232964"/>
    <w:rsid w:val="00232A16"/>
    <w:rsid w:val="002331A7"/>
    <w:rsid w:val="0023358F"/>
    <w:rsid w:val="0023576A"/>
    <w:rsid w:val="00236CA1"/>
    <w:rsid w:val="00237046"/>
    <w:rsid w:val="00240B04"/>
    <w:rsid w:val="0024134A"/>
    <w:rsid w:val="00242BB0"/>
    <w:rsid w:val="002516F8"/>
    <w:rsid w:val="0025290E"/>
    <w:rsid w:val="00253DEF"/>
    <w:rsid w:val="002651B6"/>
    <w:rsid w:val="0026768D"/>
    <w:rsid w:val="002744EB"/>
    <w:rsid w:val="00275F29"/>
    <w:rsid w:val="00277577"/>
    <w:rsid w:val="00280517"/>
    <w:rsid w:val="00280BE2"/>
    <w:rsid w:val="00282A81"/>
    <w:rsid w:val="00285787"/>
    <w:rsid w:val="002950E0"/>
    <w:rsid w:val="002A5DFC"/>
    <w:rsid w:val="002A6B08"/>
    <w:rsid w:val="002A7E01"/>
    <w:rsid w:val="002B0CB0"/>
    <w:rsid w:val="002B1E6D"/>
    <w:rsid w:val="002B4BB6"/>
    <w:rsid w:val="002B5223"/>
    <w:rsid w:val="002B5A19"/>
    <w:rsid w:val="002B5D54"/>
    <w:rsid w:val="002B71F5"/>
    <w:rsid w:val="002B792A"/>
    <w:rsid w:val="002C0B9A"/>
    <w:rsid w:val="002D0211"/>
    <w:rsid w:val="002D361B"/>
    <w:rsid w:val="002D44E9"/>
    <w:rsid w:val="002D45A9"/>
    <w:rsid w:val="002D6DC6"/>
    <w:rsid w:val="002E06D8"/>
    <w:rsid w:val="002E07C6"/>
    <w:rsid w:val="002E1BA4"/>
    <w:rsid w:val="002E3D97"/>
    <w:rsid w:val="002E5F59"/>
    <w:rsid w:val="002E6AFC"/>
    <w:rsid w:val="002F0767"/>
    <w:rsid w:val="002F37EF"/>
    <w:rsid w:val="002F3B5A"/>
    <w:rsid w:val="002F3DB7"/>
    <w:rsid w:val="002F6F22"/>
    <w:rsid w:val="00305D5E"/>
    <w:rsid w:val="003111C8"/>
    <w:rsid w:val="00313B81"/>
    <w:rsid w:val="003168E4"/>
    <w:rsid w:val="003169F0"/>
    <w:rsid w:val="00317D3F"/>
    <w:rsid w:val="003202D0"/>
    <w:rsid w:val="003209F7"/>
    <w:rsid w:val="00323E6D"/>
    <w:rsid w:val="00327362"/>
    <w:rsid w:val="00333489"/>
    <w:rsid w:val="0033501F"/>
    <w:rsid w:val="003357F9"/>
    <w:rsid w:val="00342100"/>
    <w:rsid w:val="003435D1"/>
    <w:rsid w:val="00345DE2"/>
    <w:rsid w:val="00346185"/>
    <w:rsid w:val="003510F7"/>
    <w:rsid w:val="00355AE3"/>
    <w:rsid w:val="00355BF3"/>
    <w:rsid w:val="00356366"/>
    <w:rsid w:val="0035769E"/>
    <w:rsid w:val="003579D3"/>
    <w:rsid w:val="00360E04"/>
    <w:rsid w:val="003626DD"/>
    <w:rsid w:val="00362CA5"/>
    <w:rsid w:val="00366ED0"/>
    <w:rsid w:val="00367087"/>
    <w:rsid w:val="00370471"/>
    <w:rsid w:val="0037634F"/>
    <w:rsid w:val="003776F5"/>
    <w:rsid w:val="003806DA"/>
    <w:rsid w:val="00381B94"/>
    <w:rsid w:val="00383B7F"/>
    <w:rsid w:val="003912E8"/>
    <w:rsid w:val="00391A73"/>
    <w:rsid w:val="00391F07"/>
    <w:rsid w:val="00392BA5"/>
    <w:rsid w:val="00394FCE"/>
    <w:rsid w:val="00395478"/>
    <w:rsid w:val="0039582D"/>
    <w:rsid w:val="00395A83"/>
    <w:rsid w:val="00395C86"/>
    <w:rsid w:val="003966E8"/>
    <w:rsid w:val="00397BD2"/>
    <w:rsid w:val="003A2DA4"/>
    <w:rsid w:val="003A4279"/>
    <w:rsid w:val="003A5DFF"/>
    <w:rsid w:val="003A65E8"/>
    <w:rsid w:val="003A68A3"/>
    <w:rsid w:val="003B041C"/>
    <w:rsid w:val="003B2F7C"/>
    <w:rsid w:val="003B3A22"/>
    <w:rsid w:val="003B5AFE"/>
    <w:rsid w:val="003C0BF8"/>
    <w:rsid w:val="003C10BB"/>
    <w:rsid w:val="003C1D58"/>
    <w:rsid w:val="003C5772"/>
    <w:rsid w:val="003C623A"/>
    <w:rsid w:val="003C6AC6"/>
    <w:rsid w:val="003D1108"/>
    <w:rsid w:val="003D1C66"/>
    <w:rsid w:val="003D5103"/>
    <w:rsid w:val="003D5CAC"/>
    <w:rsid w:val="003E01A4"/>
    <w:rsid w:val="003E0754"/>
    <w:rsid w:val="003E28D2"/>
    <w:rsid w:val="003E6BF7"/>
    <w:rsid w:val="003F3215"/>
    <w:rsid w:val="00400035"/>
    <w:rsid w:val="00401077"/>
    <w:rsid w:val="0040247D"/>
    <w:rsid w:val="004026A7"/>
    <w:rsid w:val="00402759"/>
    <w:rsid w:val="00404147"/>
    <w:rsid w:val="004070F2"/>
    <w:rsid w:val="004106A4"/>
    <w:rsid w:val="0041423B"/>
    <w:rsid w:val="004145B2"/>
    <w:rsid w:val="00415758"/>
    <w:rsid w:val="00415C8E"/>
    <w:rsid w:val="0041602C"/>
    <w:rsid w:val="00416E1D"/>
    <w:rsid w:val="0042190D"/>
    <w:rsid w:val="00423174"/>
    <w:rsid w:val="004306C2"/>
    <w:rsid w:val="00432BC0"/>
    <w:rsid w:val="004342E6"/>
    <w:rsid w:val="00436E4D"/>
    <w:rsid w:val="00437481"/>
    <w:rsid w:val="00437C2C"/>
    <w:rsid w:val="00440F19"/>
    <w:rsid w:val="00442065"/>
    <w:rsid w:val="00446973"/>
    <w:rsid w:val="00447374"/>
    <w:rsid w:val="004474FC"/>
    <w:rsid w:val="004523B0"/>
    <w:rsid w:val="0045348B"/>
    <w:rsid w:val="00454C1F"/>
    <w:rsid w:val="00457EE7"/>
    <w:rsid w:val="00460D87"/>
    <w:rsid w:val="00461F49"/>
    <w:rsid w:val="00465E12"/>
    <w:rsid w:val="00467312"/>
    <w:rsid w:val="00470C5C"/>
    <w:rsid w:val="00471AAA"/>
    <w:rsid w:val="0047206B"/>
    <w:rsid w:val="00473321"/>
    <w:rsid w:val="004734E6"/>
    <w:rsid w:val="00474A98"/>
    <w:rsid w:val="00474DF4"/>
    <w:rsid w:val="004755F2"/>
    <w:rsid w:val="00477303"/>
    <w:rsid w:val="00477742"/>
    <w:rsid w:val="004826E5"/>
    <w:rsid w:val="004828BB"/>
    <w:rsid w:val="004833C8"/>
    <w:rsid w:val="00483F54"/>
    <w:rsid w:val="00483F63"/>
    <w:rsid w:val="00484A7A"/>
    <w:rsid w:val="0048686F"/>
    <w:rsid w:val="00487383"/>
    <w:rsid w:val="00490BE9"/>
    <w:rsid w:val="00491332"/>
    <w:rsid w:val="004919B1"/>
    <w:rsid w:val="00491FE9"/>
    <w:rsid w:val="00492991"/>
    <w:rsid w:val="00495964"/>
    <w:rsid w:val="00496069"/>
    <w:rsid w:val="00497AE8"/>
    <w:rsid w:val="004A09AB"/>
    <w:rsid w:val="004A3063"/>
    <w:rsid w:val="004A3EC0"/>
    <w:rsid w:val="004A3F2F"/>
    <w:rsid w:val="004A50AF"/>
    <w:rsid w:val="004A5EE8"/>
    <w:rsid w:val="004A6CCD"/>
    <w:rsid w:val="004A759F"/>
    <w:rsid w:val="004A7AC0"/>
    <w:rsid w:val="004B0C98"/>
    <w:rsid w:val="004B12F3"/>
    <w:rsid w:val="004B255F"/>
    <w:rsid w:val="004B5C8E"/>
    <w:rsid w:val="004B7735"/>
    <w:rsid w:val="004C17FF"/>
    <w:rsid w:val="004C5600"/>
    <w:rsid w:val="004C75BE"/>
    <w:rsid w:val="004D09F8"/>
    <w:rsid w:val="004D12ED"/>
    <w:rsid w:val="004D17A2"/>
    <w:rsid w:val="004D1EDF"/>
    <w:rsid w:val="004D47D4"/>
    <w:rsid w:val="004D53E6"/>
    <w:rsid w:val="004E1927"/>
    <w:rsid w:val="004E2067"/>
    <w:rsid w:val="004E2465"/>
    <w:rsid w:val="004E4187"/>
    <w:rsid w:val="004E4A36"/>
    <w:rsid w:val="004E52B5"/>
    <w:rsid w:val="004E5CC6"/>
    <w:rsid w:val="004E6391"/>
    <w:rsid w:val="004E64FB"/>
    <w:rsid w:val="004E6CE8"/>
    <w:rsid w:val="004E6DF9"/>
    <w:rsid w:val="004E7562"/>
    <w:rsid w:val="004F00F8"/>
    <w:rsid w:val="004F3BB1"/>
    <w:rsid w:val="004F3F84"/>
    <w:rsid w:val="004F3FDC"/>
    <w:rsid w:val="004F64AD"/>
    <w:rsid w:val="004F6EB9"/>
    <w:rsid w:val="004F72C2"/>
    <w:rsid w:val="00501A69"/>
    <w:rsid w:val="00504DB9"/>
    <w:rsid w:val="00505876"/>
    <w:rsid w:val="00510CF4"/>
    <w:rsid w:val="005123D1"/>
    <w:rsid w:val="00512B2C"/>
    <w:rsid w:val="0051302B"/>
    <w:rsid w:val="00513903"/>
    <w:rsid w:val="0051693B"/>
    <w:rsid w:val="00520F6A"/>
    <w:rsid w:val="0052464E"/>
    <w:rsid w:val="005267FA"/>
    <w:rsid w:val="005276BC"/>
    <w:rsid w:val="00532770"/>
    <w:rsid w:val="00535861"/>
    <w:rsid w:val="00535C8C"/>
    <w:rsid w:val="00540398"/>
    <w:rsid w:val="005409B4"/>
    <w:rsid w:val="00540E84"/>
    <w:rsid w:val="00543260"/>
    <w:rsid w:val="00544CE9"/>
    <w:rsid w:val="00545204"/>
    <w:rsid w:val="0054583B"/>
    <w:rsid w:val="00554411"/>
    <w:rsid w:val="00560326"/>
    <w:rsid w:val="0056292E"/>
    <w:rsid w:val="00562B0F"/>
    <w:rsid w:val="00562BDA"/>
    <w:rsid w:val="00565FEA"/>
    <w:rsid w:val="00571617"/>
    <w:rsid w:val="00571786"/>
    <w:rsid w:val="00572BBA"/>
    <w:rsid w:val="005735AB"/>
    <w:rsid w:val="00573CFD"/>
    <w:rsid w:val="00575E48"/>
    <w:rsid w:val="005760DB"/>
    <w:rsid w:val="00581C88"/>
    <w:rsid w:val="00585274"/>
    <w:rsid w:val="005863B9"/>
    <w:rsid w:val="00587E20"/>
    <w:rsid w:val="005906A7"/>
    <w:rsid w:val="005943E4"/>
    <w:rsid w:val="005946FD"/>
    <w:rsid w:val="00595E98"/>
    <w:rsid w:val="00597186"/>
    <w:rsid w:val="005A0842"/>
    <w:rsid w:val="005A4D88"/>
    <w:rsid w:val="005B0C8D"/>
    <w:rsid w:val="005B0E56"/>
    <w:rsid w:val="005B1CCB"/>
    <w:rsid w:val="005B2670"/>
    <w:rsid w:val="005B4A67"/>
    <w:rsid w:val="005B760B"/>
    <w:rsid w:val="005B78D2"/>
    <w:rsid w:val="005C227B"/>
    <w:rsid w:val="005C33D2"/>
    <w:rsid w:val="005C6020"/>
    <w:rsid w:val="005C6D09"/>
    <w:rsid w:val="005C7F60"/>
    <w:rsid w:val="005D0F35"/>
    <w:rsid w:val="005D40E7"/>
    <w:rsid w:val="005D7F5B"/>
    <w:rsid w:val="005E1508"/>
    <w:rsid w:val="005E45C0"/>
    <w:rsid w:val="005E732F"/>
    <w:rsid w:val="005F11B6"/>
    <w:rsid w:val="005F3552"/>
    <w:rsid w:val="005F409B"/>
    <w:rsid w:val="00601601"/>
    <w:rsid w:val="00602C76"/>
    <w:rsid w:val="00603731"/>
    <w:rsid w:val="00606C06"/>
    <w:rsid w:val="006112FF"/>
    <w:rsid w:val="006141C2"/>
    <w:rsid w:val="006146D9"/>
    <w:rsid w:val="00616534"/>
    <w:rsid w:val="00617E52"/>
    <w:rsid w:val="00620E17"/>
    <w:rsid w:val="00620EF5"/>
    <w:rsid w:val="00624A87"/>
    <w:rsid w:val="006402A8"/>
    <w:rsid w:val="00640460"/>
    <w:rsid w:val="00641DED"/>
    <w:rsid w:val="00645A99"/>
    <w:rsid w:val="00645FC8"/>
    <w:rsid w:val="00652AA5"/>
    <w:rsid w:val="00653F2A"/>
    <w:rsid w:val="006545E3"/>
    <w:rsid w:val="006557FE"/>
    <w:rsid w:val="00665B6A"/>
    <w:rsid w:val="00666CDE"/>
    <w:rsid w:val="00670A9C"/>
    <w:rsid w:val="006741B7"/>
    <w:rsid w:val="00680C0D"/>
    <w:rsid w:val="00680F48"/>
    <w:rsid w:val="00681150"/>
    <w:rsid w:val="006828B4"/>
    <w:rsid w:val="00685F73"/>
    <w:rsid w:val="006905C5"/>
    <w:rsid w:val="00690FE2"/>
    <w:rsid w:val="00692080"/>
    <w:rsid w:val="0069229A"/>
    <w:rsid w:val="00692C3D"/>
    <w:rsid w:val="00694860"/>
    <w:rsid w:val="00695E22"/>
    <w:rsid w:val="006A160B"/>
    <w:rsid w:val="006A195E"/>
    <w:rsid w:val="006A3EE7"/>
    <w:rsid w:val="006A583E"/>
    <w:rsid w:val="006B0111"/>
    <w:rsid w:val="006B2D3C"/>
    <w:rsid w:val="006B4645"/>
    <w:rsid w:val="006B6AB6"/>
    <w:rsid w:val="006B7949"/>
    <w:rsid w:val="006C20C3"/>
    <w:rsid w:val="006C30EF"/>
    <w:rsid w:val="006C6B6D"/>
    <w:rsid w:val="006C76D6"/>
    <w:rsid w:val="006D05CC"/>
    <w:rsid w:val="006D0C28"/>
    <w:rsid w:val="006D1166"/>
    <w:rsid w:val="006D121E"/>
    <w:rsid w:val="006D513E"/>
    <w:rsid w:val="006D60E4"/>
    <w:rsid w:val="006D73B2"/>
    <w:rsid w:val="006E45D4"/>
    <w:rsid w:val="006E4993"/>
    <w:rsid w:val="006E561B"/>
    <w:rsid w:val="006E5A25"/>
    <w:rsid w:val="006E7462"/>
    <w:rsid w:val="006E7AA0"/>
    <w:rsid w:val="006F04AC"/>
    <w:rsid w:val="006F4002"/>
    <w:rsid w:val="006F4466"/>
    <w:rsid w:val="006F495C"/>
    <w:rsid w:val="006F53DB"/>
    <w:rsid w:val="006F55B8"/>
    <w:rsid w:val="007010F2"/>
    <w:rsid w:val="007033DE"/>
    <w:rsid w:val="00704318"/>
    <w:rsid w:val="00706046"/>
    <w:rsid w:val="00711ABC"/>
    <w:rsid w:val="0071308E"/>
    <w:rsid w:val="00715BCB"/>
    <w:rsid w:val="0071701D"/>
    <w:rsid w:val="00720245"/>
    <w:rsid w:val="007212E8"/>
    <w:rsid w:val="007224DD"/>
    <w:rsid w:val="00723743"/>
    <w:rsid w:val="0072576D"/>
    <w:rsid w:val="00732DEC"/>
    <w:rsid w:val="00736A1B"/>
    <w:rsid w:val="00737559"/>
    <w:rsid w:val="007409D9"/>
    <w:rsid w:val="00743FA3"/>
    <w:rsid w:val="00744605"/>
    <w:rsid w:val="007448AE"/>
    <w:rsid w:val="00744AAE"/>
    <w:rsid w:val="00745DE0"/>
    <w:rsid w:val="00750443"/>
    <w:rsid w:val="00750E2D"/>
    <w:rsid w:val="00751375"/>
    <w:rsid w:val="007616A4"/>
    <w:rsid w:val="00761A45"/>
    <w:rsid w:val="00761EDC"/>
    <w:rsid w:val="0076469B"/>
    <w:rsid w:val="00764D8C"/>
    <w:rsid w:val="00766723"/>
    <w:rsid w:val="0077289B"/>
    <w:rsid w:val="00773B24"/>
    <w:rsid w:val="00775115"/>
    <w:rsid w:val="007807BE"/>
    <w:rsid w:val="0078108C"/>
    <w:rsid w:val="00782C5D"/>
    <w:rsid w:val="00784567"/>
    <w:rsid w:val="00790AD4"/>
    <w:rsid w:val="00791FD3"/>
    <w:rsid w:val="00793100"/>
    <w:rsid w:val="00795F8D"/>
    <w:rsid w:val="00796D60"/>
    <w:rsid w:val="00797408"/>
    <w:rsid w:val="00797992"/>
    <w:rsid w:val="007A2529"/>
    <w:rsid w:val="007A390D"/>
    <w:rsid w:val="007A688B"/>
    <w:rsid w:val="007B1B87"/>
    <w:rsid w:val="007B33BC"/>
    <w:rsid w:val="007B5DA9"/>
    <w:rsid w:val="007C3379"/>
    <w:rsid w:val="007C42CC"/>
    <w:rsid w:val="007C4E7D"/>
    <w:rsid w:val="007C6C47"/>
    <w:rsid w:val="007D3692"/>
    <w:rsid w:val="007D4836"/>
    <w:rsid w:val="007E0773"/>
    <w:rsid w:val="007E2307"/>
    <w:rsid w:val="007E3FB2"/>
    <w:rsid w:val="007F1CCB"/>
    <w:rsid w:val="007F35AF"/>
    <w:rsid w:val="007F3CAF"/>
    <w:rsid w:val="007F4A81"/>
    <w:rsid w:val="007F52DA"/>
    <w:rsid w:val="007F5F9C"/>
    <w:rsid w:val="007F7B48"/>
    <w:rsid w:val="0080114A"/>
    <w:rsid w:val="008041B7"/>
    <w:rsid w:val="00806D02"/>
    <w:rsid w:val="008079CD"/>
    <w:rsid w:val="00814659"/>
    <w:rsid w:val="0081527F"/>
    <w:rsid w:val="008227DD"/>
    <w:rsid w:val="00824799"/>
    <w:rsid w:val="00827077"/>
    <w:rsid w:val="00830001"/>
    <w:rsid w:val="00831481"/>
    <w:rsid w:val="00831859"/>
    <w:rsid w:val="008352BC"/>
    <w:rsid w:val="00846752"/>
    <w:rsid w:val="00847241"/>
    <w:rsid w:val="00850ABC"/>
    <w:rsid w:val="0085212E"/>
    <w:rsid w:val="008528B1"/>
    <w:rsid w:val="0085293D"/>
    <w:rsid w:val="00856EA1"/>
    <w:rsid w:val="00857118"/>
    <w:rsid w:val="008630B8"/>
    <w:rsid w:val="008638C6"/>
    <w:rsid w:val="00865B7B"/>
    <w:rsid w:val="00865EE8"/>
    <w:rsid w:val="00866F82"/>
    <w:rsid w:val="00867563"/>
    <w:rsid w:val="00870D72"/>
    <w:rsid w:val="00870EAE"/>
    <w:rsid w:val="00871082"/>
    <w:rsid w:val="00873983"/>
    <w:rsid w:val="00875DCC"/>
    <w:rsid w:val="00876597"/>
    <w:rsid w:val="00877F1D"/>
    <w:rsid w:val="00881D91"/>
    <w:rsid w:val="008842BC"/>
    <w:rsid w:val="00886766"/>
    <w:rsid w:val="008913EC"/>
    <w:rsid w:val="008939FD"/>
    <w:rsid w:val="0089680D"/>
    <w:rsid w:val="00897015"/>
    <w:rsid w:val="008A0C03"/>
    <w:rsid w:val="008A7DBB"/>
    <w:rsid w:val="008B24E8"/>
    <w:rsid w:val="008B25C8"/>
    <w:rsid w:val="008B58F9"/>
    <w:rsid w:val="008B6624"/>
    <w:rsid w:val="008C0C0C"/>
    <w:rsid w:val="008C103B"/>
    <w:rsid w:val="008C528E"/>
    <w:rsid w:val="008C666C"/>
    <w:rsid w:val="008C69AF"/>
    <w:rsid w:val="008C6CF1"/>
    <w:rsid w:val="008C7148"/>
    <w:rsid w:val="008D1B3D"/>
    <w:rsid w:val="008D5377"/>
    <w:rsid w:val="008D5563"/>
    <w:rsid w:val="008D720C"/>
    <w:rsid w:val="008E0538"/>
    <w:rsid w:val="008E1460"/>
    <w:rsid w:val="008E5597"/>
    <w:rsid w:val="008E5CB8"/>
    <w:rsid w:val="008E6E56"/>
    <w:rsid w:val="008F179B"/>
    <w:rsid w:val="008F1CA9"/>
    <w:rsid w:val="008F314A"/>
    <w:rsid w:val="008F4C20"/>
    <w:rsid w:val="008F583F"/>
    <w:rsid w:val="0090253A"/>
    <w:rsid w:val="009029B9"/>
    <w:rsid w:val="00906BF9"/>
    <w:rsid w:val="00906C2A"/>
    <w:rsid w:val="00912845"/>
    <w:rsid w:val="00912BB6"/>
    <w:rsid w:val="00913E43"/>
    <w:rsid w:val="00914280"/>
    <w:rsid w:val="0091520C"/>
    <w:rsid w:val="00916BFB"/>
    <w:rsid w:val="00922CD3"/>
    <w:rsid w:val="0092344D"/>
    <w:rsid w:val="00926E0E"/>
    <w:rsid w:val="0093063E"/>
    <w:rsid w:val="00934BA9"/>
    <w:rsid w:val="00936507"/>
    <w:rsid w:val="00937400"/>
    <w:rsid w:val="00937B4A"/>
    <w:rsid w:val="0094062C"/>
    <w:rsid w:val="009455D5"/>
    <w:rsid w:val="009473FF"/>
    <w:rsid w:val="00951216"/>
    <w:rsid w:val="00951A7E"/>
    <w:rsid w:val="00952D9D"/>
    <w:rsid w:val="00954F53"/>
    <w:rsid w:val="0095504B"/>
    <w:rsid w:val="00956DD1"/>
    <w:rsid w:val="0095716F"/>
    <w:rsid w:val="009578C4"/>
    <w:rsid w:val="00960524"/>
    <w:rsid w:val="00962808"/>
    <w:rsid w:val="00967150"/>
    <w:rsid w:val="009752AF"/>
    <w:rsid w:val="0097574B"/>
    <w:rsid w:val="00975CB8"/>
    <w:rsid w:val="009836C1"/>
    <w:rsid w:val="00984AFF"/>
    <w:rsid w:val="00987BF1"/>
    <w:rsid w:val="00987C7A"/>
    <w:rsid w:val="009910FE"/>
    <w:rsid w:val="00992769"/>
    <w:rsid w:val="00992B5B"/>
    <w:rsid w:val="00993632"/>
    <w:rsid w:val="00994E53"/>
    <w:rsid w:val="00995E4A"/>
    <w:rsid w:val="00996474"/>
    <w:rsid w:val="00997153"/>
    <w:rsid w:val="009A1E8A"/>
    <w:rsid w:val="009A4B9C"/>
    <w:rsid w:val="009A51D2"/>
    <w:rsid w:val="009B5E3C"/>
    <w:rsid w:val="009B63BE"/>
    <w:rsid w:val="009D1F68"/>
    <w:rsid w:val="009D3CF8"/>
    <w:rsid w:val="009D6F8C"/>
    <w:rsid w:val="009D71EF"/>
    <w:rsid w:val="009E0FD9"/>
    <w:rsid w:val="009E2489"/>
    <w:rsid w:val="009E6C24"/>
    <w:rsid w:val="009F15E4"/>
    <w:rsid w:val="009F3BBF"/>
    <w:rsid w:val="009F5C17"/>
    <w:rsid w:val="00A0173B"/>
    <w:rsid w:val="00A03D27"/>
    <w:rsid w:val="00A13E90"/>
    <w:rsid w:val="00A163F4"/>
    <w:rsid w:val="00A207CE"/>
    <w:rsid w:val="00A227BD"/>
    <w:rsid w:val="00A2511C"/>
    <w:rsid w:val="00A268A7"/>
    <w:rsid w:val="00A354FE"/>
    <w:rsid w:val="00A36A62"/>
    <w:rsid w:val="00A36C3E"/>
    <w:rsid w:val="00A4157A"/>
    <w:rsid w:val="00A428C6"/>
    <w:rsid w:val="00A42CBE"/>
    <w:rsid w:val="00A43EE7"/>
    <w:rsid w:val="00A44CB1"/>
    <w:rsid w:val="00A4599E"/>
    <w:rsid w:val="00A46469"/>
    <w:rsid w:val="00A46634"/>
    <w:rsid w:val="00A47745"/>
    <w:rsid w:val="00A50900"/>
    <w:rsid w:val="00A51443"/>
    <w:rsid w:val="00A55FB2"/>
    <w:rsid w:val="00A5783F"/>
    <w:rsid w:val="00A6398A"/>
    <w:rsid w:val="00A64FF1"/>
    <w:rsid w:val="00A732C5"/>
    <w:rsid w:val="00A74245"/>
    <w:rsid w:val="00A74C7B"/>
    <w:rsid w:val="00A75924"/>
    <w:rsid w:val="00A75C56"/>
    <w:rsid w:val="00A777E3"/>
    <w:rsid w:val="00A77880"/>
    <w:rsid w:val="00A779F7"/>
    <w:rsid w:val="00A8081F"/>
    <w:rsid w:val="00A80AD2"/>
    <w:rsid w:val="00A81C54"/>
    <w:rsid w:val="00A821F3"/>
    <w:rsid w:val="00A838C4"/>
    <w:rsid w:val="00A8439C"/>
    <w:rsid w:val="00A85749"/>
    <w:rsid w:val="00A86ADA"/>
    <w:rsid w:val="00A87E8B"/>
    <w:rsid w:val="00A9043C"/>
    <w:rsid w:val="00A92262"/>
    <w:rsid w:val="00A9484B"/>
    <w:rsid w:val="00A9546E"/>
    <w:rsid w:val="00A95F9E"/>
    <w:rsid w:val="00AA0FA0"/>
    <w:rsid w:val="00AA1D25"/>
    <w:rsid w:val="00AA3285"/>
    <w:rsid w:val="00AA5856"/>
    <w:rsid w:val="00AA7BD2"/>
    <w:rsid w:val="00AA7D68"/>
    <w:rsid w:val="00AB20E6"/>
    <w:rsid w:val="00AB24DF"/>
    <w:rsid w:val="00AB4174"/>
    <w:rsid w:val="00AB4BEF"/>
    <w:rsid w:val="00AC321B"/>
    <w:rsid w:val="00AC3D1A"/>
    <w:rsid w:val="00AC54A4"/>
    <w:rsid w:val="00AC642D"/>
    <w:rsid w:val="00AC6752"/>
    <w:rsid w:val="00AC6E17"/>
    <w:rsid w:val="00AD13F1"/>
    <w:rsid w:val="00AD3F79"/>
    <w:rsid w:val="00AD3FDE"/>
    <w:rsid w:val="00AD59F6"/>
    <w:rsid w:val="00AD6E63"/>
    <w:rsid w:val="00AD7B49"/>
    <w:rsid w:val="00AE0418"/>
    <w:rsid w:val="00AE057C"/>
    <w:rsid w:val="00AE237C"/>
    <w:rsid w:val="00AE4148"/>
    <w:rsid w:val="00AE5E77"/>
    <w:rsid w:val="00AF0143"/>
    <w:rsid w:val="00AF0ED5"/>
    <w:rsid w:val="00AF21A6"/>
    <w:rsid w:val="00AF340E"/>
    <w:rsid w:val="00B0133D"/>
    <w:rsid w:val="00B02BF4"/>
    <w:rsid w:val="00B03DE7"/>
    <w:rsid w:val="00B054BF"/>
    <w:rsid w:val="00B11AE7"/>
    <w:rsid w:val="00B156FA"/>
    <w:rsid w:val="00B15E89"/>
    <w:rsid w:val="00B17813"/>
    <w:rsid w:val="00B20F13"/>
    <w:rsid w:val="00B224E9"/>
    <w:rsid w:val="00B277AD"/>
    <w:rsid w:val="00B30A4F"/>
    <w:rsid w:val="00B31FCD"/>
    <w:rsid w:val="00B3451C"/>
    <w:rsid w:val="00B350A3"/>
    <w:rsid w:val="00B35FE5"/>
    <w:rsid w:val="00B428DD"/>
    <w:rsid w:val="00B50CEF"/>
    <w:rsid w:val="00B51F27"/>
    <w:rsid w:val="00B5204A"/>
    <w:rsid w:val="00B54442"/>
    <w:rsid w:val="00B54F1D"/>
    <w:rsid w:val="00B61336"/>
    <w:rsid w:val="00B624EA"/>
    <w:rsid w:val="00B6469A"/>
    <w:rsid w:val="00B65B6A"/>
    <w:rsid w:val="00B700FC"/>
    <w:rsid w:val="00B71795"/>
    <w:rsid w:val="00B71D24"/>
    <w:rsid w:val="00B74564"/>
    <w:rsid w:val="00B75A21"/>
    <w:rsid w:val="00B76DCC"/>
    <w:rsid w:val="00B76E07"/>
    <w:rsid w:val="00B773CD"/>
    <w:rsid w:val="00B8046B"/>
    <w:rsid w:val="00B821C6"/>
    <w:rsid w:val="00B82363"/>
    <w:rsid w:val="00B83D71"/>
    <w:rsid w:val="00B844EC"/>
    <w:rsid w:val="00B84644"/>
    <w:rsid w:val="00B85E29"/>
    <w:rsid w:val="00B85F26"/>
    <w:rsid w:val="00B867C6"/>
    <w:rsid w:val="00B86990"/>
    <w:rsid w:val="00B86A48"/>
    <w:rsid w:val="00B87F07"/>
    <w:rsid w:val="00B91D9D"/>
    <w:rsid w:val="00B947EE"/>
    <w:rsid w:val="00B94DE2"/>
    <w:rsid w:val="00B96505"/>
    <w:rsid w:val="00BA117B"/>
    <w:rsid w:val="00BA3394"/>
    <w:rsid w:val="00BA37B5"/>
    <w:rsid w:val="00BA3A1F"/>
    <w:rsid w:val="00BB1C7C"/>
    <w:rsid w:val="00BB2EE0"/>
    <w:rsid w:val="00BB47A2"/>
    <w:rsid w:val="00BB68FD"/>
    <w:rsid w:val="00BB7A89"/>
    <w:rsid w:val="00BC1183"/>
    <w:rsid w:val="00BC2288"/>
    <w:rsid w:val="00BC26CE"/>
    <w:rsid w:val="00BC2B74"/>
    <w:rsid w:val="00BC5A97"/>
    <w:rsid w:val="00BD1B9C"/>
    <w:rsid w:val="00BD2CAA"/>
    <w:rsid w:val="00BD2F21"/>
    <w:rsid w:val="00BD49C0"/>
    <w:rsid w:val="00BD5253"/>
    <w:rsid w:val="00BD615C"/>
    <w:rsid w:val="00BD6856"/>
    <w:rsid w:val="00BD7F39"/>
    <w:rsid w:val="00BE1206"/>
    <w:rsid w:val="00BE1F28"/>
    <w:rsid w:val="00BE5599"/>
    <w:rsid w:val="00BE73B2"/>
    <w:rsid w:val="00BE7A4D"/>
    <w:rsid w:val="00C00036"/>
    <w:rsid w:val="00C01C53"/>
    <w:rsid w:val="00C02747"/>
    <w:rsid w:val="00C03391"/>
    <w:rsid w:val="00C03A91"/>
    <w:rsid w:val="00C0419F"/>
    <w:rsid w:val="00C0442C"/>
    <w:rsid w:val="00C057D3"/>
    <w:rsid w:val="00C06E50"/>
    <w:rsid w:val="00C113D4"/>
    <w:rsid w:val="00C128DF"/>
    <w:rsid w:val="00C14D18"/>
    <w:rsid w:val="00C17363"/>
    <w:rsid w:val="00C17667"/>
    <w:rsid w:val="00C17757"/>
    <w:rsid w:val="00C2013D"/>
    <w:rsid w:val="00C21548"/>
    <w:rsid w:val="00C22D05"/>
    <w:rsid w:val="00C239AB"/>
    <w:rsid w:val="00C263E6"/>
    <w:rsid w:val="00C26C43"/>
    <w:rsid w:val="00C26FDA"/>
    <w:rsid w:val="00C30026"/>
    <w:rsid w:val="00C31042"/>
    <w:rsid w:val="00C338E6"/>
    <w:rsid w:val="00C36896"/>
    <w:rsid w:val="00C379EF"/>
    <w:rsid w:val="00C37CC2"/>
    <w:rsid w:val="00C37F45"/>
    <w:rsid w:val="00C41535"/>
    <w:rsid w:val="00C41A53"/>
    <w:rsid w:val="00C42F6F"/>
    <w:rsid w:val="00C4373C"/>
    <w:rsid w:val="00C50B77"/>
    <w:rsid w:val="00C51F1B"/>
    <w:rsid w:val="00C52FB2"/>
    <w:rsid w:val="00C53DD8"/>
    <w:rsid w:val="00C61AB0"/>
    <w:rsid w:val="00C67263"/>
    <w:rsid w:val="00C74AF1"/>
    <w:rsid w:val="00C7789A"/>
    <w:rsid w:val="00C80C99"/>
    <w:rsid w:val="00C80CC1"/>
    <w:rsid w:val="00C826D4"/>
    <w:rsid w:val="00C84750"/>
    <w:rsid w:val="00C86098"/>
    <w:rsid w:val="00C867A1"/>
    <w:rsid w:val="00C867B8"/>
    <w:rsid w:val="00C87EE7"/>
    <w:rsid w:val="00C94E17"/>
    <w:rsid w:val="00C94FA4"/>
    <w:rsid w:val="00C963BC"/>
    <w:rsid w:val="00CA0D10"/>
    <w:rsid w:val="00CA19D3"/>
    <w:rsid w:val="00CA5005"/>
    <w:rsid w:val="00CA773F"/>
    <w:rsid w:val="00CA790A"/>
    <w:rsid w:val="00CB0533"/>
    <w:rsid w:val="00CB0BD3"/>
    <w:rsid w:val="00CB346E"/>
    <w:rsid w:val="00CB7704"/>
    <w:rsid w:val="00CB79FE"/>
    <w:rsid w:val="00CC12B6"/>
    <w:rsid w:val="00CC302E"/>
    <w:rsid w:val="00CC6E2E"/>
    <w:rsid w:val="00CC779C"/>
    <w:rsid w:val="00CD3774"/>
    <w:rsid w:val="00CD5AB2"/>
    <w:rsid w:val="00CD5DC0"/>
    <w:rsid w:val="00CE3068"/>
    <w:rsid w:val="00CE5508"/>
    <w:rsid w:val="00CE5FA8"/>
    <w:rsid w:val="00CE6B32"/>
    <w:rsid w:val="00CE6B7C"/>
    <w:rsid w:val="00CE6D2A"/>
    <w:rsid w:val="00CE7D0B"/>
    <w:rsid w:val="00CF3BBE"/>
    <w:rsid w:val="00CF7428"/>
    <w:rsid w:val="00D00632"/>
    <w:rsid w:val="00D01720"/>
    <w:rsid w:val="00D020CD"/>
    <w:rsid w:val="00D0257F"/>
    <w:rsid w:val="00D0279C"/>
    <w:rsid w:val="00D065B8"/>
    <w:rsid w:val="00D07972"/>
    <w:rsid w:val="00D07D7E"/>
    <w:rsid w:val="00D07F3D"/>
    <w:rsid w:val="00D17BD9"/>
    <w:rsid w:val="00D22F0D"/>
    <w:rsid w:val="00D26B90"/>
    <w:rsid w:val="00D27312"/>
    <w:rsid w:val="00D30241"/>
    <w:rsid w:val="00D31138"/>
    <w:rsid w:val="00D31A7A"/>
    <w:rsid w:val="00D32828"/>
    <w:rsid w:val="00D32C7E"/>
    <w:rsid w:val="00D32C98"/>
    <w:rsid w:val="00D3490D"/>
    <w:rsid w:val="00D352AE"/>
    <w:rsid w:val="00D35D8E"/>
    <w:rsid w:val="00D37C70"/>
    <w:rsid w:val="00D437A6"/>
    <w:rsid w:val="00D4484A"/>
    <w:rsid w:val="00D44D0C"/>
    <w:rsid w:val="00D473E4"/>
    <w:rsid w:val="00D503AA"/>
    <w:rsid w:val="00D515C7"/>
    <w:rsid w:val="00D57EC4"/>
    <w:rsid w:val="00D60DD6"/>
    <w:rsid w:val="00D617B6"/>
    <w:rsid w:val="00D62771"/>
    <w:rsid w:val="00D666B9"/>
    <w:rsid w:val="00D678AF"/>
    <w:rsid w:val="00D70166"/>
    <w:rsid w:val="00D71D3D"/>
    <w:rsid w:val="00D72428"/>
    <w:rsid w:val="00D73CA8"/>
    <w:rsid w:val="00D74668"/>
    <w:rsid w:val="00D75327"/>
    <w:rsid w:val="00D7668E"/>
    <w:rsid w:val="00D77130"/>
    <w:rsid w:val="00D81653"/>
    <w:rsid w:val="00D82D78"/>
    <w:rsid w:val="00D85191"/>
    <w:rsid w:val="00D85CF5"/>
    <w:rsid w:val="00D86BE0"/>
    <w:rsid w:val="00D8736C"/>
    <w:rsid w:val="00D917EE"/>
    <w:rsid w:val="00D91E70"/>
    <w:rsid w:val="00D92D40"/>
    <w:rsid w:val="00D93341"/>
    <w:rsid w:val="00D970D9"/>
    <w:rsid w:val="00DA06F5"/>
    <w:rsid w:val="00DA379B"/>
    <w:rsid w:val="00DB12F5"/>
    <w:rsid w:val="00DB7841"/>
    <w:rsid w:val="00DC7A78"/>
    <w:rsid w:val="00DD011F"/>
    <w:rsid w:val="00DD0EB7"/>
    <w:rsid w:val="00DD1175"/>
    <w:rsid w:val="00DD14A2"/>
    <w:rsid w:val="00DD46BD"/>
    <w:rsid w:val="00DD5B46"/>
    <w:rsid w:val="00DD6BAD"/>
    <w:rsid w:val="00DD75F0"/>
    <w:rsid w:val="00DE1273"/>
    <w:rsid w:val="00DE2162"/>
    <w:rsid w:val="00DE43AE"/>
    <w:rsid w:val="00DE6B06"/>
    <w:rsid w:val="00DE6D85"/>
    <w:rsid w:val="00DE6E4B"/>
    <w:rsid w:val="00DE760C"/>
    <w:rsid w:val="00DF032B"/>
    <w:rsid w:val="00DF03A5"/>
    <w:rsid w:val="00DF1115"/>
    <w:rsid w:val="00DF2180"/>
    <w:rsid w:val="00DF2FC0"/>
    <w:rsid w:val="00DF6909"/>
    <w:rsid w:val="00E03938"/>
    <w:rsid w:val="00E06761"/>
    <w:rsid w:val="00E10D4A"/>
    <w:rsid w:val="00E1126B"/>
    <w:rsid w:val="00E12D54"/>
    <w:rsid w:val="00E130D5"/>
    <w:rsid w:val="00E14874"/>
    <w:rsid w:val="00E14A73"/>
    <w:rsid w:val="00E1682D"/>
    <w:rsid w:val="00E16D98"/>
    <w:rsid w:val="00E1716D"/>
    <w:rsid w:val="00E2009E"/>
    <w:rsid w:val="00E2028F"/>
    <w:rsid w:val="00E22796"/>
    <w:rsid w:val="00E22B57"/>
    <w:rsid w:val="00E22C3B"/>
    <w:rsid w:val="00E236FC"/>
    <w:rsid w:val="00E23DCC"/>
    <w:rsid w:val="00E2432D"/>
    <w:rsid w:val="00E265C4"/>
    <w:rsid w:val="00E26EF7"/>
    <w:rsid w:val="00E2796E"/>
    <w:rsid w:val="00E30643"/>
    <w:rsid w:val="00E41740"/>
    <w:rsid w:val="00E42F9D"/>
    <w:rsid w:val="00E43ECA"/>
    <w:rsid w:val="00E4710B"/>
    <w:rsid w:val="00E475A0"/>
    <w:rsid w:val="00E47ADF"/>
    <w:rsid w:val="00E5055C"/>
    <w:rsid w:val="00E513CD"/>
    <w:rsid w:val="00E52466"/>
    <w:rsid w:val="00E52DE4"/>
    <w:rsid w:val="00E55DA5"/>
    <w:rsid w:val="00E56F51"/>
    <w:rsid w:val="00E57D7A"/>
    <w:rsid w:val="00E62F96"/>
    <w:rsid w:val="00E6419A"/>
    <w:rsid w:val="00E64A9E"/>
    <w:rsid w:val="00E72321"/>
    <w:rsid w:val="00E73655"/>
    <w:rsid w:val="00E752E9"/>
    <w:rsid w:val="00E76ED1"/>
    <w:rsid w:val="00E82BF4"/>
    <w:rsid w:val="00E83570"/>
    <w:rsid w:val="00E83C19"/>
    <w:rsid w:val="00E95BD3"/>
    <w:rsid w:val="00E95F8B"/>
    <w:rsid w:val="00EA06BC"/>
    <w:rsid w:val="00EA463B"/>
    <w:rsid w:val="00EA4838"/>
    <w:rsid w:val="00EB1C1B"/>
    <w:rsid w:val="00EB5367"/>
    <w:rsid w:val="00EB7790"/>
    <w:rsid w:val="00EC084E"/>
    <w:rsid w:val="00EC1131"/>
    <w:rsid w:val="00EC5DE6"/>
    <w:rsid w:val="00EC5F71"/>
    <w:rsid w:val="00ED0A63"/>
    <w:rsid w:val="00ED409D"/>
    <w:rsid w:val="00ED5DAC"/>
    <w:rsid w:val="00ED6C04"/>
    <w:rsid w:val="00ED7123"/>
    <w:rsid w:val="00EE0AB1"/>
    <w:rsid w:val="00EE1FA1"/>
    <w:rsid w:val="00EE26D9"/>
    <w:rsid w:val="00EE7034"/>
    <w:rsid w:val="00EE798A"/>
    <w:rsid w:val="00EF0287"/>
    <w:rsid w:val="00EF0C8B"/>
    <w:rsid w:val="00EF179F"/>
    <w:rsid w:val="00EF283D"/>
    <w:rsid w:val="00EF2A45"/>
    <w:rsid w:val="00EF2F2C"/>
    <w:rsid w:val="00EF31E8"/>
    <w:rsid w:val="00EF4424"/>
    <w:rsid w:val="00EF4C17"/>
    <w:rsid w:val="00EF6080"/>
    <w:rsid w:val="00EF679B"/>
    <w:rsid w:val="00EF6A2A"/>
    <w:rsid w:val="00EF729F"/>
    <w:rsid w:val="00F006A6"/>
    <w:rsid w:val="00F015C8"/>
    <w:rsid w:val="00F025FA"/>
    <w:rsid w:val="00F03C10"/>
    <w:rsid w:val="00F0520E"/>
    <w:rsid w:val="00F069CB"/>
    <w:rsid w:val="00F07B55"/>
    <w:rsid w:val="00F07DD1"/>
    <w:rsid w:val="00F10439"/>
    <w:rsid w:val="00F136D2"/>
    <w:rsid w:val="00F1376E"/>
    <w:rsid w:val="00F14308"/>
    <w:rsid w:val="00F145CF"/>
    <w:rsid w:val="00F15786"/>
    <w:rsid w:val="00F160BB"/>
    <w:rsid w:val="00F208D4"/>
    <w:rsid w:val="00F21BFF"/>
    <w:rsid w:val="00F25485"/>
    <w:rsid w:val="00F2566E"/>
    <w:rsid w:val="00F25977"/>
    <w:rsid w:val="00F27256"/>
    <w:rsid w:val="00F35F5E"/>
    <w:rsid w:val="00F36841"/>
    <w:rsid w:val="00F36B23"/>
    <w:rsid w:val="00F37766"/>
    <w:rsid w:val="00F377FC"/>
    <w:rsid w:val="00F43997"/>
    <w:rsid w:val="00F440D8"/>
    <w:rsid w:val="00F47295"/>
    <w:rsid w:val="00F47341"/>
    <w:rsid w:val="00F52258"/>
    <w:rsid w:val="00F55214"/>
    <w:rsid w:val="00F55880"/>
    <w:rsid w:val="00F5619F"/>
    <w:rsid w:val="00F5721D"/>
    <w:rsid w:val="00F62EF2"/>
    <w:rsid w:val="00F65A6F"/>
    <w:rsid w:val="00F709F8"/>
    <w:rsid w:val="00F7143A"/>
    <w:rsid w:val="00F7349B"/>
    <w:rsid w:val="00F73E84"/>
    <w:rsid w:val="00F7558D"/>
    <w:rsid w:val="00F76E36"/>
    <w:rsid w:val="00F8064B"/>
    <w:rsid w:val="00F85526"/>
    <w:rsid w:val="00F85B02"/>
    <w:rsid w:val="00F87D54"/>
    <w:rsid w:val="00F90DF1"/>
    <w:rsid w:val="00F928BC"/>
    <w:rsid w:val="00F933CB"/>
    <w:rsid w:val="00FA55AC"/>
    <w:rsid w:val="00FA787E"/>
    <w:rsid w:val="00FB0513"/>
    <w:rsid w:val="00FB1302"/>
    <w:rsid w:val="00FB41C9"/>
    <w:rsid w:val="00FC2C2D"/>
    <w:rsid w:val="00FC2E68"/>
    <w:rsid w:val="00FC3C4F"/>
    <w:rsid w:val="00FC670E"/>
    <w:rsid w:val="00FC6745"/>
    <w:rsid w:val="00FC6ADA"/>
    <w:rsid w:val="00FC77CA"/>
    <w:rsid w:val="00FD16AF"/>
    <w:rsid w:val="00FD3A15"/>
    <w:rsid w:val="00FD5F5A"/>
    <w:rsid w:val="00FD6B3B"/>
    <w:rsid w:val="00FE0BBF"/>
    <w:rsid w:val="00FE19D0"/>
    <w:rsid w:val="00FE1A24"/>
    <w:rsid w:val="00FE1FC0"/>
    <w:rsid w:val="00FE3A3C"/>
    <w:rsid w:val="00FE3BDA"/>
    <w:rsid w:val="00FE3DB4"/>
    <w:rsid w:val="00FE5B2E"/>
    <w:rsid w:val="00FF015F"/>
    <w:rsid w:val="00FF182F"/>
    <w:rsid w:val="00FF2C4E"/>
    <w:rsid w:val="00FF3E89"/>
    <w:rsid w:val="00FF62A7"/>
    <w:rsid w:val="2BF5B821"/>
    <w:rsid w:val="31E992A7"/>
    <w:rsid w:val="4B8AADD3"/>
    <w:rsid w:val="5E28DD0D"/>
    <w:rsid w:val="76F41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4EC1"/>
  <w15:docId w15:val="{2C7288CC-B2BA-4BAE-BCD2-9960342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oreu">
    <w:name w:val="Coreu"/>
    <w:basedOn w:val="Normal"/>
    <w:next w:val="Normal"/>
    <w:pPr>
      <w:spacing w:after="160"/>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3013A"/>
    <w:pPr>
      <w:tabs>
        <w:tab w:val="center" w:pos="4513"/>
        <w:tab w:val="right" w:pos="9026"/>
      </w:tabs>
      <w:spacing w:line="240" w:lineRule="auto"/>
    </w:pPr>
  </w:style>
  <w:style w:type="character" w:customStyle="1" w:styleId="HeaderChar">
    <w:name w:val="Header Char"/>
    <w:basedOn w:val="DefaultParagraphFont"/>
    <w:link w:val="Header"/>
    <w:uiPriority w:val="99"/>
    <w:rsid w:val="0023013A"/>
    <w:rPr>
      <w:rFonts w:ascii="Verdana" w:hAnsi="Verdana"/>
      <w:color w:val="000000"/>
      <w:sz w:val="18"/>
      <w:szCs w:val="18"/>
    </w:rPr>
  </w:style>
  <w:style w:type="paragraph" w:styleId="Footer">
    <w:name w:val="footer"/>
    <w:basedOn w:val="Normal"/>
    <w:link w:val="FooterChar"/>
    <w:uiPriority w:val="99"/>
    <w:unhideWhenUsed/>
    <w:rsid w:val="0023013A"/>
    <w:pPr>
      <w:tabs>
        <w:tab w:val="center" w:pos="4513"/>
        <w:tab w:val="right" w:pos="9026"/>
      </w:tabs>
      <w:spacing w:line="240" w:lineRule="auto"/>
    </w:pPr>
  </w:style>
  <w:style w:type="character" w:customStyle="1" w:styleId="FooterChar">
    <w:name w:val="Footer Char"/>
    <w:basedOn w:val="DefaultParagraphFont"/>
    <w:link w:val="Footer"/>
    <w:uiPriority w:val="99"/>
    <w:rsid w:val="0023013A"/>
    <w:rPr>
      <w:rFonts w:ascii="Verdana" w:hAnsi="Verdana"/>
      <w:color w:val="000000"/>
      <w:sz w:val="18"/>
      <w:szCs w:val="18"/>
    </w:rPr>
  </w:style>
  <w:style w:type="character" w:styleId="CommentReference">
    <w:name w:val="annotation reference"/>
    <w:basedOn w:val="DefaultParagraphFont"/>
    <w:uiPriority w:val="99"/>
    <w:semiHidden/>
    <w:unhideWhenUsed/>
    <w:rsid w:val="00474DF4"/>
    <w:rPr>
      <w:sz w:val="16"/>
      <w:szCs w:val="16"/>
    </w:rPr>
  </w:style>
  <w:style w:type="paragraph" w:styleId="CommentText">
    <w:name w:val="annotation text"/>
    <w:basedOn w:val="Normal"/>
    <w:link w:val="CommentTextChar"/>
    <w:uiPriority w:val="99"/>
    <w:unhideWhenUsed/>
    <w:rsid w:val="00474DF4"/>
    <w:pPr>
      <w:spacing w:line="240" w:lineRule="auto"/>
    </w:pPr>
    <w:rPr>
      <w:sz w:val="20"/>
      <w:szCs w:val="20"/>
    </w:rPr>
  </w:style>
  <w:style w:type="character" w:customStyle="1" w:styleId="CommentTextChar">
    <w:name w:val="Comment Text Char"/>
    <w:basedOn w:val="DefaultParagraphFont"/>
    <w:link w:val="CommentText"/>
    <w:uiPriority w:val="99"/>
    <w:rsid w:val="00474DF4"/>
    <w:rPr>
      <w:rFonts w:ascii="Verdana" w:hAnsi="Verdana"/>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474DF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474DF4"/>
    <w:rPr>
      <w:rFonts w:ascii="Verdana" w:hAnsi="Verdana"/>
      <w:color w:val="000000"/>
      <w:sz w:val="18"/>
      <w:szCs w:val="18"/>
    </w:rPr>
  </w:style>
  <w:style w:type="table" w:styleId="GridTable1Light">
    <w:name w:val="Grid Table 1 Light"/>
    <w:basedOn w:val="TableNormal"/>
    <w:uiPriority w:val="46"/>
    <w:rsid w:val="00474DF4"/>
    <w:pPr>
      <w:autoSpaceDN/>
      <w:textAlignment w:val="auto"/>
    </w:pPr>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74DF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74DF4"/>
    <w:rPr>
      <w:b/>
      <w:bCs/>
    </w:rPr>
  </w:style>
  <w:style w:type="character" w:customStyle="1" w:styleId="CommentSubjectChar">
    <w:name w:val="Comment Subject Char"/>
    <w:basedOn w:val="CommentTextChar"/>
    <w:link w:val="CommentSubject"/>
    <w:uiPriority w:val="99"/>
    <w:semiHidden/>
    <w:rsid w:val="00474DF4"/>
    <w:rPr>
      <w:rFonts w:ascii="Verdana" w:hAnsi="Verdana"/>
      <w:b/>
      <w:bCs/>
      <w:color w:val="000000"/>
    </w:rPr>
  </w:style>
  <w:style w:type="paragraph" w:styleId="FootnoteText">
    <w:name w:val="footnote text"/>
    <w:basedOn w:val="Normal"/>
    <w:link w:val="FootnoteTextChar"/>
    <w:uiPriority w:val="99"/>
    <w:semiHidden/>
    <w:unhideWhenUsed/>
    <w:rsid w:val="00C52FB2"/>
    <w:pPr>
      <w:spacing w:line="240" w:lineRule="auto"/>
    </w:pPr>
    <w:rPr>
      <w:sz w:val="20"/>
      <w:szCs w:val="20"/>
    </w:rPr>
  </w:style>
  <w:style w:type="character" w:customStyle="1" w:styleId="FootnoteTextChar">
    <w:name w:val="Footnote Text Char"/>
    <w:basedOn w:val="DefaultParagraphFont"/>
    <w:link w:val="FootnoteText"/>
    <w:uiPriority w:val="99"/>
    <w:semiHidden/>
    <w:rsid w:val="00C52FB2"/>
    <w:rPr>
      <w:rFonts w:ascii="Verdana" w:hAnsi="Verdana"/>
      <w:color w:val="000000"/>
    </w:rPr>
  </w:style>
  <w:style w:type="character" w:styleId="FootnoteReference">
    <w:name w:val="footnote reference"/>
    <w:basedOn w:val="DefaultParagraphFont"/>
    <w:uiPriority w:val="99"/>
    <w:semiHidden/>
    <w:unhideWhenUsed/>
    <w:rsid w:val="00C52FB2"/>
    <w:rPr>
      <w:vertAlign w:val="superscript"/>
    </w:rPr>
  </w:style>
  <w:style w:type="paragraph" w:styleId="Revision">
    <w:name w:val="Revision"/>
    <w:hidden/>
    <w:uiPriority w:val="99"/>
    <w:semiHidden/>
    <w:rsid w:val="00BA3394"/>
    <w:pPr>
      <w:autoSpaceDN/>
      <w:textAlignment w:val="auto"/>
    </w:pPr>
    <w:rPr>
      <w:rFonts w:ascii="Verdana" w:hAnsi="Verdana"/>
      <w:color w:val="000000"/>
      <w:sz w:val="18"/>
      <w:szCs w:val="18"/>
    </w:rPr>
  </w:style>
  <w:style w:type="table" w:styleId="TableGrid">
    <w:name w:val="Table Grid"/>
    <w:basedOn w:val="TableNormal"/>
    <w:uiPriority w:val="39"/>
    <w:rsid w:val="00C7789A"/>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at1">
    <w:name w:val="Citaat1"/>
    <w:basedOn w:val="Normal"/>
    <w:next w:val="Normal"/>
    <w:uiPriority w:val="98"/>
    <w:qFormat/>
    <w:rsid w:val="002328F8"/>
    <w:pPr>
      <w:spacing w:before="200" w:after="160"/>
      <w:ind w:left="861"/>
      <w:jc w:val="center"/>
    </w:pPr>
    <w:rPr>
      <w:i/>
      <w:color w:val="404040"/>
    </w:rPr>
  </w:style>
  <w:style w:type="paragraph" w:customStyle="1" w:styleId="Geenafstand1">
    <w:name w:val="Geen afstand1"/>
    <w:basedOn w:val="Normal"/>
    <w:next w:val="Normal"/>
    <w:uiPriority w:val="98"/>
    <w:qFormat/>
    <w:rsid w:val="002328F8"/>
    <w:pPr>
      <w:spacing w:line="180" w:lineRule="exact"/>
    </w:pPr>
  </w:style>
  <w:style w:type="paragraph" w:customStyle="1" w:styleId="Intensievebenadrukking1">
    <w:name w:val="Intensieve benadrukking1"/>
    <w:basedOn w:val="Normal"/>
    <w:next w:val="Normal"/>
    <w:uiPriority w:val="98"/>
    <w:qFormat/>
    <w:rsid w:val="002328F8"/>
    <w:rPr>
      <w:i/>
      <w:color w:val="4F81BD"/>
    </w:rPr>
  </w:style>
  <w:style w:type="paragraph" w:customStyle="1" w:styleId="Intensieveverwijzing1">
    <w:name w:val="Intensieve verwijzing1"/>
    <w:basedOn w:val="Normal"/>
    <w:next w:val="Normal"/>
    <w:uiPriority w:val="98"/>
    <w:qFormat/>
    <w:rsid w:val="002328F8"/>
    <w:rPr>
      <w:b/>
      <w:smallCaps/>
      <w:color w:val="4F81BD"/>
      <w:spacing w:val="5"/>
    </w:rPr>
  </w:style>
  <w:style w:type="paragraph" w:customStyle="1" w:styleId="Kop11">
    <w:name w:val="Kop 11"/>
    <w:basedOn w:val="Normal"/>
    <w:next w:val="Normal"/>
    <w:qFormat/>
    <w:rsid w:val="002328F8"/>
    <w:pPr>
      <w:tabs>
        <w:tab w:val="left" w:pos="0"/>
      </w:tabs>
      <w:spacing w:before="120" w:after="120" w:line="300" w:lineRule="exact"/>
    </w:pPr>
    <w:rPr>
      <w:sz w:val="24"/>
      <w:szCs w:val="24"/>
    </w:rPr>
  </w:style>
  <w:style w:type="paragraph" w:customStyle="1" w:styleId="Kop21">
    <w:name w:val="Kop 21"/>
    <w:basedOn w:val="Normal"/>
    <w:next w:val="Normal"/>
    <w:uiPriority w:val="1"/>
    <w:qFormat/>
    <w:rsid w:val="002328F8"/>
    <w:pPr>
      <w:tabs>
        <w:tab w:val="left" w:pos="0"/>
      </w:tabs>
      <w:spacing w:before="240"/>
    </w:pPr>
    <w:rPr>
      <w:i/>
    </w:rPr>
  </w:style>
  <w:style w:type="paragraph" w:customStyle="1" w:styleId="Kop31">
    <w:name w:val="Kop 31"/>
    <w:basedOn w:val="Normal"/>
    <w:next w:val="Normal"/>
    <w:uiPriority w:val="2"/>
    <w:qFormat/>
    <w:rsid w:val="002328F8"/>
    <w:pPr>
      <w:tabs>
        <w:tab w:val="left" w:pos="0"/>
      </w:tabs>
      <w:spacing w:before="240"/>
      <w:ind w:left="-1120"/>
    </w:pPr>
  </w:style>
  <w:style w:type="paragraph" w:customStyle="1" w:styleId="Kop41">
    <w:name w:val="Kop 41"/>
    <w:basedOn w:val="Normal"/>
    <w:next w:val="Normal"/>
    <w:uiPriority w:val="3"/>
    <w:qFormat/>
    <w:rsid w:val="002328F8"/>
    <w:pPr>
      <w:tabs>
        <w:tab w:val="left" w:pos="0"/>
      </w:tabs>
      <w:spacing w:before="240"/>
      <w:ind w:left="-1120"/>
    </w:pPr>
  </w:style>
  <w:style w:type="paragraph" w:customStyle="1" w:styleId="Kop51">
    <w:name w:val="Kop 51"/>
    <w:basedOn w:val="Normal"/>
    <w:next w:val="Normal"/>
    <w:rsid w:val="002328F8"/>
    <w:pPr>
      <w:spacing w:line="320" w:lineRule="exact"/>
    </w:pPr>
    <w:rPr>
      <w:sz w:val="24"/>
      <w:szCs w:val="24"/>
    </w:rPr>
  </w:style>
  <w:style w:type="paragraph" w:customStyle="1" w:styleId="Ondertitel1">
    <w:name w:val="Ondertitel1"/>
    <w:basedOn w:val="Normal"/>
    <w:next w:val="Normal"/>
    <w:uiPriority w:val="8"/>
    <w:qFormat/>
    <w:rsid w:val="002328F8"/>
    <w:pPr>
      <w:spacing w:line="320" w:lineRule="atLeast"/>
    </w:pPr>
    <w:rPr>
      <w:sz w:val="24"/>
      <w:szCs w:val="24"/>
    </w:rPr>
  </w:style>
  <w:style w:type="paragraph" w:customStyle="1" w:styleId="Subtielebenadrukking1">
    <w:name w:val="Subtiele benadrukking1"/>
    <w:basedOn w:val="Normal"/>
    <w:next w:val="Normal"/>
    <w:uiPriority w:val="98"/>
    <w:qFormat/>
    <w:rsid w:val="002328F8"/>
    <w:rPr>
      <w:i/>
      <w:color w:val="404040"/>
    </w:rPr>
  </w:style>
  <w:style w:type="paragraph" w:customStyle="1" w:styleId="Subtieleverwijzing1">
    <w:name w:val="Subtiele verwijzing1"/>
    <w:basedOn w:val="Normal"/>
    <w:next w:val="Normal"/>
    <w:uiPriority w:val="98"/>
    <w:qFormat/>
    <w:rsid w:val="002328F8"/>
    <w:rPr>
      <w:smallCaps/>
      <w:color w:val="404040"/>
    </w:rPr>
  </w:style>
  <w:style w:type="table" w:customStyle="1" w:styleId="Tabelraster1">
    <w:name w:val="Tabelraster1"/>
    <w:rsid w:val="002328F8"/>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rsid w:val="002328F8"/>
    <w:pPr>
      <w:spacing w:line="320" w:lineRule="atLeast"/>
    </w:pPr>
    <w:rPr>
      <w:b/>
      <w:sz w:val="24"/>
      <w:szCs w:val="24"/>
    </w:rPr>
  </w:style>
  <w:style w:type="paragraph" w:customStyle="1" w:styleId="Titelvanboek1">
    <w:name w:val="Titel van boek1"/>
    <w:basedOn w:val="Normal"/>
    <w:next w:val="Normal"/>
    <w:uiPriority w:val="98"/>
    <w:qFormat/>
    <w:rsid w:val="002328F8"/>
    <w:rPr>
      <w:b/>
      <w:i/>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2869">
      <w:bodyDiv w:val="1"/>
      <w:marLeft w:val="0"/>
      <w:marRight w:val="0"/>
      <w:marTop w:val="0"/>
      <w:marBottom w:val="0"/>
      <w:divBdr>
        <w:top w:val="none" w:sz="0" w:space="0" w:color="auto"/>
        <w:left w:val="none" w:sz="0" w:space="0" w:color="auto"/>
        <w:bottom w:val="none" w:sz="0" w:space="0" w:color="auto"/>
        <w:right w:val="none" w:sz="0" w:space="0" w:color="auto"/>
      </w:divBdr>
    </w:div>
    <w:div w:id="389306175">
      <w:bodyDiv w:val="1"/>
      <w:marLeft w:val="0"/>
      <w:marRight w:val="0"/>
      <w:marTop w:val="0"/>
      <w:marBottom w:val="0"/>
      <w:divBdr>
        <w:top w:val="none" w:sz="0" w:space="0" w:color="auto"/>
        <w:left w:val="none" w:sz="0" w:space="0" w:color="auto"/>
        <w:bottom w:val="none" w:sz="0" w:space="0" w:color="auto"/>
        <w:right w:val="none" w:sz="0" w:space="0" w:color="auto"/>
      </w:divBdr>
    </w:div>
    <w:div w:id="483593856">
      <w:bodyDiv w:val="1"/>
      <w:marLeft w:val="0"/>
      <w:marRight w:val="0"/>
      <w:marTop w:val="0"/>
      <w:marBottom w:val="0"/>
      <w:divBdr>
        <w:top w:val="none" w:sz="0" w:space="0" w:color="auto"/>
        <w:left w:val="none" w:sz="0" w:space="0" w:color="auto"/>
        <w:bottom w:val="none" w:sz="0" w:space="0" w:color="auto"/>
        <w:right w:val="none" w:sz="0" w:space="0" w:color="auto"/>
      </w:divBdr>
    </w:div>
    <w:div w:id="485901167">
      <w:bodyDiv w:val="1"/>
      <w:marLeft w:val="0"/>
      <w:marRight w:val="0"/>
      <w:marTop w:val="0"/>
      <w:marBottom w:val="0"/>
      <w:divBdr>
        <w:top w:val="none" w:sz="0" w:space="0" w:color="auto"/>
        <w:left w:val="none" w:sz="0" w:space="0" w:color="auto"/>
        <w:bottom w:val="none" w:sz="0" w:space="0" w:color="auto"/>
        <w:right w:val="none" w:sz="0" w:space="0" w:color="auto"/>
      </w:divBdr>
    </w:div>
    <w:div w:id="487523273">
      <w:bodyDiv w:val="1"/>
      <w:marLeft w:val="0"/>
      <w:marRight w:val="0"/>
      <w:marTop w:val="0"/>
      <w:marBottom w:val="0"/>
      <w:divBdr>
        <w:top w:val="none" w:sz="0" w:space="0" w:color="auto"/>
        <w:left w:val="none" w:sz="0" w:space="0" w:color="auto"/>
        <w:bottom w:val="none" w:sz="0" w:space="0" w:color="auto"/>
        <w:right w:val="none" w:sz="0" w:space="0" w:color="auto"/>
      </w:divBdr>
    </w:div>
    <w:div w:id="516580866">
      <w:bodyDiv w:val="1"/>
      <w:marLeft w:val="0"/>
      <w:marRight w:val="0"/>
      <w:marTop w:val="0"/>
      <w:marBottom w:val="0"/>
      <w:divBdr>
        <w:top w:val="none" w:sz="0" w:space="0" w:color="auto"/>
        <w:left w:val="none" w:sz="0" w:space="0" w:color="auto"/>
        <w:bottom w:val="none" w:sz="0" w:space="0" w:color="auto"/>
        <w:right w:val="none" w:sz="0" w:space="0" w:color="auto"/>
      </w:divBdr>
    </w:div>
    <w:div w:id="520628196">
      <w:bodyDiv w:val="1"/>
      <w:marLeft w:val="0"/>
      <w:marRight w:val="0"/>
      <w:marTop w:val="0"/>
      <w:marBottom w:val="0"/>
      <w:divBdr>
        <w:top w:val="none" w:sz="0" w:space="0" w:color="auto"/>
        <w:left w:val="none" w:sz="0" w:space="0" w:color="auto"/>
        <w:bottom w:val="none" w:sz="0" w:space="0" w:color="auto"/>
        <w:right w:val="none" w:sz="0" w:space="0" w:color="auto"/>
      </w:divBdr>
    </w:div>
    <w:div w:id="623344983">
      <w:bodyDiv w:val="1"/>
      <w:marLeft w:val="0"/>
      <w:marRight w:val="0"/>
      <w:marTop w:val="0"/>
      <w:marBottom w:val="0"/>
      <w:divBdr>
        <w:top w:val="none" w:sz="0" w:space="0" w:color="auto"/>
        <w:left w:val="none" w:sz="0" w:space="0" w:color="auto"/>
        <w:bottom w:val="none" w:sz="0" w:space="0" w:color="auto"/>
        <w:right w:val="none" w:sz="0" w:space="0" w:color="auto"/>
      </w:divBdr>
    </w:div>
    <w:div w:id="921061348">
      <w:bodyDiv w:val="1"/>
      <w:marLeft w:val="0"/>
      <w:marRight w:val="0"/>
      <w:marTop w:val="0"/>
      <w:marBottom w:val="0"/>
      <w:divBdr>
        <w:top w:val="none" w:sz="0" w:space="0" w:color="auto"/>
        <w:left w:val="none" w:sz="0" w:space="0" w:color="auto"/>
        <w:bottom w:val="none" w:sz="0" w:space="0" w:color="auto"/>
        <w:right w:val="none" w:sz="0" w:space="0" w:color="auto"/>
      </w:divBdr>
    </w:div>
    <w:div w:id="937525210">
      <w:bodyDiv w:val="1"/>
      <w:marLeft w:val="0"/>
      <w:marRight w:val="0"/>
      <w:marTop w:val="0"/>
      <w:marBottom w:val="0"/>
      <w:divBdr>
        <w:top w:val="none" w:sz="0" w:space="0" w:color="auto"/>
        <w:left w:val="none" w:sz="0" w:space="0" w:color="auto"/>
        <w:bottom w:val="none" w:sz="0" w:space="0" w:color="auto"/>
        <w:right w:val="none" w:sz="0" w:space="0" w:color="auto"/>
      </w:divBdr>
    </w:div>
    <w:div w:id="1191407323">
      <w:bodyDiv w:val="1"/>
      <w:marLeft w:val="0"/>
      <w:marRight w:val="0"/>
      <w:marTop w:val="0"/>
      <w:marBottom w:val="0"/>
      <w:divBdr>
        <w:top w:val="none" w:sz="0" w:space="0" w:color="auto"/>
        <w:left w:val="none" w:sz="0" w:space="0" w:color="auto"/>
        <w:bottom w:val="none" w:sz="0" w:space="0" w:color="auto"/>
        <w:right w:val="none" w:sz="0" w:space="0" w:color="auto"/>
      </w:divBdr>
    </w:div>
    <w:div w:id="1297293945">
      <w:bodyDiv w:val="1"/>
      <w:marLeft w:val="0"/>
      <w:marRight w:val="0"/>
      <w:marTop w:val="0"/>
      <w:marBottom w:val="0"/>
      <w:divBdr>
        <w:top w:val="none" w:sz="0" w:space="0" w:color="auto"/>
        <w:left w:val="none" w:sz="0" w:space="0" w:color="auto"/>
        <w:bottom w:val="none" w:sz="0" w:space="0" w:color="auto"/>
        <w:right w:val="none" w:sz="0" w:space="0" w:color="auto"/>
      </w:divBdr>
    </w:div>
    <w:div w:id="1383947951">
      <w:bodyDiv w:val="1"/>
      <w:marLeft w:val="0"/>
      <w:marRight w:val="0"/>
      <w:marTop w:val="0"/>
      <w:marBottom w:val="0"/>
      <w:divBdr>
        <w:top w:val="none" w:sz="0" w:space="0" w:color="auto"/>
        <w:left w:val="none" w:sz="0" w:space="0" w:color="auto"/>
        <w:bottom w:val="none" w:sz="0" w:space="0" w:color="auto"/>
        <w:right w:val="none" w:sz="0" w:space="0" w:color="auto"/>
      </w:divBdr>
    </w:div>
    <w:div w:id="1418820148">
      <w:bodyDiv w:val="1"/>
      <w:marLeft w:val="0"/>
      <w:marRight w:val="0"/>
      <w:marTop w:val="0"/>
      <w:marBottom w:val="0"/>
      <w:divBdr>
        <w:top w:val="none" w:sz="0" w:space="0" w:color="auto"/>
        <w:left w:val="none" w:sz="0" w:space="0" w:color="auto"/>
        <w:bottom w:val="none" w:sz="0" w:space="0" w:color="auto"/>
        <w:right w:val="none" w:sz="0" w:space="0" w:color="auto"/>
      </w:divBdr>
    </w:div>
    <w:div w:id="1452238890">
      <w:bodyDiv w:val="1"/>
      <w:marLeft w:val="0"/>
      <w:marRight w:val="0"/>
      <w:marTop w:val="0"/>
      <w:marBottom w:val="0"/>
      <w:divBdr>
        <w:top w:val="none" w:sz="0" w:space="0" w:color="auto"/>
        <w:left w:val="none" w:sz="0" w:space="0" w:color="auto"/>
        <w:bottom w:val="none" w:sz="0" w:space="0" w:color="auto"/>
        <w:right w:val="none" w:sz="0" w:space="0" w:color="auto"/>
      </w:divBdr>
    </w:div>
    <w:div w:id="1466200163">
      <w:bodyDiv w:val="1"/>
      <w:marLeft w:val="0"/>
      <w:marRight w:val="0"/>
      <w:marTop w:val="0"/>
      <w:marBottom w:val="0"/>
      <w:divBdr>
        <w:top w:val="none" w:sz="0" w:space="0" w:color="auto"/>
        <w:left w:val="none" w:sz="0" w:space="0" w:color="auto"/>
        <w:bottom w:val="none" w:sz="0" w:space="0" w:color="auto"/>
        <w:right w:val="none" w:sz="0" w:space="0" w:color="auto"/>
      </w:divBdr>
    </w:div>
    <w:div w:id="1643316236">
      <w:bodyDiv w:val="1"/>
      <w:marLeft w:val="0"/>
      <w:marRight w:val="0"/>
      <w:marTop w:val="0"/>
      <w:marBottom w:val="0"/>
      <w:divBdr>
        <w:top w:val="none" w:sz="0" w:space="0" w:color="auto"/>
        <w:left w:val="none" w:sz="0" w:space="0" w:color="auto"/>
        <w:bottom w:val="none" w:sz="0" w:space="0" w:color="auto"/>
        <w:right w:val="none" w:sz="0" w:space="0" w:color="auto"/>
      </w:divBdr>
    </w:div>
    <w:div w:id="214153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webSetting" Target="webSettings0.xml" Id="rId25"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media/di5jkh3t/nl-20251218-european-council-conclusion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1381</ap:Words>
  <ap:Characters>7599</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Kamerbrief over de kabinetsinzet voor medische evacuaties uit Gaza</vt:lpstr>
    </vt:vector>
  </ap:TitlesOfParts>
  <ap:LinksUpToDate>false</ap:LinksUpToDate>
  <ap:CharactersWithSpaces>8963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2026-01-30T14:18:00.0000000Z</lastPrinted>
  <dcterms:created xsi:type="dcterms:W3CDTF">2026-01-30T14:17:00.0000000Z</dcterms:created>
  <dcterms:modified xsi:type="dcterms:W3CDTF">2026-01-30T14:18:00.0000000Z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_dlc_DocIdItemGuid">
    <vt:lpwstr>fcec4b5a-d672-4e66-9e48-2d59d655d041</vt:lpwstr>
  </property>
  <property fmtid="{D5CDD505-2E9C-101B-9397-08002B2CF9AE}" pid="24" name="URL">
    <vt:lpwstr>https://247.plaza.buzaservices.nl/subject/PV-RK2026012026/BZ2624378/Reguliere%20kamerbrief%20-%20Kamerbrief%20over%20de%20kabinetsinzet%20voor%20medische%20evacuaties%20uit%20Gaza%20(1).docx, </vt:lpwstr>
  </property>
  <property fmtid="{D5CDD505-2E9C-101B-9397-08002B2CF9AE}" pid="25" name="_docset_NoMedatataSyncRequired">
    <vt:lpwstr>False</vt:lpwstr>
  </property>
</Properties>
</file>