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92F" w:rsidR="00BF35EA" w:rsidP="00171F0B" w:rsidRDefault="00BF35EA" w14:paraId="57770CD7" w14:textId="79F6534E">
      <w:pPr>
        <w:pStyle w:val="Heading1"/>
        <w:numPr>
          <w:ilvl w:val="0"/>
          <w:numId w:val="0"/>
        </w:numPr>
        <w:spacing w:before="0" w:after="0" w:line="360" w:lineRule="auto"/>
        <w:rPr>
          <w:rFonts w:ascii="Verdana" w:hAnsi="Verdana"/>
          <w:b w:val="0"/>
          <w:sz w:val="18"/>
          <w:szCs w:val="18"/>
          <w:lang w:val="en-US"/>
        </w:rPr>
      </w:pPr>
      <w:bookmarkStart w:name="OLE_LINK1" w:id="0"/>
      <w:bookmarkStart w:name="OLE_LINK2" w:id="1"/>
      <w:r w:rsidRPr="00FE492F">
        <w:rPr>
          <w:rFonts w:ascii="Verdana" w:hAnsi="Verdana"/>
          <w:sz w:val="18"/>
          <w:szCs w:val="18"/>
          <w:lang w:val="en-US"/>
        </w:rPr>
        <w:t>Fiche</w:t>
      </w:r>
      <w:r w:rsidR="007E0196">
        <w:rPr>
          <w:rFonts w:ascii="Verdana" w:hAnsi="Verdana"/>
          <w:sz w:val="18"/>
          <w:szCs w:val="18"/>
          <w:lang w:val="en-US"/>
        </w:rPr>
        <w:t xml:space="preserve"> 4</w:t>
      </w:r>
      <w:r w:rsidR="0082095F">
        <w:rPr>
          <w:rFonts w:ascii="Verdana" w:hAnsi="Verdana"/>
          <w:sz w:val="18"/>
          <w:szCs w:val="18"/>
          <w:lang w:val="en-US"/>
        </w:rPr>
        <w:t>:</w:t>
      </w:r>
      <w:r w:rsidRPr="00FE492F">
        <w:rPr>
          <w:rFonts w:ascii="Verdana" w:hAnsi="Verdana"/>
          <w:sz w:val="18"/>
          <w:szCs w:val="18"/>
          <w:lang w:val="en-US"/>
        </w:rPr>
        <w:t xml:space="preserve"> </w:t>
      </w:r>
      <w:proofErr w:type="spellStart"/>
      <w:r w:rsidR="006A5F8C">
        <w:rPr>
          <w:rFonts w:ascii="Verdana" w:hAnsi="Verdana"/>
          <w:sz w:val="18"/>
          <w:szCs w:val="18"/>
          <w:lang w:val="en-US"/>
        </w:rPr>
        <w:t>Finaliteitsverordening</w:t>
      </w:r>
      <w:proofErr w:type="spellEnd"/>
      <w:r w:rsidRPr="00FE492F">
        <w:rPr>
          <w:rFonts w:ascii="Verdana" w:hAnsi="Verdana"/>
          <w:sz w:val="18"/>
          <w:szCs w:val="18"/>
          <w:lang w:val="en-US"/>
        </w:rPr>
        <w:br/>
      </w:r>
    </w:p>
    <w:p w:rsidRPr="00062717" w:rsidR="00BF35EA" w:rsidP="00171F0B" w:rsidRDefault="00BF35EA" w14:paraId="0D347A76" w14:textId="77777777">
      <w:pPr>
        <w:numPr>
          <w:ilvl w:val="0"/>
          <w:numId w:val="3"/>
        </w:numPr>
        <w:spacing w:after="0" w:line="360" w:lineRule="auto"/>
        <w:rPr>
          <w:rFonts w:ascii="Verdana" w:hAnsi="Verdana"/>
          <w:b/>
          <w:sz w:val="18"/>
          <w:szCs w:val="18"/>
        </w:rPr>
      </w:pPr>
      <w:r w:rsidRPr="00062717">
        <w:rPr>
          <w:rFonts w:ascii="Verdana" w:hAnsi="Verdana"/>
          <w:b/>
          <w:sz w:val="18"/>
          <w:szCs w:val="18"/>
        </w:rPr>
        <w:t>Algemene gegevens</w:t>
      </w:r>
    </w:p>
    <w:p w:rsidRPr="00BF35EA" w:rsidR="00BF35EA" w:rsidP="00171F0B" w:rsidRDefault="00BF35EA" w14:paraId="6C445D26" w14:textId="7FFDF8D7">
      <w:pPr>
        <w:numPr>
          <w:ilvl w:val="0"/>
          <w:numId w:val="22"/>
        </w:numPr>
        <w:spacing w:after="0" w:line="360" w:lineRule="auto"/>
        <w:rPr>
          <w:rFonts w:ascii="Verdana" w:hAnsi="Verdana"/>
          <w:i/>
          <w:iCs/>
          <w:sz w:val="18"/>
          <w:szCs w:val="18"/>
        </w:rPr>
      </w:pPr>
      <w:bookmarkStart w:name="_Hlk131759673" w:id="2"/>
      <w:r w:rsidRPr="00062717">
        <w:rPr>
          <w:rFonts w:ascii="Verdana" w:hAnsi="Verdana"/>
          <w:i/>
          <w:iCs/>
          <w:sz w:val="18"/>
          <w:szCs w:val="18"/>
        </w:rPr>
        <w:t>Titel voorstel</w:t>
      </w:r>
      <w:bookmarkStart w:name="_Hlk131759690" w:id="3"/>
      <w:bookmarkEnd w:id="2"/>
    </w:p>
    <w:bookmarkEnd w:id="3"/>
    <w:p w:rsidR="007B19EE" w:rsidP="006A5F8C" w:rsidRDefault="0055513A" w14:paraId="68233D0A" w14:textId="587D8908">
      <w:pPr>
        <w:spacing w:after="0" w:line="360" w:lineRule="auto"/>
        <w:rPr>
          <w:rFonts w:ascii="Verdana" w:hAnsi="Verdana"/>
          <w:iCs/>
          <w:sz w:val="18"/>
          <w:szCs w:val="18"/>
        </w:rPr>
      </w:pPr>
      <w:r w:rsidRPr="00C73F93">
        <w:rPr>
          <w:rFonts w:ascii="Verdana" w:hAnsi="Verdana"/>
          <w:iCs/>
          <w:sz w:val="18"/>
          <w:szCs w:val="18"/>
        </w:rPr>
        <w:t xml:space="preserve">Voorstel voor een Verordening van het Europees Parlement en de Raad </w:t>
      </w:r>
      <w:r w:rsidRPr="00C73F93" w:rsidR="006A5F8C">
        <w:rPr>
          <w:rFonts w:ascii="Verdana" w:hAnsi="Verdana"/>
          <w:iCs/>
          <w:sz w:val="18"/>
          <w:szCs w:val="18"/>
        </w:rPr>
        <w:t>betreffende het definitieve karakter van de afwikkeling van effecten en het intrekken van Richtlijn 98/26/E</w:t>
      </w:r>
      <w:r w:rsidR="00D740E4">
        <w:rPr>
          <w:rFonts w:ascii="Verdana" w:hAnsi="Verdana"/>
          <w:iCs/>
          <w:sz w:val="18"/>
          <w:szCs w:val="18"/>
        </w:rPr>
        <w:t>G</w:t>
      </w:r>
      <w:r w:rsidRPr="00C73F93" w:rsidR="006A5F8C">
        <w:rPr>
          <w:rFonts w:ascii="Verdana" w:hAnsi="Verdana"/>
          <w:iCs/>
          <w:sz w:val="18"/>
          <w:szCs w:val="18"/>
        </w:rPr>
        <w:t xml:space="preserve"> en ter wijziging van Richtlijn 2002/47/EG met betrekking tot </w:t>
      </w:r>
      <w:proofErr w:type="spellStart"/>
      <w:r w:rsidRPr="00C73F93" w:rsidR="006A5F8C">
        <w:rPr>
          <w:rFonts w:ascii="Verdana" w:hAnsi="Verdana"/>
          <w:iCs/>
          <w:sz w:val="18"/>
          <w:szCs w:val="18"/>
        </w:rPr>
        <w:t>financiëlezekerheidsovereenkomsten</w:t>
      </w:r>
      <w:proofErr w:type="spellEnd"/>
      <w:r w:rsidRPr="00C73F93" w:rsidR="006A5F8C">
        <w:rPr>
          <w:rFonts w:ascii="Verdana" w:hAnsi="Verdana"/>
          <w:iCs/>
          <w:sz w:val="18"/>
          <w:szCs w:val="18"/>
        </w:rPr>
        <w:t>.</w:t>
      </w:r>
      <w:r w:rsidR="00AC3BD8">
        <w:rPr>
          <w:rFonts w:ascii="Verdana" w:hAnsi="Verdana"/>
          <w:iCs/>
          <w:sz w:val="18"/>
          <w:szCs w:val="18"/>
        </w:rPr>
        <w:t xml:space="preserve"> </w:t>
      </w:r>
    </w:p>
    <w:p w:rsidR="00672271" w:rsidP="00171F0B" w:rsidRDefault="00672271" w14:paraId="193A5B30" w14:textId="77777777">
      <w:pPr>
        <w:spacing w:after="0" w:line="360" w:lineRule="auto"/>
        <w:rPr>
          <w:rFonts w:ascii="Verdana" w:hAnsi="Verdana"/>
          <w:iCs/>
          <w:sz w:val="18"/>
          <w:szCs w:val="18"/>
        </w:rPr>
      </w:pPr>
    </w:p>
    <w:p w:rsidRPr="00062717" w:rsidR="00BF35EA" w:rsidP="00171F0B" w:rsidRDefault="00BF35EA" w14:paraId="2DAAC72F" w14:textId="77777777">
      <w:pPr>
        <w:numPr>
          <w:ilvl w:val="0"/>
          <w:numId w:val="22"/>
        </w:numPr>
        <w:spacing w:after="0" w:line="360" w:lineRule="auto"/>
        <w:rPr>
          <w:rFonts w:ascii="Verdana" w:hAnsi="Verdana"/>
          <w:i/>
          <w:iCs/>
          <w:sz w:val="18"/>
          <w:szCs w:val="18"/>
        </w:rPr>
      </w:pPr>
      <w:r w:rsidRPr="00062717">
        <w:rPr>
          <w:rFonts w:ascii="Verdana" w:hAnsi="Verdana"/>
          <w:i/>
          <w:iCs/>
          <w:sz w:val="18"/>
          <w:szCs w:val="18"/>
        </w:rPr>
        <w:t>Datum ontvangst Commissiedocument</w:t>
      </w:r>
    </w:p>
    <w:p w:rsidRPr="00D9050D" w:rsidR="00BF35EA" w:rsidP="00171F0B" w:rsidRDefault="006702C0" w14:paraId="4C490C71" w14:textId="487ED4C5">
      <w:pPr>
        <w:spacing w:after="0" w:line="360" w:lineRule="auto"/>
        <w:rPr>
          <w:rFonts w:ascii="Verdana" w:hAnsi="Verdana"/>
          <w:bCs/>
          <w:sz w:val="18"/>
          <w:szCs w:val="18"/>
          <w:lang w:val="en-US"/>
        </w:rPr>
      </w:pPr>
      <w:r>
        <w:rPr>
          <w:rFonts w:ascii="Verdana" w:hAnsi="Verdana"/>
          <w:iCs/>
          <w:sz w:val="18"/>
          <w:szCs w:val="18"/>
        </w:rPr>
        <w:t>4</w:t>
      </w:r>
      <w:r w:rsidR="006A5F8C">
        <w:rPr>
          <w:rFonts w:ascii="Verdana" w:hAnsi="Verdana"/>
          <w:iCs/>
          <w:sz w:val="18"/>
          <w:szCs w:val="18"/>
        </w:rPr>
        <w:t xml:space="preserve"> december 2025</w:t>
      </w:r>
      <w:r w:rsidRPr="009726C3" w:rsidR="00D9050D">
        <w:rPr>
          <w:rFonts w:ascii="Verdana" w:hAnsi="Verdana"/>
          <w:iCs/>
          <w:sz w:val="18"/>
          <w:szCs w:val="18"/>
        </w:rPr>
        <w:t xml:space="preserve"> </w:t>
      </w:r>
    </w:p>
    <w:p w:rsidRPr="00BF35EA" w:rsidR="00BF35EA" w:rsidP="00171F0B" w:rsidRDefault="00BF35EA" w14:paraId="7314C072" w14:textId="77777777">
      <w:pPr>
        <w:tabs>
          <w:tab w:val="left" w:pos="0"/>
          <w:tab w:val="left" w:pos="680"/>
          <w:tab w:val="left" w:pos="1021"/>
          <w:tab w:val="left" w:pos="1361"/>
          <w:tab w:val="left" w:pos="1701"/>
          <w:tab w:val="left" w:pos="3402"/>
        </w:tabs>
        <w:spacing w:after="0" w:line="360" w:lineRule="auto"/>
        <w:rPr>
          <w:rFonts w:ascii="Verdana" w:hAnsi="Verdana"/>
          <w:b/>
          <w:iCs/>
          <w:sz w:val="18"/>
          <w:szCs w:val="18"/>
        </w:rPr>
      </w:pPr>
    </w:p>
    <w:p w:rsidRPr="00062717" w:rsidR="00BF35EA" w:rsidP="00D31D24" w:rsidRDefault="00BF35EA" w14:paraId="296F20D8" w14:textId="77777777">
      <w:pPr>
        <w:numPr>
          <w:ilvl w:val="0"/>
          <w:numId w:val="22"/>
        </w:numPr>
        <w:spacing w:after="0" w:line="360" w:lineRule="auto"/>
        <w:rPr>
          <w:rFonts w:ascii="Verdana" w:hAnsi="Verdana"/>
          <w:i/>
          <w:iCs/>
          <w:sz w:val="18"/>
          <w:szCs w:val="18"/>
        </w:rPr>
      </w:pPr>
      <w:r w:rsidRPr="00062717">
        <w:rPr>
          <w:rFonts w:ascii="Verdana" w:hAnsi="Verdana"/>
          <w:i/>
          <w:iCs/>
          <w:sz w:val="18"/>
          <w:szCs w:val="18"/>
        </w:rPr>
        <w:t>Nr. Commissiedocument</w:t>
      </w:r>
    </w:p>
    <w:p w:rsidR="009726C3" w:rsidP="00D31D24" w:rsidRDefault="009726C3" w14:paraId="53601B15" w14:textId="1AA2A35F">
      <w:pPr>
        <w:spacing w:after="0" w:line="360" w:lineRule="auto"/>
        <w:rPr>
          <w:rFonts w:ascii="Verdana" w:hAnsi="Verdana"/>
          <w:iCs/>
          <w:sz w:val="18"/>
          <w:szCs w:val="18"/>
          <w:lang w:val="en-US"/>
        </w:rPr>
      </w:pPr>
      <w:r w:rsidRPr="00350FD0">
        <w:rPr>
          <w:rFonts w:ascii="Verdana" w:hAnsi="Verdana"/>
          <w:iCs/>
          <w:sz w:val="18"/>
          <w:szCs w:val="18"/>
          <w:lang w:val="en-US"/>
        </w:rPr>
        <w:t xml:space="preserve">COM(2025) </w:t>
      </w:r>
      <w:r w:rsidRPr="00350FD0" w:rsidR="006702C0">
        <w:rPr>
          <w:rFonts w:ascii="Verdana" w:hAnsi="Verdana"/>
          <w:iCs/>
          <w:sz w:val="18"/>
          <w:szCs w:val="18"/>
          <w:lang w:val="en-US"/>
        </w:rPr>
        <w:t>941</w:t>
      </w:r>
      <w:r w:rsidRPr="00350FD0" w:rsidDel="009726C3">
        <w:rPr>
          <w:rFonts w:ascii="Verdana" w:hAnsi="Verdana"/>
          <w:iCs/>
          <w:sz w:val="18"/>
          <w:szCs w:val="18"/>
          <w:lang w:val="en-US"/>
        </w:rPr>
        <w:t xml:space="preserve"> </w:t>
      </w:r>
    </w:p>
    <w:p w:rsidRPr="009726C3" w:rsidR="00D31D24" w:rsidP="00D31D24" w:rsidRDefault="00D31D24" w14:paraId="6F28B9F8" w14:textId="77777777">
      <w:pPr>
        <w:spacing w:after="0" w:line="360" w:lineRule="auto"/>
        <w:rPr>
          <w:bCs/>
          <w:lang w:val="en-US"/>
        </w:rPr>
      </w:pPr>
    </w:p>
    <w:p w:rsidRPr="00062717" w:rsidR="00BF35EA" w:rsidP="00D31D24" w:rsidRDefault="00BF35EA" w14:paraId="5FFE291A" w14:textId="77777777">
      <w:pPr>
        <w:numPr>
          <w:ilvl w:val="0"/>
          <w:numId w:val="22"/>
        </w:numPr>
        <w:spacing w:after="0" w:line="360" w:lineRule="auto"/>
        <w:rPr>
          <w:rFonts w:ascii="Verdana" w:hAnsi="Verdana"/>
          <w:i/>
          <w:iCs/>
          <w:sz w:val="18"/>
          <w:szCs w:val="18"/>
        </w:rPr>
      </w:pPr>
      <w:r w:rsidRPr="00062717">
        <w:rPr>
          <w:rFonts w:ascii="Verdana" w:hAnsi="Verdana"/>
          <w:i/>
          <w:iCs/>
          <w:sz w:val="18"/>
          <w:szCs w:val="18"/>
        </w:rPr>
        <w:t>EUR-lex</w:t>
      </w:r>
    </w:p>
    <w:p w:rsidR="00BF35EA" w:rsidP="00D31D24" w:rsidRDefault="00D31D24" w14:paraId="5BB99655" w14:textId="0F6E11C5">
      <w:pPr>
        <w:spacing w:after="0" w:line="360" w:lineRule="auto"/>
      </w:pPr>
      <w:hyperlink w:history="1" r:id="rId12">
        <w:r w:rsidRPr="0024385F">
          <w:rPr>
            <w:rStyle w:val="Hyperlink"/>
          </w:rPr>
          <w:t>https://eur-lex.europa.eu/legal-content/EN/TXT/PDF/?uri=CELEX:52025PC0941</w:t>
        </w:r>
      </w:hyperlink>
    </w:p>
    <w:p w:rsidR="00D31D24" w:rsidP="00D31D24" w:rsidRDefault="00D31D24" w14:paraId="724CA446" w14:textId="77777777">
      <w:pPr>
        <w:spacing w:after="0" w:line="360" w:lineRule="auto"/>
      </w:pPr>
    </w:p>
    <w:p w:rsidRPr="00062717" w:rsidR="00BF35EA" w:rsidP="00D31D24" w:rsidRDefault="00BF35EA" w14:paraId="79C91204" w14:textId="77777777">
      <w:pPr>
        <w:numPr>
          <w:ilvl w:val="0"/>
          <w:numId w:val="22"/>
        </w:numPr>
        <w:spacing w:after="0" w:line="360" w:lineRule="auto"/>
        <w:rPr>
          <w:rFonts w:ascii="Verdana" w:hAnsi="Verdana"/>
          <w:i/>
          <w:iCs/>
          <w:sz w:val="18"/>
          <w:szCs w:val="18"/>
        </w:rPr>
      </w:pPr>
      <w:r w:rsidRPr="00062717">
        <w:rPr>
          <w:rFonts w:ascii="Verdana" w:hAnsi="Verdana"/>
          <w:i/>
          <w:iCs/>
          <w:sz w:val="18"/>
          <w:szCs w:val="18"/>
        </w:rPr>
        <w:t xml:space="preserve">Nr. impact assessment Commissie en Opinie </w:t>
      </w:r>
      <w:r w:rsidRPr="00062717">
        <w:rPr>
          <w:rFonts w:ascii="Verdana" w:hAnsi="Verdana"/>
          <w:i/>
          <w:sz w:val="18"/>
          <w:szCs w:val="18"/>
        </w:rPr>
        <w:t>Raad voor Regelgevingstoetsing</w:t>
      </w:r>
    </w:p>
    <w:p w:rsidRPr="00350FD0" w:rsidR="0087729C" w:rsidP="00D31D24" w:rsidRDefault="0087729C" w14:paraId="324E6C18" w14:textId="14B34901">
      <w:pPr>
        <w:spacing w:after="0" w:line="360" w:lineRule="auto"/>
        <w:rPr>
          <w:bCs/>
        </w:rPr>
      </w:pPr>
      <w:r w:rsidRPr="00350FD0">
        <w:rPr>
          <w:rFonts w:ascii="Verdana" w:hAnsi="Verdana"/>
          <w:iCs/>
          <w:sz w:val="18"/>
          <w:szCs w:val="18"/>
        </w:rPr>
        <w:t xml:space="preserve">SWD(2025) </w:t>
      </w:r>
      <w:r w:rsidRPr="00350FD0" w:rsidR="006702C0">
        <w:rPr>
          <w:rFonts w:ascii="Verdana" w:hAnsi="Verdana"/>
          <w:iCs/>
          <w:sz w:val="18"/>
          <w:szCs w:val="18"/>
        </w:rPr>
        <w:t>943</w:t>
      </w:r>
      <w:r w:rsidRPr="00350FD0">
        <w:rPr>
          <w:rFonts w:ascii="Verdana" w:hAnsi="Verdana"/>
          <w:iCs/>
          <w:sz w:val="18"/>
          <w:szCs w:val="18"/>
        </w:rPr>
        <w:t xml:space="preserve"> en </w:t>
      </w:r>
      <w:r w:rsidRPr="00350FD0" w:rsidR="006702C0">
        <w:rPr>
          <w:rFonts w:ascii="Verdana" w:hAnsi="Verdana"/>
          <w:iCs/>
          <w:sz w:val="18"/>
          <w:szCs w:val="18"/>
        </w:rPr>
        <w:t>SEC</w:t>
      </w:r>
      <w:r w:rsidRPr="00350FD0">
        <w:rPr>
          <w:rFonts w:ascii="Verdana" w:hAnsi="Verdana"/>
          <w:iCs/>
          <w:sz w:val="18"/>
          <w:szCs w:val="18"/>
        </w:rPr>
        <w:t xml:space="preserve">(2025) </w:t>
      </w:r>
      <w:r w:rsidRPr="00350FD0" w:rsidR="006702C0">
        <w:rPr>
          <w:rFonts w:ascii="Verdana" w:hAnsi="Verdana"/>
          <w:iCs/>
          <w:sz w:val="18"/>
          <w:szCs w:val="18"/>
        </w:rPr>
        <w:t>943</w:t>
      </w:r>
      <w:r w:rsidRPr="00350FD0" w:rsidDel="0087729C" w:rsidR="006702C0">
        <w:rPr>
          <w:rFonts w:ascii="Verdana" w:hAnsi="Verdana"/>
          <w:iCs/>
          <w:sz w:val="18"/>
          <w:szCs w:val="18"/>
        </w:rPr>
        <w:t xml:space="preserve"> </w:t>
      </w:r>
    </w:p>
    <w:p w:rsidRPr="00D31D24" w:rsidR="00D31D24" w:rsidP="00D31D24" w:rsidRDefault="00D31D24" w14:paraId="3F6AF42F" w14:textId="77777777">
      <w:pPr>
        <w:spacing w:after="0" w:line="360" w:lineRule="auto"/>
        <w:rPr>
          <w:rFonts w:ascii="Verdana" w:hAnsi="Verdana"/>
          <w:i/>
          <w:iCs/>
          <w:sz w:val="18"/>
          <w:szCs w:val="18"/>
        </w:rPr>
      </w:pPr>
    </w:p>
    <w:p w:rsidRPr="00062717" w:rsidR="00BF35EA" w:rsidP="00D31D24" w:rsidRDefault="00BF35EA" w14:paraId="7462C56D" w14:textId="03ABE893">
      <w:pPr>
        <w:numPr>
          <w:ilvl w:val="0"/>
          <w:numId w:val="22"/>
        </w:numPr>
        <w:spacing w:after="0" w:line="360" w:lineRule="auto"/>
        <w:rPr>
          <w:rFonts w:ascii="Verdana" w:hAnsi="Verdana"/>
          <w:i/>
          <w:iCs/>
          <w:sz w:val="18"/>
          <w:szCs w:val="18"/>
        </w:rPr>
      </w:pPr>
      <w:r w:rsidRPr="00062717">
        <w:rPr>
          <w:rFonts w:ascii="Verdana" w:hAnsi="Verdana"/>
          <w:i/>
          <w:iCs/>
          <w:sz w:val="18"/>
          <w:szCs w:val="18"/>
        </w:rPr>
        <w:t>Behandelingstraject Raad</w:t>
      </w:r>
    </w:p>
    <w:p w:rsidRPr="00062717" w:rsidR="00BF35EA" w:rsidP="00D31D24" w:rsidRDefault="00BF35EA" w14:paraId="0C3CDBA4" w14:textId="29A06FC2">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r w:rsidRPr="0055513A">
        <w:rPr>
          <w:rFonts w:ascii="Verdana" w:hAnsi="Verdana"/>
          <w:iCs/>
          <w:sz w:val="18"/>
          <w:szCs w:val="18"/>
        </w:rPr>
        <w:t>Raad Economische en Financiële Zaken</w:t>
      </w:r>
      <w:r w:rsidRPr="0055513A" w:rsidR="00D9050D">
        <w:rPr>
          <w:rFonts w:ascii="Verdana" w:hAnsi="Verdana"/>
          <w:iCs/>
          <w:sz w:val="18"/>
          <w:szCs w:val="18"/>
        </w:rPr>
        <w:t xml:space="preserve"> </w:t>
      </w:r>
    </w:p>
    <w:p w:rsidRPr="00062717" w:rsidR="00BF35EA" w:rsidP="00171F0B" w:rsidRDefault="00BF35EA" w14:paraId="15C2CB91" w14:textId="77777777">
      <w:pPr>
        <w:spacing w:after="0" w:line="360" w:lineRule="auto"/>
        <w:rPr>
          <w:rFonts w:ascii="Verdana" w:hAnsi="Verdana"/>
          <w:i/>
          <w:iCs/>
          <w:sz w:val="18"/>
          <w:szCs w:val="18"/>
        </w:rPr>
      </w:pPr>
    </w:p>
    <w:p w:rsidRPr="00062717" w:rsidR="00BF35EA" w:rsidP="00171F0B" w:rsidRDefault="00BF35EA" w14:paraId="6D083ADC" w14:textId="77777777">
      <w:pPr>
        <w:numPr>
          <w:ilvl w:val="0"/>
          <w:numId w:val="22"/>
        </w:numPr>
        <w:spacing w:after="0" w:line="360" w:lineRule="auto"/>
        <w:rPr>
          <w:rFonts w:ascii="Verdana" w:hAnsi="Verdana"/>
          <w:i/>
          <w:sz w:val="18"/>
          <w:szCs w:val="18"/>
        </w:rPr>
      </w:pPr>
      <w:r w:rsidRPr="00062717">
        <w:rPr>
          <w:rFonts w:ascii="Verdana" w:hAnsi="Verdana"/>
          <w:i/>
          <w:sz w:val="18"/>
          <w:szCs w:val="18"/>
        </w:rPr>
        <w:t>Eerstverantwoordelijk ministerie</w:t>
      </w:r>
    </w:p>
    <w:p w:rsidRPr="00062717" w:rsidR="00BF35EA" w:rsidP="00171F0B" w:rsidRDefault="00BF35EA" w14:paraId="6FC70B2C" w14:textId="77777777">
      <w:pPr>
        <w:spacing w:after="0" w:line="360" w:lineRule="auto"/>
        <w:rPr>
          <w:rFonts w:ascii="Verdana" w:hAnsi="Verdana"/>
          <w:sz w:val="18"/>
          <w:szCs w:val="18"/>
          <w:lang w:eastAsia="nl-NL"/>
        </w:rPr>
      </w:pPr>
      <w:r w:rsidRPr="00062717">
        <w:rPr>
          <w:rFonts w:ascii="Verdana" w:hAnsi="Verdana"/>
          <w:sz w:val="18"/>
          <w:szCs w:val="18"/>
          <w:lang w:eastAsia="nl-NL"/>
        </w:rPr>
        <w:t xml:space="preserve">Ministerie van Financiën </w:t>
      </w:r>
    </w:p>
    <w:p w:rsidRPr="00062717" w:rsidR="00BF35EA" w:rsidP="00171F0B" w:rsidRDefault="00BF35EA" w14:paraId="42047D90" w14:textId="77777777">
      <w:pPr>
        <w:spacing w:after="0" w:line="360" w:lineRule="auto"/>
        <w:rPr>
          <w:rFonts w:ascii="Verdana" w:hAnsi="Verdana"/>
          <w:i/>
          <w:sz w:val="18"/>
          <w:szCs w:val="18"/>
        </w:rPr>
      </w:pPr>
    </w:p>
    <w:p w:rsidRPr="00062717" w:rsidR="00BF35EA" w:rsidP="00171F0B" w:rsidRDefault="00BF35EA" w14:paraId="4151CA6A" w14:textId="77777777">
      <w:pPr>
        <w:numPr>
          <w:ilvl w:val="0"/>
          <w:numId w:val="22"/>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
          <w:sz w:val="18"/>
          <w:szCs w:val="18"/>
        </w:rPr>
      </w:pPr>
      <w:r w:rsidRPr="00062717">
        <w:rPr>
          <w:rFonts w:ascii="Verdana" w:hAnsi="Verdana"/>
          <w:i/>
          <w:sz w:val="18"/>
          <w:szCs w:val="18"/>
        </w:rPr>
        <w:t>Rechtsbasis</w:t>
      </w:r>
    </w:p>
    <w:p w:rsidR="00D31D24" w:rsidP="00D31D24" w:rsidRDefault="007B19EE" w14:paraId="4E159F7C" w14:textId="1269FD94">
      <w:pPr>
        <w:spacing w:after="0" w:line="360" w:lineRule="auto"/>
        <w:rPr>
          <w:rFonts w:ascii="Verdana" w:hAnsi="Verdana"/>
          <w:iCs/>
          <w:sz w:val="18"/>
          <w:szCs w:val="18"/>
        </w:rPr>
      </w:pPr>
      <w:r w:rsidRPr="00E741E9">
        <w:rPr>
          <w:rFonts w:ascii="Verdana" w:hAnsi="Verdana"/>
          <w:iCs/>
          <w:sz w:val="18"/>
          <w:szCs w:val="18"/>
        </w:rPr>
        <w:t xml:space="preserve">Artikel 114 </w:t>
      </w:r>
      <w:r w:rsidR="001D1AF2">
        <w:rPr>
          <w:rFonts w:ascii="Verdana" w:hAnsi="Verdana"/>
          <w:iCs/>
          <w:sz w:val="18"/>
          <w:szCs w:val="18"/>
        </w:rPr>
        <w:t>van het Verdrag betreffende de Werking van de Europese Unie (</w:t>
      </w:r>
      <w:r w:rsidRPr="00E741E9">
        <w:rPr>
          <w:rFonts w:ascii="Verdana" w:hAnsi="Verdana"/>
          <w:iCs/>
          <w:sz w:val="18"/>
          <w:szCs w:val="18"/>
        </w:rPr>
        <w:t>VWEU</w:t>
      </w:r>
      <w:r w:rsidR="001D1AF2">
        <w:rPr>
          <w:rFonts w:ascii="Verdana" w:hAnsi="Verdana"/>
          <w:iCs/>
          <w:sz w:val="18"/>
          <w:szCs w:val="18"/>
        </w:rPr>
        <w:t>)</w:t>
      </w:r>
      <w:r w:rsidRPr="00E741E9">
        <w:rPr>
          <w:rFonts w:ascii="Verdana" w:hAnsi="Verdana"/>
          <w:iCs/>
          <w:sz w:val="18"/>
          <w:szCs w:val="18"/>
        </w:rPr>
        <w:t xml:space="preserve"> </w:t>
      </w:r>
    </w:p>
    <w:p w:rsidRPr="00D31D24" w:rsidR="00D31D24" w:rsidP="00D31D24" w:rsidRDefault="00D31D24" w14:paraId="07365889" w14:textId="77777777">
      <w:pPr>
        <w:spacing w:after="0" w:line="360" w:lineRule="auto"/>
        <w:rPr>
          <w:rFonts w:ascii="Verdana" w:hAnsi="Verdana"/>
          <w:i/>
          <w:sz w:val="18"/>
          <w:szCs w:val="18"/>
        </w:rPr>
      </w:pPr>
    </w:p>
    <w:p w:rsidRPr="00D31D24" w:rsidR="00BF35EA" w:rsidP="00D31D24" w:rsidRDefault="00BF35EA" w14:paraId="1B4981AE" w14:textId="2E943808">
      <w:pPr>
        <w:pStyle w:val="ListParagraph"/>
        <w:numPr>
          <w:ilvl w:val="0"/>
          <w:numId w:val="22"/>
        </w:numPr>
        <w:spacing w:line="360" w:lineRule="auto"/>
        <w:rPr>
          <w:rFonts w:ascii="Verdana" w:hAnsi="Verdana"/>
          <w:i/>
          <w:sz w:val="18"/>
          <w:szCs w:val="18"/>
        </w:rPr>
      </w:pPr>
      <w:r w:rsidRPr="00D31D24">
        <w:rPr>
          <w:rFonts w:ascii="Verdana" w:hAnsi="Verdana"/>
          <w:i/>
          <w:sz w:val="18"/>
          <w:szCs w:val="18"/>
        </w:rPr>
        <w:t>Besluitvormingsprocedure Raad</w:t>
      </w:r>
    </w:p>
    <w:p w:rsidRPr="00062717" w:rsidR="00BF35EA" w:rsidP="00171F0B" w:rsidRDefault="00BF35EA" w14:paraId="6E00C3E7"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Cs/>
          <w:sz w:val="18"/>
          <w:szCs w:val="18"/>
        </w:rPr>
      </w:pPr>
      <w:r w:rsidRPr="00062717">
        <w:rPr>
          <w:rFonts w:ascii="Verdana" w:hAnsi="Verdana"/>
          <w:iCs/>
          <w:sz w:val="18"/>
          <w:szCs w:val="18"/>
        </w:rPr>
        <w:t>Gekwalificeerde meerderheid</w:t>
      </w:r>
    </w:p>
    <w:p w:rsidRPr="00062717" w:rsidR="00BF35EA" w:rsidP="00171F0B" w:rsidRDefault="00BF35EA" w14:paraId="2E687100"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Cs/>
          <w:sz w:val="18"/>
          <w:szCs w:val="18"/>
        </w:rPr>
      </w:pPr>
    </w:p>
    <w:p w:rsidRPr="00672271" w:rsidR="00BF35EA" w:rsidP="00171F0B" w:rsidRDefault="00BF35EA" w14:paraId="77C3DF0B" w14:textId="77777777">
      <w:pPr>
        <w:pStyle w:val="ListParagraph"/>
        <w:numPr>
          <w:ilvl w:val="0"/>
          <w:numId w:val="22"/>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672271">
        <w:rPr>
          <w:rFonts w:ascii="Verdana" w:hAnsi="Verdana"/>
          <w:i/>
          <w:sz w:val="18"/>
          <w:szCs w:val="18"/>
        </w:rPr>
        <w:t>Rol van het Parlement</w:t>
      </w:r>
    </w:p>
    <w:p w:rsidRPr="00062717" w:rsidR="00BF35EA" w:rsidP="00171F0B" w:rsidRDefault="00BF35EA" w14:paraId="3050A53A"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Cs/>
          <w:sz w:val="18"/>
          <w:szCs w:val="18"/>
        </w:rPr>
      </w:pPr>
      <w:r w:rsidRPr="00062717">
        <w:rPr>
          <w:rFonts w:ascii="Verdana" w:hAnsi="Verdana"/>
          <w:iCs/>
          <w:sz w:val="18"/>
          <w:szCs w:val="18"/>
        </w:rPr>
        <w:t>Medebeslissing</w:t>
      </w:r>
    </w:p>
    <w:p w:rsidR="00171F0B" w:rsidP="00171F0B" w:rsidRDefault="00171F0B" w14:paraId="519E6C9D" w14:textId="77777777">
      <w:pPr>
        <w:spacing w:after="0" w:line="360" w:lineRule="auto"/>
        <w:rPr>
          <w:rFonts w:ascii="Verdana" w:hAnsi="Verdana"/>
          <w:b/>
          <w:sz w:val="18"/>
          <w:szCs w:val="18"/>
        </w:rPr>
      </w:pPr>
    </w:p>
    <w:p w:rsidR="00171F0B" w:rsidP="00171F0B" w:rsidRDefault="00171F0B" w14:paraId="7F731022" w14:textId="77777777">
      <w:pPr>
        <w:spacing w:after="0" w:line="360" w:lineRule="auto"/>
        <w:rPr>
          <w:rFonts w:ascii="Verdana" w:hAnsi="Verdana"/>
          <w:b/>
          <w:sz w:val="18"/>
          <w:szCs w:val="18"/>
        </w:rPr>
      </w:pPr>
    </w:p>
    <w:p w:rsidR="006A5F8C" w:rsidP="00171F0B" w:rsidRDefault="00BF35EA" w14:paraId="6B9CB7FB" w14:textId="77777777">
      <w:pPr>
        <w:spacing w:after="0" w:line="360" w:lineRule="auto"/>
        <w:rPr>
          <w:rFonts w:ascii="Verdana" w:hAnsi="Verdana"/>
          <w:b/>
          <w:sz w:val="18"/>
          <w:szCs w:val="18"/>
        </w:rPr>
      </w:pPr>
      <w:r w:rsidRPr="00062717">
        <w:rPr>
          <w:rFonts w:ascii="Verdana" w:hAnsi="Verdana"/>
          <w:b/>
          <w:sz w:val="18"/>
          <w:szCs w:val="18"/>
        </w:rPr>
        <w:br/>
      </w:r>
    </w:p>
    <w:p w:rsidR="006A5F8C" w:rsidRDefault="006A5F8C" w14:paraId="35EE4E03" w14:textId="77777777">
      <w:pPr>
        <w:rPr>
          <w:rFonts w:ascii="Verdana" w:hAnsi="Verdana"/>
          <w:b/>
          <w:sz w:val="18"/>
          <w:szCs w:val="18"/>
        </w:rPr>
      </w:pPr>
      <w:r>
        <w:rPr>
          <w:rFonts w:ascii="Verdana" w:hAnsi="Verdana"/>
          <w:b/>
          <w:sz w:val="18"/>
          <w:szCs w:val="18"/>
        </w:rPr>
        <w:br w:type="page"/>
      </w:r>
    </w:p>
    <w:p w:rsidRPr="00062717" w:rsidR="00BF35EA" w:rsidP="00171F0B" w:rsidRDefault="00BF35EA" w14:paraId="20DF8235" w14:textId="764AFD8F">
      <w:pPr>
        <w:spacing w:after="0" w:line="360" w:lineRule="auto"/>
        <w:rPr>
          <w:rFonts w:ascii="Verdana" w:hAnsi="Verdana"/>
          <w:b/>
          <w:sz w:val="18"/>
          <w:szCs w:val="18"/>
        </w:rPr>
      </w:pPr>
      <w:r w:rsidRPr="00062717">
        <w:rPr>
          <w:rFonts w:ascii="Verdana" w:hAnsi="Verdana"/>
          <w:b/>
          <w:sz w:val="18"/>
          <w:szCs w:val="18"/>
        </w:rPr>
        <w:lastRenderedPageBreak/>
        <w:t xml:space="preserve">2. Essentie voorstel </w:t>
      </w:r>
    </w:p>
    <w:p w:rsidRPr="002E388A" w:rsidR="00F02F3F" w:rsidP="00171F0B" w:rsidRDefault="00BF35EA" w14:paraId="37B73CFB" w14:textId="61DD0220">
      <w:pPr>
        <w:pStyle w:val="Spreekpunten"/>
        <w:numPr>
          <w:ilvl w:val="0"/>
          <w:numId w:val="43"/>
        </w:numPr>
        <w:rPr>
          <w:rFonts w:ascii="Verdana" w:hAnsi="Verdana"/>
          <w:iCs/>
          <w:sz w:val="18"/>
          <w:szCs w:val="18"/>
          <w:lang w:val="nl-NL" w:eastAsia="zh-CN"/>
        </w:rPr>
      </w:pPr>
      <w:r w:rsidRPr="00062717">
        <w:rPr>
          <w:rFonts w:ascii="Verdana" w:hAnsi="Verdana"/>
          <w:i/>
          <w:iCs/>
          <w:sz w:val="18"/>
          <w:szCs w:val="18"/>
          <w:lang w:val="nl-NL" w:eastAsia="zh-CN"/>
        </w:rPr>
        <w:t>Inhoud voorstel</w:t>
      </w:r>
    </w:p>
    <w:p w:rsidR="00D2703F" w:rsidP="002E388A" w:rsidRDefault="00633DC9" w14:paraId="2E3DC788" w14:textId="08507FF4">
      <w:pPr>
        <w:pStyle w:val="Spreekpunten"/>
        <w:numPr>
          <w:ilvl w:val="0"/>
          <w:numId w:val="0"/>
        </w:numPr>
        <w:rPr>
          <w:rFonts w:ascii="Verdana" w:hAnsi="Verdana"/>
          <w:sz w:val="18"/>
          <w:szCs w:val="18"/>
          <w:lang w:val="nl-NL" w:eastAsia="zh-CN"/>
        </w:rPr>
      </w:pPr>
      <w:r>
        <w:rPr>
          <w:rFonts w:ascii="Verdana" w:hAnsi="Verdana"/>
          <w:sz w:val="18"/>
          <w:szCs w:val="18"/>
          <w:lang w:val="nl-NL" w:eastAsia="zh-CN"/>
        </w:rPr>
        <w:t>Voor een goed functionerende Europese kapitaalmarkt</w:t>
      </w:r>
      <w:r w:rsidR="00316949">
        <w:rPr>
          <w:rFonts w:ascii="Verdana" w:hAnsi="Verdana"/>
          <w:sz w:val="18"/>
          <w:szCs w:val="18"/>
          <w:lang w:val="nl-NL" w:eastAsia="zh-CN"/>
        </w:rPr>
        <w:t xml:space="preserve"> en het beperken van systeemrisico</w:t>
      </w:r>
      <w:r w:rsidR="00BB5FBA">
        <w:rPr>
          <w:rFonts w:ascii="Verdana" w:hAnsi="Verdana"/>
          <w:sz w:val="18"/>
          <w:szCs w:val="18"/>
          <w:lang w:val="nl-NL" w:eastAsia="zh-CN"/>
        </w:rPr>
        <w:t>’</w:t>
      </w:r>
      <w:r w:rsidR="00316949">
        <w:rPr>
          <w:rFonts w:ascii="Verdana" w:hAnsi="Verdana"/>
          <w:sz w:val="18"/>
          <w:szCs w:val="18"/>
          <w:lang w:val="nl-NL" w:eastAsia="zh-CN"/>
        </w:rPr>
        <w:t>s</w:t>
      </w:r>
      <w:r w:rsidR="00BB5FBA">
        <w:rPr>
          <w:rFonts w:ascii="Verdana" w:hAnsi="Verdana"/>
          <w:sz w:val="18"/>
          <w:szCs w:val="18"/>
          <w:lang w:val="nl-NL" w:eastAsia="zh-CN"/>
        </w:rPr>
        <w:t xml:space="preserve"> op financiële markten</w:t>
      </w:r>
      <w:r>
        <w:rPr>
          <w:rFonts w:ascii="Verdana" w:hAnsi="Verdana"/>
          <w:sz w:val="18"/>
          <w:szCs w:val="18"/>
          <w:lang w:val="nl-NL" w:eastAsia="zh-CN"/>
        </w:rPr>
        <w:t xml:space="preserve"> is het essentieel dat </w:t>
      </w:r>
      <w:r w:rsidR="00316949">
        <w:rPr>
          <w:rFonts w:ascii="Verdana" w:hAnsi="Verdana"/>
          <w:sz w:val="18"/>
          <w:szCs w:val="18"/>
          <w:lang w:val="nl-NL" w:eastAsia="zh-CN"/>
        </w:rPr>
        <w:t xml:space="preserve">transacties in </w:t>
      </w:r>
      <w:r w:rsidR="00651A11">
        <w:rPr>
          <w:rFonts w:ascii="Verdana" w:hAnsi="Verdana"/>
          <w:sz w:val="18"/>
          <w:szCs w:val="18"/>
          <w:lang w:val="nl-NL" w:eastAsia="zh-CN"/>
        </w:rPr>
        <w:t>financiële instrumenten, maar ook betalingen,</w:t>
      </w:r>
      <w:r w:rsidR="0018165B">
        <w:rPr>
          <w:rFonts w:ascii="Verdana" w:hAnsi="Verdana"/>
          <w:sz w:val="18"/>
          <w:szCs w:val="18"/>
          <w:lang w:val="nl-NL" w:eastAsia="zh-CN"/>
        </w:rPr>
        <w:t xml:space="preserve"> </w:t>
      </w:r>
      <w:r>
        <w:rPr>
          <w:rFonts w:ascii="Verdana" w:hAnsi="Verdana"/>
          <w:sz w:val="18"/>
          <w:szCs w:val="18"/>
          <w:lang w:val="nl-NL" w:eastAsia="zh-CN"/>
        </w:rPr>
        <w:t xml:space="preserve">definitief </w:t>
      </w:r>
      <w:r w:rsidR="00D2703F">
        <w:rPr>
          <w:rFonts w:ascii="Verdana" w:hAnsi="Verdana"/>
          <w:sz w:val="18"/>
          <w:szCs w:val="18"/>
          <w:lang w:val="nl-NL" w:eastAsia="zh-CN"/>
        </w:rPr>
        <w:t xml:space="preserve">en onherroepelijk </w:t>
      </w:r>
      <w:r>
        <w:rPr>
          <w:rFonts w:ascii="Verdana" w:hAnsi="Verdana"/>
          <w:sz w:val="18"/>
          <w:szCs w:val="18"/>
          <w:lang w:val="nl-NL" w:eastAsia="zh-CN"/>
        </w:rPr>
        <w:t>zijn</w:t>
      </w:r>
      <w:r w:rsidR="0083579F">
        <w:rPr>
          <w:rFonts w:ascii="Verdana" w:hAnsi="Verdana"/>
          <w:sz w:val="18"/>
          <w:szCs w:val="18"/>
          <w:lang w:val="nl-NL" w:eastAsia="zh-CN"/>
        </w:rPr>
        <w:t xml:space="preserve"> en daarmee ‘finaal’ wanneer er overboekingsopdrachten in aangewezen systemen zijn ingevoerd en hiermee de afwikkeling (</w:t>
      </w:r>
      <w:proofErr w:type="spellStart"/>
      <w:r w:rsidR="0083579F">
        <w:rPr>
          <w:rFonts w:ascii="Verdana" w:hAnsi="Verdana"/>
          <w:i/>
          <w:iCs/>
          <w:sz w:val="18"/>
          <w:szCs w:val="18"/>
          <w:lang w:val="nl-NL" w:eastAsia="zh-CN"/>
        </w:rPr>
        <w:t>settlement</w:t>
      </w:r>
      <w:proofErr w:type="spellEnd"/>
      <w:r w:rsidR="0083579F">
        <w:rPr>
          <w:rFonts w:ascii="Verdana" w:hAnsi="Verdana"/>
          <w:sz w:val="18"/>
          <w:szCs w:val="18"/>
          <w:lang w:val="nl-NL" w:eastAsia="zh-CN"/>
        </w:rPr>
        <w:t>) voltooid is</w:t>
      </w:r>
      <w:r w:rsidR="00551612">
        <w:rPr>
          <w:rFonts w:ascii="Verdana" w:hAnsi="Verdana"/>
          <w:sz w:val="18"/>
          <w:szCs w:val="18"/>
          <w:lang w:val="nl-NL" w:eastAsia="zh-CN"/>
        </w:rPr>
        <w:t xml:space="preserve">. </w:t>
      </w:r>
      <w:r w:rsidR="00651A11">
        <w:rPr>
          <w:rFonts w:ascii="Verdana" w:hAnsi="Verdana"/>
          <w:sz w:val="18"/>
          <w:szCs w:val="18"/>
          <w:lang w:val="nl-NL" w:eastAsia="zh-CN"/>
        </w:rPr>
        <w:t>R</w:t>
      </w:r>
      <w:r w:rsidR="00551612">
        <w:rPr>
          <w:rFonts w:ascii="Verdana" w:hAnsi="Verdana"/>
          <w:sz w:val="18"/>
          <w:szCs w:val="18"/>
          <w:lang w:val="nl-NL" w:eastAsia="zh-CN"/>
        </w:rPr>
        <w:t>ichtlijn 98/26/E</w:t>
      </w:r>
      <w:r w:rsidR="000C1081">
        <w:rPr>
          <w:rFonts w:ascii="Verdana" w:hAnsi="Verdana"/>
          <w:sz w:val="18"/>
          <w:szCs w:val="18"/>
          <w:lang w:val="nl-NL" w:eastAsia="zh-CN"/>
        </w:rPr>
        <w:t>G</w:t>
      </w:r>
      <w:r w:rsidR="00551612">
        <w:rPr>
          <w:rStyle w:val="FootnoteReference"/>
          <w:rFonts w:ascii="Verdana" w:hAnsi="Verdana"/>
          <w:sz w:val="18"/>
          <w:szCs w:val="18"/>
          <w:lang w:val="nl-NL" w:eastAsia="zh-CN"/>
        </w:rPr>
        <w:footnoteReference w:id="2"/>
      </w:r>
      <w:r w:rsidR="001B15D0">
        <w:rPr>
          <w:rFonts w:ascii="Verdana" w:hAnsi="Verdana"/>
          <w:sz w:val="18"/>
          <w:szCs w:val="18"/>
          <w:lang w:val="nl-NL" w:eastAsia="zh-CN"/>
        </w:rPr>
        <w:t xml:space="preserve"> </w:t>
      </w:r>
      <w:r w:rsidR="009E08AF">
        <w:rPr>
          <w:rFonts w:ascii="Verdana" w:hAnsi="Verdana"/>
          <w:sz w:val="18"/>
          <w:szCs w:val="18"/>
          <w:lang w:val="nl-NL" w:eastAsia="zh-CN"/>
        </w:rPr>
        <w:t xml:space="preserve">(de </w:t>
      </w:r>
      <w:proofErr w:type="spellStart"/>
      <w:r w:rsidR="009E08AF">
        <w:rPr>
          <w:rFonts w:ascii="Verdana" w:hAnsi="Verdana"/>
          <w:i/>
          <w:iCs/>
          <w:sz w:val="18"/>
          <w:szCs w:val="18"/>
          <w:lang w:val="nl-NL" w:eastAsia="zh-CN"/>
        </w:rPr>
        <w:t>Settlement</w:t>
      </w:r>
      <w:proofErr w:type="spellEnd"/>
      <w:r w:rsidR="009E08AF">
        <w:rPr>
          <w:rFonts w:ascii="Verdana" w:hAnsi="Verdana"/>
          <w:i/>
          <w:iCs/>
          <w:sz w:val="18"/>
          <w:szCs w:val="18"/>
          <w:lang w:val="nl-NL" w:eastAsia="zh-CN"/>
        </w:rPr>
        <w:t xml:space="preserve"> </w:t>
      </w:r>
      <w:proofErr w:type="spellStart"/>
      <w:r w:rsidR="009E08AF">
        <w:rPr>
          <w:rFonts w:ascii="Verdana" w:hAnsi="Verdana"/>
          <w:i/>
          <w:iCs/>
          <w:sz w:val="18"/>
          <w:szCs w:val="18"/>
          <w:lang w:val="nl-NL" w:eastAsia="zh-CN"/>
        </w:rPr>
        <w:t>Finality</w:t>
      </w:r>
      <w:proofErr w:type="spellEnd"/>
      <w:r w:rsidR="009E08AF">
        <w:rPr>
          <w:rFonts w:ascii="Verdana" w:hAnsi="Verdana"/>
          <w:i/>
          <w:iCs/>
          <w:sz w:val="18"/>
          <w:szCs w:val="18"/>
          <w:lang w:val="nl-NL" w:eastAsia="zh-CN"/>
        </w:rPr>
        <w:t xml:space="preserve"> </w:t>
      </w:r>
      <w:r w:rsidRPr="009E08AF" w:rsidR="009E08AF">
        <w:rPr>
          <w:rFonts w:ascii="Verdana" w:hAnsi="Verdana"/>
          <w:i/>
          <w:iCs/>
          <w:sz w:val="18"/>
          <w:szCs w:val="18"/>
          <w:lang w:val="nl-NL" w:eastAsia="zh-CN"/>
        </w:rPr>
        <w:t>Directive</w:t>
      </w:r>
      <w:r w:rsidR="00D2703F">
        <w:rPr>
          <w:rFonts w:ascii="Verdana" w:hAnsi="Verdana"/>
          <w:i/>
          <w:iCs/>
          <w:sz w:val="18"/>
          <w:szCs w:val="18"/>
          <w:lang w:val="nl-NL" w:eastAsia="zh-CN"/>
        </w:rPr>
        <w:t>, SFD</w:t>
      </w:r>
      <w:r w:rsidR="009E08AF">
        <w:rPr>
          <w:rFonts w:ascii="Verdana" w:hAnsi="Verdana"/>
          <w:sz w:val="18"/>
          <w:szCs w:val="18"/>
          <w:lang w:val="nl-NL" w:eastAsia="zh-CN"/>
        </w:rPr>
        <w:t xml:space="preserve">) </w:t>
      </w:r>
      <w:r w:rsidR="00651A11">
        <w:rPr>
          <w:rFonts w:ascii="Verdana" w:hAnsi="Verdana"/>
          <w:sz w:val="18"/>
          <w:szCs w:val="18"/>
          <w:lang w:val="nl-NL" w:eastAsia="zh-CN"/>
        </w:rPr>
        <w:t xml:space="preserve">bevat regels omtrent </w:t>
      </w:r>
      <w:r w:rsidR="0083579F">
        <w:rPr>
          <w:rFonts w:ascii="Verdana" w:hAnsi="Verdana"/>
          <w:sz w:val="18"/>
          <w:szCs w:val="18"/>
          <w:lang w:val="nl-NL" w:eastAsia="zh-CN"/>
        </w:rPr>
        <w:t>de finaliteit</w:t>
      </w:r>
      <w:r w:rsidRPr="001B15D0" w:rsidR="001B15D0">
        <w:rPr>
          <w:rFonts w:ascii="Verdana" w:hAnsi="Verdana"/>
          <w:sz w:val="18"/>
          <w:szCs w:val="18"/>
          <w:lang w:val="nl-NL" w:eastAsia="zh-CN"/>
        </w:rPr>
        <w:t xml:space="preserve"> van de afwikkeling van betalingen en effectentransacties in betalings- en afwikkel</w:t>
      </w:r>
      <w:r w:rsidR="001601D4">
        <w:rPr>
          <w:rFonts w:ascii="Verdana" w:hAnsi="Verdana"/>
          <w:sz w:val="18"/>
          <w:szCs w:val="18"/>
          <w:lang w:val="nl-NL" w:eastAsia="zh-CN"/>
        </w:rPr>
        <w:t>ing</w:t>
      </w:r>
      <w:r w:rsidRPr="001B15D0" w:rsidR="001B15D0">
        <w:rPr>
          <w:rFonts w:ascii="Verdana" w:hAnsi="Verdana"/>
          <w:sz w:val="18"/>
          <w:szCs w:val="18"/>
          <w:lang w:val="nl-NL" w:eastAsia="zh-CN"/>
        </w:rPr>
        <w:t>systemen</w:t>
      </w:r>
      <w:r w:rsidR="001B15D0">
        <w:rPr>
          <w:rFonts w:ascii="Verdana" w:hAnsi="Verdana"/>
          <w:sz w:val="18"/>
          <w:szCs w:val="18"/>
          <w:lang w:val="nl-NL" w:eastAsia="zh-CN"/>
        </w:rPr>
        <w:t xml:space="preserve">. </w:t>
      </w:r>
      <w:r w:rsidR="006E586A">
        <w:rPr>
          <w:rFonts w:ascii="Verdana" w:hAnsi="Verdana"/>
          <w:sz w:val="18"/>
          <w:szCs w:val="18"/>
          <w:lang w:val="nl-NL" w:eastAsia="zh-CN"/>
        </w:rPr>
        <w:t xml:space="preserve">Een systeem is een </w:t>
      </w:r>
      <w:r w:rsidRPr="00493411" w:rsidR="006E586A">
        <w:rPr>
          <w:rFonts w:ascii="Verdana" w:hAnsi="Verdana"/>
          <w:sz w:val="18"/>
          <w:szCs w:val="18"/>
          <w:lang w:val="nl-NL" w:eastAsia="zh-CN"/>
        </w:rPr>
        <w:t>overeenkomst tussen drie of meer deelnemers</w:t>
      </w:r>
      <w:r w:rsidR="006E586A">
        <w:rPr>
          <w:rStyle w:val="FootnoteReference"/>
          <w:rFonts w:ascii="Verdana" w:hAnsi="Verdana"/>
          <w:sz w:val="18"/>
          <w:szCs w:val="18"/>
          <w:lang w:val="nl-NL" w:eastAsia="zh-CN"/>
        </w:rPr>
        <w:footnoteReference w:id="3"/>
      </w:r>
      <w:r w:rsidRPr="00493411" w:rsidR="006E586A">
        <w:rPr>
          <w:rFonts w:ascii="Verdana" w:hAnsi="Verdana"/>
          <w:sz w:val="18"/>
          <w:szCs w:val="18"/>
          <w:lang w:val="nl-NL" w:eastAsia="zh-CN"/>
        </w:rPr>
        <w:t xml:space="preserve"> met gemeenschappelijke regels en standaardprocedures voor de clearing of het uitvoeren van overboekingsopdrachten tussen de deelnemers. Dergelijke systemen worden </w:t>
      </w:r>
      <w:r w:rsidR="008570F8">
        <w:rPr>
          <w:rFonts w:ascii="Verdana" w:hAnsi="Verdana"/>
          <w:sz w:val="18"/>
          <w:szCs w:val="18"/>
          <w:lang w:val="nl-NL" w:eastAsia="zh-CN"/>
        </w:rPr>
        <w:t>beheerd</w:t>
      </w:r>
      <w:r w:rsidRPr="00493411" w:rsidR="008570F8">
        <w:rPr>
          <w:rFonts w:ascii="Verdana" w:hAnsi="Verdana"/>
          <w:sz w:val="18"/>
          <w:szCs w:val="18"/>
          <w:lang w:val="nl-NL" w:eastAsia="zh-CN"/>
        </w:rPr>
        <w:t xml:space="preserve"> </w:t>
      </w:r>
      <w:r w:rsidRPr="00493411" w:rsidR="006E586A">
        <w:rPr>
          <w:rFonts w:ascii="Verdana" w:hAnsi="Verdana"/>
          <w:sz w:val="18"/>
          <w:szCs w:val="18"/>
          <w:lang w:val="nl-NL" w:eastAsia="zh-CN"/>
        </w:rPr>
        <w:t xml:space="preserve">door centrale tegenpartijen en centrale </w:t>
      </w:r>
      <w:proofErr w:type="spellStart"/>
      <w:r w:rsidRPr="00493411" w:rsidR="006E586A">
        <w:rPr>
          <w:rFonts w:ascii="Verdana" w:hAnsi="Verdana"/>
          <w:sz w:val="18"/>
          <w:szCs w:val="18"/>
          <w:lang w:val="nl-NL" w:eastAsia="zh-CN"/>
        </w:rPr>
        <w:t>effectenbewaarinstellingen</w:t>
      </w:r>
      <w:proofErr w:type="spellEnd"/>
      <w:r w:rsidRPr="00493411" w:rsidR="006E586A">
        <w:rPr>
          <w:rFonts w:ascii="Verdana" w:hAnsi="Verdana"/>
          <w:sz w:val="18"/>
          <w:szCs w:val="18"/>
          <w:lang w:val="nl-NL" w:eastAsia="zh-CN"/>
        </w:rPr>
        <w:t>.</w:t>
      </w:r>
      <w:r w:rsidR="006E586A">
        <w:rPr>
          <w:rFonts w:ascii="Verdana" w:hAnsi="Verdana"/>
          <w:sz w:val="18"/>
          <w:szCs w:val="18"/>
          <w:lang w:val="nl-NL" w:eastAsia="zh-CN"/>
        </w:rPr>
        <w:t xml:space="preserve"> De aanwijzing van dergelijke systemen voorkomt systeemrisico in de financiële markten doordat ingevoerde opdrachten in die systemen niet onderworpen kunnen worden aan </w:t>
      </w:r>
      <w:r w:rsidRPr="001B15D0" w:rsidR="006E586A">
        <w:rPr>
          <w:rFonts w:ascii="Verdana" w:hAnsi="Verdana"/>
          <w:sz w:val="18"/>
          <w:szCs w:val="18"/>
          <w:lang w:val="nl-NL" w:eastAsia="zh-CN"/>
        </w:rPr>
        <w:t>de terugwerkende kracht bij faillissement</w:t>
      </w:r>
      <w:r w:rsidR="006E586A">
        <w:rPr>
          <w:rFonts w:ascii="Verdana" w:hAnsi="Verdana"/>
          <w:sz w:val="18"/>
          <w:szCs w:val="18"/>
          <w:lang w:val="nl-NL" w:eastAsia="zh-CN"/>
        </w:rPr>
        <w:t xml:space="preserve"> van een deelnemer</w:t>
      </w:r>
      <w:r w:rsidR="001B15D0">
        <w:rPr>
          <w:rStyle w:val="FootnoteReference"/>
          <w:rFonts w:ascii="Verdana" w:hAnsi="Verdana"/>
          <w:sz w:val="18"/>
          <w:szCs w:val="18"/>
          <w:lang w:val="nl-NL" w:eastAsia="zh-CN"/>
        </w:rPr>
        <w:footnoteReference w:id="4"/>
      </w:r>
      <w:r w:rsidR="001B15D0">
        <w:rPr>
          <w:rFonts w:ascii="Verdana" w:hAnsi="Verdana"/>
          <w:sz w:val="18"/>
          <w:szCs w:val="18"/>
          <w:lang w:val="nl-NL" w:eastAsia="zh-CN"/>
        </w:rPr>
        <w:t xml:space="preserve">. </w:t>
      </w:r>
      <w:r w:rsidR="00AD6A37">
        <w:rPr>
          <w:rFonts w:ascii="Verdana" w:hAnsi="Verdana"/>
          <w:sz w:val="18"/>
          <w:szCs w:val="18"/>
          <w:lang w:val="nl-NL" w:eastAsia="zh-CN"/>
        </w:rPr>
        <w:t>De</w:t>
      </w:r>
      <w:r w:rsidR="00D2703F">
        <w:rPr>
          <w:rFonts w:ascii="Verdana" w:hAnsi="Verdana"/>
          <w:sz w:val="18"/>
          <w:szCs w:val="18"/>
          <w:lang w:val="nl-NL" w:eastAsia="zh-CN"/>
        </w:rPr>
        <w:t xml:space="preserve"> SFD </w:t>
      </w:r>
      <w:r w:rsidR="00AD6A37">
        <w:rPr>
          <w:rFonts w:ascii="Verdana" w:hAnsi="Verdana"/>
          <w:sz w:val="18"/>
          <w:szCs w:val="18"/>
          <w:lang w:val="nl-NL" w:eastAsia="zh-CN"/>
        </w:rPr>
        <w:t xml:space="preserve">schrijft </w:t>
      </w:r>
      <w:r w:rsidR="00D2703F">
        <w:rPr>
          <w:rFonts w:ascii="Verdana" w:hAnsi="Verdana"/>
          <w:sz w:val="18"/>
          <w:szCs w:val="18"/>
          <w:lang w:val="nl-NL" w:eastAsia="zh-CN"/>
        </w:rPr>
        <w:t xml:space="preserve">voor wat er gebeurt als een partij failliet gaat, ook nadat een opdracht is ingevoerd. </w:t>
      </w:r>
      <w:r w:rsidR="0083579F">
        <w:rPr>
          <w:rFonts w:ascii="Verdana" w:hAnsi="Verdana"/>
          <w:sz w:val="18"/>
          <w:szCs w:val="18"/>
          <w:lang w:val="nl-NL" w:eastAsia="zh-CN"/>
        </w:rPr>
        <w:t xml:space="preserve">Hiermee wordt </w:t>
      </w:r>
      <w:r w:rsidR="00D2703F">
        <w:rPr>
          <w:rFonts w:ascii="Verdana" w:hAnsi="Verdana"/>
          <w:sz w:val="18"/>
          <w:szCs w:val="18"/>
          <w:lang w:val="nl-NL" w:eastAsia="zh-CN"/>
        </w:rPr>
        <w:t xml:space="preserve">bescherming </w:t>
      </w:r>
      <w:r w:rsidR="0083579F">
        <w:rPr>
          <w:rFonts w:ascii="Verdana" w:hAnsi="Verdana"/>
          <w:sz w:val="18"/>
          <w:szCs w:val="18"/>
          <w:lang w:val="nl-NL" w:eastAsia="zh-CN"/>
        </w:rPr>
        <w:t>geboden</w:t>
      </w:r>
      <w:r w:rsidR="00D2703F">
        <w:rPr>
          <w:rFonts w:ascii="Verdana" w:hAnsi="Verdana"/>
          <w:sz w:val="18"/>
          <w:szCs w:val="18"/>
          <w:lang w:val="nl-NL" w:eastAsia="zh-CN"/>
        </w:rPr>
        <w:t xml:space="preserve"> tegen insolventie en </w:t>
      </w:r>
      <w:r w:rsidR="0083579F">
        <w:rPr>
          <w:rFonts w:ascii="Verdana" w:hAnsi="Verdana"/>
          <w:sz w:val="18"/>
          <w:szCs w:val="18"/>
          <w:lang w:val="nl-NL" w:eastAsia="zh-CN"/>
        </w:rPr>
        <w:t xml:space="preserve">wordt </w:t>
      </w:r>
      <w:r w:rsidR="00D2703F">
        <w:rPr>
          <w:rFonts w:ascii="Verdana" w:hAnsi="Verdana"/>
          <w:sz w:val="18"/>
          <w:szCs w:val="18"/>
          <w:lang w:val="nl-NL" w:eastAsia="zh-CN"/>
        </w:rPr>
        <w:t>onderpand in een transactie veilig</w:t>
      </w:r>
      <w:r w:rsidR="0083579F">
        <w:rPr>
          <w:rFonts w:ascii="Verdana" w:hAnsi="Verdana"/>
          <w:sz w:val="18"/>
          <w:szCs w:val="18"/>
          <w:lang w:val="nl-NL" w:eastAsia="zh-CN"/>
        </w:rPr>
        <w:t xml:space="preserve">gesteld. Dit voorkomt </w:t>
      </w:r>
      <w:r w:rsidR="00D2703F">
        <w:rPr>
          <w:rFonts w:ascii="Verdana" w:hAnsi="Verdana"/>
          <w:sz w:val="18"/>
          <w:szCs w:val="18"/>
          <w:lang w:val="nl-NL" w:eastAsia="zh-CN"/>
        </w:rPr>
        <w:t>dat een faillissement</w:t>
      </w:r>
      <w:r w:rsidR="00AD6A37">
        <w:rPr>
          <w:rFonts w:ascii="Verdana" w:hAnsi="Verdana"/>
          <w:sz w:val="18"/>
          <w:szCs w:val="18"/>
          <w:lang w:val="nl-NL" w:eastAsia="zh-CN"/>
        </w:rPr>
        <w:t xml:space="preserve"> van een partij</w:t>
      </w:r>
      <w:r w:rsidR="00D2703F">
        <w:rPr>
          <w:rFonts w:ascii="Verdana" w:hAnsi="Verdana"/>
          <w:sz w:val="18"/>
          <w:szCs w:val="18"/>
          <w:lang w:val="nl-NL" w:eastAsia="zh-CN"/>
        </w:rPr>
        <w:t xml:space="preserve"> ook </w:t>
      </w:r>
      <w:r w:rsidR="00AD6A37">
        <w:rPr>
          <w:rFonts w:ascii="Verdana" w:hAnsi="Verdana"/>
          <w:sz w:val="18"/>
          <w:szCs w:val="18"/>
          <w:lang w:val="nl-NL" w:eastAsia="zh-CN"/>
        </w:rPr>
        <w:t xml:space="preserve">tot verliezen bij een tegenpartij leidt. Dat zou tot een </w:t>
      </w:r>
      <w:r w:rsidR="00D2703F">
        <w:rPr>
          <w:rFonts w:ascii="Verdana" w:hAnsi="Verdana"/>
          <w:sz w:val="18"/>
          <w:szCs w:val="18"/>
          <w:lang w:val="nl-NL" w:eastAsia="zh-CN"/>
        </w:rPr>
        <w:t>keten van verlies k</w:t>
      </w:r>
      <w:r w:rsidR="00AD6A37">
        <w:rPr>
          <w:rFonts w:ascii="Verdana" w:hAnsi="Verdana"/>
          <w:sz w:val="18"/>
          <w:szCs w:val="18"/>
          <w:lang w:val="nl-NL" w:eastAsia="zh-CN"/>
        </w:rPr>
        <w:t>unnen leiden, omdat het ook de financiële positie van de tegenpartij verslechtert.</w:t>
      </w:r>
      <w:r w:rsidR="0083579F">
        <w:rPr>
          <w:rFonts w:ascii="Verdana" w:hAnsi="Verdana"/>
          <w:sz w:val="18"/>
          <w:szCs w:val="18"/>
          <w:lang w:val="nl-NL" w:eastAsia="zh-CN"/>
        </w:rPr>
        <w:t xml:space="preserve"> </w:t>
      </w:r>
    </w:p>
    <w:p w:rsidR="00FC2D8E" w:rsidP="00FC2D8E" w:rsidRDefault="00FC2D8E" w14:paraId="200EAE88" w14:textId="77777777">
      <w:pPr>
        <w:pStyle w:val="Spreekpunten"/>
        <w:numPr>
          <w:ilvl w:val="0"/>
          <w:numId w:val="0"/>
        </w:numPr>
        <w:rPr>
          <w:rFonts w:ascii="Verdana" w:hAnsi="Verdana"/>
          <w:b/>
          <w:bCs w:val="0"/>
          <w:sz w:val="18"/>
          <w:szCs w:val="18"/>
          <w:lang w:val="nl-NL" w:eastAsia="zh-CN"/>
        </w:rPr>
      </w:pPr>
    </w:p>
    <w:p w:rsidR="00951F93" w:rsidP="0069448A" w:rsidRDefault="00FC2D8E" w14:paraId="43F5DA9B" w14:textId="268EFA65">
      <w:pPr>
        <w:pStyle w:val="Spreekpunten"/>
        <w:numPr>
          <w:ilvl w:val="0"/>
          <w:numId w:val="0"/>
        </w:numPr>
        <w:rPr>
          <w:rFonts w:ascii="Verdana" w:hAnsi="Verdana"/>
          <w:iCs/>
          <w:sz w:val="18"/>
          <w:szCs w:val="18"/>
          <w:lang w:val="nl-NL" w:eastAsia="zh-CN"/>
        </w:rPr>
      </w:pPr>
      <w:r>
        <w:rPr>
          <w:rFonts w:ascii="Verdana" w:hAnsi="Verdana"/>
          <w:sz w:val="18"/>
          <w:szCs w:val="18"/>
          <w:lang w:val="nl-NL" w:eastAsia="zh-CN"/>
        </w:rPr>
        <w:t>Omdat op Europees niveau de finaliteit van afwikkeling</w:t>
      </w:r>
      <w:r w:rsidR="00C43CC8">
        <w:rPr>
          <w:rFonts w:ascii="Verdana" w:hAnsi="Verdana"/>
          <w:sz w:val="18"/>
          <w:szCs w:val="18"/>
          <w:lang w:val="nl-NL" w:eastAsia="zh-CN"/>
        </w:rPr>
        <w:t xml:space="preserve"> in systemen</w:t>
      </w:r>
      <w:r>
        <w:rPr>
          <w:rFonts w:ascii="Verdana" w:hAnsi="Verdana"/>
          <w:sz w:val="18"/>
          <w:szCs w:val="18"/>
          <w:lang w:val="nl-NL" w:eastAsia="zh-CN"/>
        </w:rPr>
        <w:t xml:space="preserve"> is </w:t>
      </w:r>
      <w:r w:rsidR="0083579F">
        <w:rPr>
          <w:rFonts w:ascii="Verdana" w:hAnsi="Verdana"/>
          <w:sz w:val="18"/>
          <w:szCs w:val="18"/>
          <w:lang w:val="nl-NL" w:eastAsia="zh-CN"/>
        </w:rPr>
        <w:t>vastgelegd in</w:t>
      </w:r>
      <w:r>
        <w:rPr>
          <w:rFonts w:ascii="Verdana" w:hAnsi="Verdana"/>
          <w:sz w:val="18"/>
          <w:szCs w:val="18"/>
          <w:lang w:val="nl-NL" w:eastAsia="zh-CN"/>
        </w:rPr>
        <w:t xml:space="preserve"> een richtlijn</w:t>
      </w:r>
      <w:r w:rsidR="006E586A">
        <w:rPr>
          <w:rFonts w:ascii="Verdana" w:hAnsi="Verdana"/>
          <w:sz w:val="18"/>
          <w:szCs w:val="18"/>
          <w:lang w:val="nl-NL" w:eastAsia="zh-CN"/>
        </w:rPr>
        <w:t xml:space="preserve"> </w:t>
      </w:r>
      <w:r w:rsidR="000C1081">
        <w:rPr>
          <w:rFonts w:ascii="Verdana" w:hAnsi="Verdana"/>
          <w:sz w:val="18"/>
          <w:szCs w:val="18"/>
          <w:lang w:val="nl-NL" w:eastAsia="zh-CN"/>
        </w:rPr>
        <w:t>die ruimte laat in de implementatie</w:t>
      </w:r>
      <w:r w:rsidR="006E586A">
        <w:rPr>
          <w:rFonts w:ascii="Verdana" w:hAnsi="Verdana"/>
          <w:sz w:val="18"/>
          <w:szCs w:val="18"/>
          <w:lang w:val="nl-NL" w:eastAsia="zh-CN"/>
        </w:rPr>
        <w:t>,</w:t>
      </w:r>
      <w:r>
        <w:rPr>
          <w:rFonts w:ascii="Verdana" w:hAnsi="Verdana"/>
          <w:sz w:val="18"/>
          <w:szCs w:val="18"/>
          <w:lang w:val="nl-NL" w:eastAsia="zh-CN"/>
        </w:rPr>
        <w:t xml:space="preserve"> </w:t>
      </w:r>
      <w:r>
        <w:rPr>
          <w:rFonts w:ascii="Verdana" w:hAnsi="Verdana"/>
          <w:iCs/>
          <w:sz w:val="18"/>
          <w:szCs w:val="18"/>
          <w:lang w:val="nl-NL" w:eastAsia="zh-CN"/>
        </w:rPr>
        <w:t>zijn er</w:t>
      </w:r>
      <w:r w:rsidR="00D14D2F">
        <w:rPr>
          <w:rFonts w:ascii="Verdana" w:hAnsi="Verdana"/>
          <w:iCs/>
          <w:sz w:val="18"/>
          <w:szCs w:val="18"/>
          <w:lang w:val="nl-NL" w:eastAsia="zh-CN"/>
        </w:rPr>
        <w:t xml:space="preserve"> </w:t>
      </w:r>
      <w:r>
        <w:rPr>
          <w:rFonts w:ascii="Verdana" w:hAnsi="Verdana"/>
          <w:iCs/>
          <w:sz w:val="18"/>
          <w:szCs w:val="18"/>
          <w:lang w:val="nl-NL" w:eastAsia="zh-CN"/>
        </w:rPr>
        <w:t xml:space="preserve">juridische verschillen tussen Europese </w:t>
      </w:r>
      <w:r w:rsidR="008140B2">
        <w:rPr>
          <w:rFonts w:ascii="Verdana" w:hAnsi="Verdana"/>
          <w:iCs/>
          <w:sz w:val="18"/>
          <w:szCs w:val="18"/>
          <w:lang w:val="nl-NL" w:eastAsia="zh-CN"/>
        </w:rPr>
        <w:t xml:space="preserve">lidstaten </w:t>
      </w:r>
      <w:r>
        <w:rPr>
          <w:rFonts w:ascii="Verdana" w:hAnsi="Verdana"/>
          <w:iCs/>
          <w:sz w:val="18"/>
          <w:szCs w:val="18"/>
          <w:lang w:val="nl-NL" w:eastAsia="zh-CN"/>
        </w:rPr>
        <w:t>in hoe transacties in financiële activa via systemen worden afgewikkeld.</w:t>
      </w:r>
      <w:r w:rsidR="00D14D2F">
        <w:rPr>
          <w:rFonts w:ascii="Verdana" w:hAnsi="Verdana"/>
          <w:iCs/>
          <w:sz w:val="18"/>
          <w:szCs w:val="18"/>
          <w:lang w:val="nl-NL" w:eastAsia="zh-CN"/>
        </w:rPr>
        <w:t xml:space="preserve"> Meer specifiek betreft dit verschillen in welke systemen </w:t>
      </w:r>
      <w:r w:rsidR="0083579F">
        <w:rPr>
          <w:rFonts w:ascii="Verdana" w:hAnsi="Verdana"/>
          <w:iCs/>
          <w:sz w:val="18"/>
          <w:szCs w:val="18"/>
          <w:lang w:val="nl-NL" w:eastAsia="zh-CN"/>
        </w:rPr>
        <w:t>erkend zijn</w:t>
      </w:r>
      <w:r w:rsidR="00D14D2F">
        <w:rPr>
          <w:rFonts w:ascii="Verdana" w:hAnsi="Verdana"/>
          <w:iCs/>
          <w:sz w:val="18"/>
          <w:szCs w:val="18"/>
          <w:lang w:val="nl-NL" w:eastAsia="zh-CN"/>
        </w:rPr>
        <w:t xml:space="preserve">, </w:t>
      </w:r>
      <w:r w:rsidR="00AD6A37">
        <w:rPr>
          <w:rFonts w:ascii="Verdana" w:hAnsi="Verdana"/>
          <w:iCs/>
          <w:sz w:val="18"/>
          <w:szCs w:val="18"/>
          <w:lang w:val="nl-NL" w:eastAsia="zh-CN"/>
        </w:rPr>
        <w:t xml:space="preserve">in </w:t>
      </w:r>
      <w:r w:rsidR="00D14D2F">
        <w:rPr>
          <w:rFonts w:ascii="Verdana" w:hAnsi="Verdana"/>
          <w:iCs/>
          <w:sz w:val="18"/>
          <w:szCs w:val="18"/>
          <w:lang w:val="nl-NL" w:eastAsia="zh-CN"/>
        </w:rPr>
        <w:t xml:space="preserve">de definitie van transacties zelf en wie een </w:t>
      </w:r>
      <w:r w:rsidR="00C43CC8">
        <w:rPr>
          <w:rFonts w:ascii="Verdana" w:hAnsi="Verdana"/>
          <w:iCs/>
          <w:sz w:val="18"/>
          <w:szCs w:val="18"/>
          <w:lang w:val="nl-NL" w:eastAsia="zh-CN"/>
        </w:rPr>
        <w:t>deelnemer aa</w:t>
      </w:r>
      <w:r w:rsidR="00D14D2F">
        <w:rPr>
          <w:rFonts w:ascii="Verdana" w:hAnsi="Verdana"/>
          <w:iCs/>
          <w:sz w:val="18"/>
          <w:szCs w:val="18"/>
          <w:lang w:val="nl-NL" w:eastAsia="zh-CN"/>
        </w:rPr>
        <w:t xml:space="preserve">n een </w:t>
      </w:r>
      <w:r w:rsidR="00C43CC8">
        <w:rPr>
          <w:rFonts w:ascii="Verdana" w:hAnsi="Verdana"/>
          <w:iCs/>
          <w:sz w:val="18"/>
          <w:szCs w:val="18"/>
          <w:lang w:val="nl-NL" w:eastAsia="zh-CN"/>
        </w:rPr>
        <w:t>systeem kan zijn</w:t>
      </w:r>
      <w:r w:rsidR="00D14D2F">
        <w:rPr>
          <w:rFonts w:ascii="Verdana" w:hAnsi="Verdana"/>
          <w:iCs/>
          <w:sz w:val="18"/>
          <w:szCs w:val="18"/>
          <w:lang w:val="nl-NL" w:eastAsia="zh-CN"/>
        </w:rPr>
        <w:t xml:space="preserve">, verschillen in welke financiële activa beschermd worden door de wetgeving, verschillen tussen landen in wanneer een transactie finaal is en verschillen in hoe de afwikkeling is geregeld in transacties met derde (niet-EU) landen. </w:t>
      </w:r>
      <w:r w:rsidR="00DC6D73">
        <w:rPr>
          <w:rFonts w:ascii="Verdana" w:hAnsi="Verdana"/>
          <w:iCs/>
          <w:sz w:val="18"/>
          <w:szCs w:val="18"/>
          <w:lang w:val="nl-NL" w:eastAsia="zh-CN"/>
        </w:rPr>
        <w:t>Deze verschillen</w:t>
      </w:r>
      <w:r w:rsidR="00AD6A37">
        <w:rPr>
          <w:rFonts w:ascii="Verdana" w:hAnsi="Verdana"/>
          <w:iCs/>
          <w:sz w:val="18"/>
          <w:szCs w:val="18"/>
          <w:lang w:val="nl-NL" w:eastAsia="zh-CN"/>
        </w:rPr>
        <w:t xml:space="preserve"> tussen landen</w:t>
      </w:r>
      <w:r w:rsidR="0069448A">
        <w:rPr>
          <w:rFonts w:ascii="Verdana" w:hAnsi="Verdana"/>
          <w:iCs/>
          <w:sz w:val="18"/>
          <w:szCs w:val="18"/>
          <w:lang w:val="nl-NL" w:eastAsia="zh-CN"/>
        </w:rPr>
        <w:t xml:space="preserve"> </w:t>
      </w:r>
      <w:r w:rsidR="006D42F9">
        <w:rPr>
          <w:rFonts w:ascii="Verdana" w:hAnsi="Verdana"/>
          <w:iCs/>
          <w:sz w:val="18"/>
          <w:szCs w:val="18"/>
          <w:lang w:val="nl-NL" w:eastAsia="zh-CN"/>
        </w:rPr>
        <w:t>creëren</w:t>
      </w:r>
      <w:r w:rsidR="0069448A">
        <w:rPr>
          <w:rFonts w:ascii="Verdana" w:hAnsi="Verdana"/>
          <w:iCs/>
          <w:sz w:val="18"/>
          <w:szCs w:val="18"/>
          <w:lang w:val="nl-NL" w:eastAsia="zh-CN"/>
        </w:rPr>
        <w:t xml:space="preserve"> onduidelijkheid en belemmer</w:t>
      </w:r>
      <w:r w:rsidR="00DC6D73">
        <w:rPr>
          <w:rFonts w:ascii="Verdana" w:hAnsi="Verdana"/>
          <w:iCs/>
          <w:sz w:val="18"/>
          <w:szCs w:val="18"/>
          <w:lang w:val="nl-NL" w:eastAsia="zh-CN"/>
        </w:rPr>
        <w:t>en</w:t>
      </w:r>
      <w:r w:rsidR="0069448A">
        <w:rPr>
          <w:rFonts w:ascii="Verdana" w:hAnsi="Verdana"/>
          <w:iCs/>
          <w:sz w:val="18"/>
          <w:szCs w:val="18"/>
          <w:lang w:val="nl-NL" w:eastAsia="zh-CN"/>
        </w:rPr>
        <w:t xml:space="preserve"> het grensoverschrijdende kapitaalverkeer, wat essentieel is voor economische groei en de strategische agenda van de EU. Daarbij laat de SFD te weinig ruimte voor nieuwe technologische ontwikkelingen. Steeds vaker is er bij de afwikkeling sprake van rechtsonzekerheid over het gebruik van </w:t>
      </w:r>
      <w:r w:rsidR="00C43CC8">
        <w:rPr>
          <w:rFonts w:ascii="Verdana" w:hAnsi="Verdana"/>
          <w:i/>
          <w:sz w:val="18"/>
          <w:szCs w:val="18"/>
          <w:lang w:val="nl-NL" w:eastAsia="zh-CN"/>
        </w:rPr>
        <w:t>Distributed</w:t>
      </w:r>
      <w:r w:rsidRPr="009814C2" w:rsidR="00C43CC8">
        <w:rPr>
          <w:rFonts w:ascii="Verdana" w:hAnsi="Verdana"/>
          <w:i/>
          <w:sz w:val="18"/>
          <w:szCs w:val="18"/>
          <w:lang w:val="nl-NL" w:eastAsia="zh-CN"/>
        </w:rPr>
        <w:t xml:space="preserve"> </w:t>
      </w:r>
      <w:proofErr w:type="spellStart"/>
      <w:r w:rsidRPr="009814C2" w:rsidR="0069448A">
        <w:rPr>
          <w:rFonts w:ascii="Verdana" w:hAnsi="Verdana"/>
          <w:i/>
          <w:sz w:val="18"/>
          <w:szCs w:val="18"/>
          <w:lang w:val="nl-NL" w:eastAsia="zh-CN"/>
        </w:rPr>
        <w:t>Ledger</w:t>
      </w:r>
      <w:proofErr w:type="spellEnd"/>
      <w:r w:rsidRPr="009814C2" w:rsidR="0069448A">
        <w:rPr>
          <w:rFonts w:ascii="Verdana" w:hAnsi="Verdana"/>
          <w:i/>
          <w:sz w:val="18"/>
          <w:szCs w:val="18"/>
          <w:lang w:val="nl-NL" w:eastAsia="zh-CN"/>
        </w:rPr>
        <w:t xml:space="preserve"> Technology</w:t>
      </w:r>
      <w:r w:rsidR="0069448A">
        <w:rPr>
          <w:rFonts w:ascii="Verdana" w:hAnsi="Verdana"/>
          <w:iCs/>
          <w:sz w:val="18"/>
          <w:szCs w:val="18"/>
          <w:lang w:val="nl-NL" w:eastAsia="zh-CN"/>
        </w:rPr>
        <w:t xml:space="preserve"> (DLT)</w:t>
      </w:r>
      <w:r w:rsidR="0069448A">
        <w:rPr>
          <w:rStyle w:val="FootnoteReference"/>
          <w:rFonts w:ascii="Verdana" w:hAnsi="Verdana"/>
          <w:iCs/>
          <w:sz w:val="18"/>
          <w:szCs w:val="18"/>
          <w:lang w:val="nl-NL" w:eastAsia="zh-CN"/>
        </w:rPr>
        <w:footnoteReference w:id="5"/>
      </w:r>
      <w:r w:rsidR="0069448A">
        <w:rPr>
          <w:rFonts w:ascii="Verdana" w:hAnsi="Verdana"/>
          <w:iCs/>
          <w:sz w:val="18"/>
          <w:szCs w:val="18"/>
          <w:lang w:val="nl-NL" w:eastAsia="zh-CN"/>
        </w:rPr>
        <w:t>, d</w:t>
      </w:r>
      <w:r w:rsidR="005B6BAC">
        <w:rPr>
          <w:rFonts w:ascii="Verdana" w:hAnsi="Verdana"/>
          <w:iCs/>
          <w:sz w:val="18"/>
          <w:szCs w:val="18"/>
          <w:lang w:val="nl-NL" w:eastAsia="zh-CN"/>
        </w:rPr>
        <w:t>ie</w:t>
      </w:r>
      <w:r w:rsidR="0069448A">
        <w:rPr>
          <w:rFonts w:ascii="Verdana" w:hAnsi="Verdana"/>
          <w:iCs/>
          <w:sz w:val="18"/>
          <w:szCs w:val="18"/>
          <w:lang w:val="nl-NL" w:eastAsia="zh-CN"/>
        </w:rPr>
        <w:t xml:space="preserve"> juist door </w:t>
      </w:r>
      <w:r w:rsidR="006E586A">
        <w:rPr>
          <w:rFonts w:ascii="Verdana" w:hAnsi="Verdana"/>
          <w:iCs/>
          <w:sz w:val="18"/>
          <w:szCs w:val="18"/>
          <w:lang w:val="nl-NL" w:eastAsia="zh-CN"/>
        </w:rPr>
        <w:t xml:space="preserve">betaaldiensten, die deelnemen aan en gebruik maken van betalingssystemen, </w:t>
      </w:r>
      <w:r w:rsidR="0069448A">
        <w:rPr>
          <w:rFonts w:ascii="Verdana" w:hAnsi="Verdana"/>
          <w:iCs/>
          <w:sz w:val="18"/>
          <w:szCs w:val="18"/>
          <w:lang w:val="nl-NL" w:eastAsia="zh-CN"/>
        </w:rPr>
        <w:t xml:space="preserve">toenemend wordt gebruikt. </w:t>
      </w:r>
      <w:r w:rsidR="00951F93">
        <w:rPr>
          <w:rFonts w:ascii="Verdana" w:hAnsi="Verdana"/>
          <w:iCs/>
          <w:sz w:val="18"/>
          <w:szCs w:val="18"/>
          <w:lang w:val="nl-NL" w:eastAsia="zh-CN"/>
        </w:rPr>
        <w:t xml:space="preserve">Problematisch is dat de SFD juridische onduidelijkheid creëert over of DLT-gebaseerde systemen gebruikt mogen worden door partijen. Dat geldt ook voor token-gebaseerde transacties en onderpand (zoals crypto), omdat </w:t>
      </w:r>
      <w:r w:rsidR="005B6BAC">
        <w:rPr>
          <w:rFonts w:ascii="Verdana" w:hAnsi="Verdana"/>
          <w:iCs/>
          <w:sz w:val="18"/>
          <w:szCs w:val="18"/>
          <w:lang w:val="nl-NL" w:eastAsia="zh-CN"/>
        </w:rPr>
        <w:t>deze</w:t>
      </w:r>
      <w:r w:rsidR="00951F93">
        <w:rPr>
          <w:rFonts w:ascii="Verdana" w:hAnsi="Verdana"/>
          <w:iCs/>
          <w:sz w:val="18"/>
          <w:szCs w:val="18"/>
          <w:lang w:val="nl-NL" w:eastAsia="zh-CN"/>
        </w:rPr>
        <w:t xml:space="preserve"> strikt </w:t>
      </w:r>
      <w:r w:rsidR="006E586A">
        <w:rPr>
          <w:rFonts w:ascii="Verdana" w:hAnsi="Verdana"/>
          <w:iCs/>
          <w:sz w:val="18"/>
          <w:szCs w:val="18"/>
          <w:lang w:val="nl-NL" w:eastAsia="zh-CN"/>
        </w:rPr>
        <w:t xml:space="preserve">genomen niet </w:t>
      </w:r>
      <w:r w:rsidR="00951F93">
        <w:rPr>
          <w:rFonts w:ascii="Verdana" w:hAnsi="Verdana"/>
          <w:iCs/>
          <w:sz w:val="18"/>
          <w:szCs w:val="18"/>
          <w:lang w:val="nl-NL" w:eastAsia="zh-CN"/>
        </w:rPr>
        <w:t>binnen de definities val</w:t>
      </w:r>
      <w:r w:rsidR="005B6BAC">
        <w:rPr>
          <w:rFonts w:ascii="Verdana" w:hAnsi="Verdana"/>
          <w:iCs/>
          <w:sz w:val="18"/>
          <w:szCs w:val="18"/>
          <w:lang w:val="nl-NL" w:eastAsia="zh-CN"/>
        </w:rPr>
        <w:t>len</w:t>
      </w:r>
      <w:r w:rsidR="00951F93">
        <w:rPr>
          <w:rFonts w:ascii="Verdana" w:hAnsi="Verdana"/>
          <w:iCs/>
          <w:sz w:val="18"/>
          <w:szCs w:val="18"/>
          <w:lang w:val="nl-NL" w:eastAsia="zh-CN"/>
        </w:rPr>
        <w:t xml:space="preserve"> van de systemen en de criteria aan onderpand die in de SFD zijn vastgelegd.</w:t>
      </w:r>
    </w:p>
    <w:p w:rsidR="00573B68" w:rsidP="004822BD" w:rsidRDefault="00247F61" w14:paraId="435D055C" w14:textId="759EE297">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lastRenderedPageBreak/>
        <w:t>Om deze redenen</w:t>
      </w:r>
      <w:r w:rsidR="00382C28">
        <w:rPr>
          <w:rFonts w:ascii="Verdana" w:hAnsi="Verdana"/>
          <w:iCs/>
          <w:sz w:val="18"/>
          <w:szCs w:val="18"/>
          <w:lang w:val="nl-NL" w:eastAsia="zh-CN"/>
        </w:rPr>
        <w:t xml:space="preserve"> – </w:t>
      </w:r>
      <w:r>
        <w:rPr>
          <w:rFonts w:ascii="Verdana" w:hAnsi="Verdana"/>
          <w:iCs/>
          <w:sz w:val="18"/>
          <w:szCs w:val="18"/>
          <w:lang w:val="nl-NL" w:eastAsia="zh-CN"/>
        </w:rPr>
        <w:t xml:space="preserve">het </w:t>
      </w:r>
      <w:r w:rsidR="008140B2">
        <w:rPr>
          <w:rFonts w:ascii="Verdana" w:hAnsi="Verdana"/>
          <w:iCs/>
          <w:sz w:val="18"/>
          <w:szCs w:val="18"/>
          <w:lang w:val="nl-NL" w:eastAsia="zh-CN"/>
        </w:rPr>
        <w:t>bestaan van verschillen tussen lidstaten</w:t>
      </w:r>
      <w:r>
        <w:rPr>
          <w:rFonts w:ascii="Verdana" w:hAnsi="Verdana"/>
          <w:iCs/>
          <w:sz w:val="18"/>
          <w:szCs w:val="18"/>
          <w:lang w:val="nl-NL" w:eastAsia="zh-CN"/>
        </w:rPr>
        <w:t xml:space="preserve"> en gebrek aan ruimte voor technologisch ontwikkelingen</w:t>
      </w:r>
      <w:r w:rsidR="00382C28">
        <w:rPr>
          <w:rFonts w:ascii="Verdana" w:hAnsi="Verdana"/>
          <w:iCs/>
          <w:sz w:val="18"/>
          <w:szCs w:val="18"/>
          <w:lang w:val="nl-NL" w:eastAsia="zh-CN"/>
        </w:rPr>
        <w:t xml:space="preserve"> –</w:t>
      </w:r>
      <w:r>
        <w:rPr>
          <w:rFonts w:ascii="Verdana" w:hAnsi="Verdana"/>
          <w:iCs/>
          <w:sz w:val="18"/>
          <w:szCs w:val="18"/>
          <w:lang w:val="nl-NL" w:eastAsia="zh-CN"/>
        </w:rPr>
        <w:t xml:space="preserve"> stelde de Europese Commissie in 2024 dat de SFD aan herziening toe is.</w:t>
      </w:r>
      <w:r w:rsidR="00D14D2F">
        <w:rPr>
          <w:rFonts w:ascii="Verdana" w:hAnsi="Verdana"/>
          <w:iCs/>
          <w:sz w:val="18"/>
          <w:szCs w:val="18"/>
          <w:lang w:val="nl-NL" w:eastAsia="zh-CN"/>
        </w:rPr>
        <w:t xml:space="preserve"> </w:t>
      </w:r>
      <w:r>
        <w:rPr>
          <w:rFonts w:ascii="Verdana" w:hAnsi="Verdana"/>
          <w:iCs/>
          <w:sz w:val="18"/>
          <w:szCs w:val="18"/>
          <w:lang w:val="nl-NL" w:eastAsia="zh-CN"/>
        </w:rPr>
        <w:t>Middels dit wetsvoorstel</w:t>
      </w:r>
      <w:r w:rsidR="00D670CE">
        <w:rPr>
          <w:rFonts w:ascii="Verdana" w:hAnsi="Verdana"/>
          <w:iCs/>
          <w:sz w:val="18"/>
          <w:szCs w:val="18"/>
          <w:lang w:val="nl-NL" w:eastAsia="zh-CN"/>
        </w:rPr>
        <w:t xml:space="preserve"> (de verordening)</w:t>
      </w:r>
      <w:r>
        <w:rPr>
          <w:rFonts w:ascii="Verdana" w:hAnsi="Verdana"/>
          <w:iCs/>
          <w:sz w:val="18"/>
          <w:szCs w:val="18"/>
          <w:lang w:val="nl-NL" w:eastAsia="zh-CN"/>
        </w:rPr>
        <w:t xml:space="preserve"> wordt beoogd de finaliteit van </w:t>
      </w:r>
      <w:r w:rsidR="005B63B7">
        <w:rPr>
          <w:rFonts w:ascii="Verdana" w:hAnsi="Verdana"/>
          <w:iCs/>
          <w:sz w:val="18"/>
          <w:szCs w:val="18"/>
          <w:lang w:val="nl-NL" w:eastAsia="zh-CN"/>
        </w:rPr>
        <w:t>effecten</w:t>
      </w:r>
      <w:r>
        <w:rPr>
          <w:rFonts w:ascii="Verdana" w:hAnsi="Verdana"/>
          <w:iCs/>
          <w:sz w:val="18"/>
          <w:szCs w:val="18"/>
          <w:lang w:val="nl-NL" w:eastAsia="zh-CN"/>
        </w:rPr>
        <w:t xml:space="preserve">afwikkeling </w:t>
      </w:r>
      <w:r w:rsidR="008140B2">
        <w:rPr>
          <w:rFonts w:ascii="Verdana" w:hAnsi="Verdana"/>
          <w:iCs/>
          <w:sz w:val="18"/>
          <w:szCs w:val="18"/>
          <w:lang w:val="nl-NL" w:eastAsia="zh-CN"/>
        </w:rPr>
        <w:t xml:space="preserve">verder </w:t>
      </w:r>
      <w:r>
        <w:rPr>
          <w:rFonts w:ascii="Verdana" w:hAnsi="Verdana"/>
          <w:iCs/>
          <w:sz w:val="18"/>
          <w:szCs w:val="18"/>
          <w:lang w:val="nl-NL" w:eastAsia="zh-CN"/>
        </w:rPr>
        <w:t xml:space="preserve">te harmoniseren door de richtlijn </w:t>
      </w:r>
      <w:r w:rsidR="007003BE">
        <w:rPr>
          <w:rFonts w:ascii="Verdana" w:hAnsi="Verdana"/>
          <w:iCs/>
          <w:sz w:val="18"/>
          <w:szCs w:val="18"/>
          <w:lang w:val="nl-NL" w:eastAsia="zh-CN"/>
        </w:rPr>
        <w:t xml:space="preserve">om te zetten in </w:t>
      </w:r>
      <w:r>
        <w:rPr>
          <w:rFonts w:ascii="Verdana" w:hAnsi="Verdana"/>
          <w:iCs/>
          <w:sz w:val="18"/>
          <w:szCs w:val="18"/>
          <w:lang w:val="nl-NL" w:eastAsia="zh-CN"/>
        </w:rPr>
        <w:t xml:space="preserve">een verordening. Tevens wordt de wettekst </w:t>
      </w:r>
      <w:r w:rsidR="00D670CE">
        <w:rPr>
          <w:rFonts w:ascii="Verdana" w:hAnsi="Verdana"/>
          <w:iCs/>
          <w:sz w:val="18"/>
          <w:szCs w:val="18"/>
          <w:lang w:val="nl-NL" w:eastAsia="zh-CN"/>
        </w:rPr>
        <w:t xml:space="preserve">van de richtlijn </w:t>
      </w:r>
      <w:r>
        <w:rPr>
          <w:rFonts w:ascii="Verdana" w:hAnsi="Verdana"/>
          <w:iCs/>
          <w:sz w:val="18"/>
          <w:szCs w:val="18"/>
          <w:lang w:val="nl-NL" w:eastAsia="zh-CN"/>
        </w:rPr>
        <w:t>op verschillende punten herzien</w:t>
      </w:r>
      <w:r w:rsidR="004822BD">
        <w:rPr>
          <w:rFonts w:ascii="Verdana" w:hAnsi="Verdana"/>
          <w:iCs/>
          <w:sz w:val="18"/>
          <w:szCs w:val="18"/>
          <w:lang w:val="nl-NL" w:eastAsia="zh-CN"/>
        </w:rPr>
        <w:t>, zij het beperkt.</w:t>
      </w:r>
      <w:r w:rsidR="003D5643">
        <w:rPr>
          <w:rFonts w:ascii="Verdana" w:hAnsi="Verdana"/>
          <w:iCs/>
          <w:sz w:val="18"/>
          <w:szCs w:val="18"/>
          <w:lang w:val="nl-NL" w:eastAsia="zh-CN"/>
        </w:rPr>
        <w:t xml:space="preserve"> Hieronder volgt op hoofdlijnen welke aanpassingen </w:t>
      </w:r>
      <w:r w:rsidR="005B63B7">
        <w:rPr>
          <w:rFonts w:ascii="Verdana" w:hAnsi="Verdana"/>
          <w:iCs/>
          <w:sz w:val="18"/>
          <w:szCs w:val="18"/>
          <w:lang w:val="nl-NL" w:eastAsia="zh-CN"/>
        </w:rPr>
        <w:t xml:space="preserve">concreet </w:t>
      </w:r>
      <w:r w:rsidR="003D5643">
        <w:rPr>
          <w:rFonts w:ascii="Verdana" w:hAnsi="Verdana"/>
          <w:iCs/>
          <w:sz w:val="18"/>
          <w:szCs w:val="18"/>
          <w:lang w:val="nl-NL" w:eastAsia="zh-CN"/>
        </w:rPr>
        <w:t xml:space="preserve">worden voorgesteld. </w:t>
      </w:r>
      <w:r w:rsidR="00D670CE">
        <w:rPr>
          <w:rFonts w:ascii="Verdana" w:hAnsi="Verdana"/>
          <w:iCs/>
          <w:sz w:val="18"/>
          <w:szCs w:val="18"/>
          <w:lang w:val="nl-NL" w:eastAsia="zh-CN"/>
        </w:rPr>
        <w:t>Het</w:t>
      </w:r>
      <w:r w:rsidR="004822BD">
        <w:rPr>
          <w:rFonts w:ascii="Verdana" w:hAnsi="Verdana"/>
          <w:iCs/>
          <w:sz w:val="18"/>
          <w:szCs w:val="18"/>
          <w:lang w:val="nl-NL" w:eastAsia="zh-CN"/>
        </w:rPr>
        <w:t xml:space="preserve"> betreft hoofdzakelijk </w:t>
      </w:r>
      <w:r w:rsidR="006E586A">
        <w:rPr>
          <w:rFonts w:ascii="Verdana" w:hAnsi="Verdana"/>
          <w:iCs/>
          <w:sz w:val="18"/>
          <w:szCs w:val="18"/>
          <w:lang w:val="nl-NL" w:eastAsia="zh-CN"/>
        </w:rPr>
        <w:t xml:space="preserve">1) </w:t>
      </w:r>
      <w:r w:rsidR="004822BD">
        <w:rPr>
          <w:rFonts w:ascii="Verdana" w:hAnsi="Verdana"/>
          <w:iCs/>
          <w:sz w:val="18"/>
          <w:szCs w:val="18"/>
          <w:lang w:val="nl-NL" w:eastAsia="zh-CN"/>
        </w:rPr>
        <w:t xml:space="preserve">het wegnemen van ambiguïteit in definities (van financiële activa, </w:t>
      </w:r>
      <w:r w:rsidR="00C43CC8">
        <w:rPr>
          <w:rFonts w:ascii="Verdana" w:hAnsi="Verdana"/>
          <w:iCs/>
          <w:sz w:val="18"/>
          <w:szCs w:val="18"/>
          <w:lang w:val="nl-NL" w:eastAsia="zh-CN"/>
        </w:rPr>
        <w:t>deelnemers</w:t>
      </w:r>
      <w:r w:rsidR="004822BD">
        <w:rPr>
          <w:rFonts w:ascii="Verdana" w:hAnsi="Verdana"/>
          <w:iCs/>
          <w:sz w:val="18"/>
          <w:szCs w:val="18"/>
          <w:lang w:val="nl-NL" w:eastAsia="zh-CN"/>
        </w:rPr>
        <w:t>),</w:t>
      </w:r>
      <w:r w:rsidR="006E586A">
        <w:rPr>
          <w:rFonts w:ascii="Verdana" w:hAnsi="Verdana"/>
          <w:iCs/>
          <w:sz w:val="18"/>
          <w:szCs w:val="18"/>
          <w:lang w:val="nl-NL" w:eastAsia="zh-CN"/>
        </w:rPr>
        <w:t xml:space="preserve"> waardoor duidelijker wordt wanneer transacties onherroepelijk en finaal zijn, </w:t>
      </w:r>
      <w:r w:rsidR="00ED3489">
        <w:rPr>
          <w:rFonts w:ascii="Verdana" w:hAnsi="Verdana"/>
          <w:iCs/>
          <w:sz w:val="18"/>
          <w:szCs w:val="18"/>
          <w:lang w:val="nl-NL" w:eastAsia="zh-CN"/>
        </w:rPr>
        <w:t>en</w:t>
      </w:r>
      <w:r w:rsidR="006E586A">
        <w:rPr>
          <w:rFonts w:ascii="Verdana" w:hAnsi="Verdana"/>
          <w:iCs/>
          <w:sz w:val="18"/>
          <w:szCs w:val="18"/>
          <w:lang w:val="nl-NL" w:eastAsia="zh-CN"/>
        </w:rPr>
        <w:t xml:space="preserve"> 2)</w:t>
      </w:r>
      <w:r w:rsidR="004822BD">
        <w:rPr>
          <w:rFonts w:ascii="Verdana" w:hAnsi="Verdana"/>
          <w:iCs/>
          <w:sz w:val="18"/>
          <w:szCs w:val="18"/>
          <w:lang w:val="nl-NL" w:eastAsia="zh-CN"/>
        </w:rPr>
        <w:t xml:space="preserve"> </w:t>
      </w:r>
      <w:r w:rsidR="00ED3489">
        <w:rPr>
          <w:rFonts w:ascii="Verdana" w:hAnsi="Verdana"/>
          <w:iCs/>
          <w:sz w:val="18"/>
          <w:szCs w:val="18"/>
          <w:lang w:val="nl-NL" w:eastAsia="zh-CN"/>
        </w:rPr>
        <w:t xml:space="preserve">het bieden van </w:t>
      </w:r>
      <w:r w:rsidR="004822BD">
        <w:rPr>
          <w:rFonts w:ascii="Verdana" w:hAnsi="Verdana"/>
          <w:iCs/>
          <w:sz w:val="18"/>
          <w:szCs w:val="18"/>
          <w:lang w:val="nl-NL" w:eastAsia="zh-CN"/>
        </w:rPr>
        <w:t xml:space="preserve">ruimte </w:t>
      </w:r>
      <w:r w:rsidR="00ED3489">
        <w:rPr>
          <w:rFonts w:ascii="Verdana" w:hAnsi="Verdana"/>
          <w:iCs/>
          <w:sz w:val="18"/>
          <w:szCs w:val="18"/>
          <w:lang w:val="nl-NL" w:eastAsia="zh-CN"/>
        </w:rPr>
        <w:t xml:space="preserve">en wettelijke zekerheid </w:t>
      </w:r>
      <w:r w:rsidR="004822BD">
        <w:rPr>
          <w:rFonts w:ascii="Verdana" w:hAnsi="Verdana"/>
          <w:iCs/>
          <w:sz w:val="18"/>
          <w:szCs w:val="18"/>
          <w:lang w:val="nl-NL" w:eastAsia="zh-CN"/>
        </w:rPr>
        <w:t>voor nieuwe technologische ontwikkelingen die essentieel zijn voor een goed functionerende, geïntegreerde, Europese kapitaalmarkt.</w:t>
      </w:r>
    </w:p>
    <w:p w:rsidR="004822BD" w:rsidP="004822BD" w:rsidRDefault="004822BD" w14:paraId="26EAC51A" w14:textId="3A2F4B00">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t xml:space="preserve"> </w:t>
      </w:r>
    </w:p>
    <w:p w:rsidRPr="00323174" w:rsidR="00954F98" w:rsidP="00D670CE" w:rsidRDefault="00573B68" w14:paraId="5675EA8D" w14:textId="776779E0">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t xml:space="preserve">Het voorstel van de Commissie bevat een </w:t>
      </w:r>
      <w:r w:rsidR="006D42F9">
        <w:rPr>
          <w:rFonts w:ascii="Verdana" w:hAnsi="Verdana"/>
          <w:iCs/>
          <w:sz w:val="18"/>
          <w:szCs w:val="18"/>
          <w:lang w:val="nl-NL" w:eastAsia="zh-CN"/>
        </w:rPr>
        <w:t>zevental wijzigingen</w:t>
      </w:r>
      <w:r>
        <w:rPr>
          <w:rFonts w:ascii="Verdana" w:hAnsi="Verdana"/>
          <w:iCs/>
          <w:sz w:val="18"/>
          <w:szCs w:val="18"/>
          <w:lang w:val="nl-NL" w:eastAsia="zh-CN"/>
        </w:rPr>
        <w:t xml:space="preserve">. </w:t>
      </w:r>
      <w:r w:rsidR="000043E5">
        <w:rPr>
          <w:rFonts w:ascii="Verdana" w:hAnsi="Verdana"/>
          <w:iCs/>
          <w:sz w:val="18"/>
          <w:szCs w:val="18"/>
          <w:lang w:val="nl-NL" w:eastAsia="zh-CN"/>
        </w:rPr>
        <w:t xml:space="preserve">Ten </w:t>
      </w:r>
      <w:r>
        <w:rPr>
          <w:rFonts w:ascii="Verdana" w:hAnsi="Verdana"/>
          <w:iCs/>
          <w:sz w:val="18"/>
          <w:szCs w:val="18"/>
          <w:lang w:val="nl-NL" w:eastAsia="zh-CN"/>
        </w:rPr>
        <w:t>eerste</w:t>
      </w:r>
      <w:r w:rsidR="000043E5">
        <w:rPr>
          <w:rFonts w:ascii="Verdana" w:hAnsi="Verdana"/>
          <w:iCs/>
          <w:sz w:val="18"/>
          <w:szCs w:val="18"/>
          <w:lang w:val="nl-NL" w:eastAsia="zh-CN"/>
        </w:rPr>
        <w:t xml:space="preserve"> biedt </w:t>
      </w:r>
      <w:r w:rsidR="00FF5A82">
        <w:rPr>
          <w:rFonts w:ascii="Verdana" w:hAnsi="Verdana"/>
          <w:iCs/>
          <w:sz w:val="18"/>
          <w:szCs w:val="18"/>
          <w:lang w:val="nl-NL" w:eastAsia="zh-CN"/>
        </w:rPr>
        <w:t>het voorstel</w:t>
      </w:r>
      <w:r w:rsidR="00D670CE">
        <w:rPr>
          <w:rFonts w:ascii="Verdana" w:hAnsi="Verdana"/>
          <w:iCs/>
          <w:sz w:val="18"/>
          <w:szCs w:val="18"/>
          <w:lang w:val="nl-NL" w:eastAsia="zh-CN"/>
        </w:rPr>
        <w:t xml:space="preserve"> w</w:t>
      </w:r>
      <w:r w:rsidR="00323174">
        <w:rPr>
          <w:rFonts w:ascii="Verdana" w:hAnsi="Verdana"/>
          <w:iCs/>
          <w:sz w:val="18"/>
          <w:szCs w:val="18"/>
          <w:lang w:val="nl-NL" w:eastAsia="zh-CN"/>
        </w:rPr>
        <w:t>ettelijke zekerheid voor digitale innovaties</w:t>
      </w:r>
      <w:r w:rsidR="00D670CE">
        <w:rPr>
          <w:rFonts w:ascii="Verdana" w:hAnsi="Verdana"/>
          <w:iCs/>
          <w:sz w:val="18"/>
          <w:szCs w:val="18"/>
          <w:lang w:val="nl-NL" w:eastAsia="zh-CN"/>
        </w:rPr>
        <w:t xml:space="preserve">. </w:t>
      </w:r>
      <w:r w:rsidRPr="00D670CE" w:rsidR="00D670CE">
        <w:rPr>
          <w:rFonts w:ascii="Verdana" w:hAnsi="Verdana"/>
          <w:iCs/>
          <w:sz w:val="18"/>
          <w:szCs w:val="18"/>
          <w:lang w:val="nl-NL" w:eastAsia="zh-CN"/>
        </w:rPr>
        <w:t>Het voorstel is ‘technologie-neutraal’ en biedt daarmee zekerheid aan innovaties zoals DLT</w:t>
      </w:r>
      <w:r w:rsidR="005B63B7">
        <w:rPr>
          <w:rFonts w:ascii="Verdana" w:hAnsi="Verdana"/>
          <w:iCs/>
          <w:sz w:val="18"/>
          <w:szCs w:val="18"/>
          <w:lang w:val="nl-NL" w:eastAsia="zh-CN"/>
        </w:rPr>
        <w:t>,</w:t>
      </w:r>
      <w:r w:rsidRPr="00D670CE" w:rsidR="00D670CE">
        <w:rPr>
          <w:rFonts w:ascii="Verdana" w:hAnsi="Verdana"/>
          <w:iCs/>
          <w:sz w:val="18"/>
          <w:szCs w:val="18"/>
          <w:lang w:val="nl-NL" w:eastAsia="zh-CN"/>
        </w:rPr>
        <w:t xml:space="preserve"> inclusief de op tokens-gebaseerde activa (</w:t>
      </w:r>
      <w:proofErr w:type="spellStart"/>
      <w:r w:rsidRPr="00D670CE" w:rsidR="00D670CE">
        <w:rPr>
          <w:rFonts w:ascii="Verdana" w:hAnsi="Verdana"/>
          <w:iCs/>
          <w:sz w:val="18"/>
          <w:szCs w:val="18"/>
          <w:lang w:val="nl-NL" w:eastAsia="zh-CN"/>
        </w:rPr>
        <w:t>crypto’s</w:t>
      </w:r>
      <w:proofErr w:type="spellEnd"/>
      <w:r w:rsidRPr="00D670CE" w:rsidR="00D670CE">
        <w:rPr>
          <w:rFonts w:ascii="Verdana" w:hAnsi="Verdana"/>
          <w:iCs/>
          <w:sz w:val="18"/>
          <w:szCs w:val="18"/>
          <w:lang w:val="nl-NL" w:eastAsia="zh-CN"/>
        </w:rPr>
        <w:t xml:space="preserve">). De </w:t>
      </w:r>
      <w:r w:rsidR="00FF5A82">
        <w:rPr>
          <w:rFonts w:ascii="Verdana" w:hAnsi="Verdana"/>
          <w:iCs/>
          <w:sz w:val="18"/>
          <w:szCs w:val="18"/>
          <w:lang w:val="nl-NL" w:eastAsia="zh-CN"/>
        </w:rPr>
        <w:t xml:space="preserve">huidige </w:t>
      </w:r>
      <w:r w:rsidRPr="00D670CE" w:rsidR="00D670CE">
        <w:rPr>
          <w:rFonts w:ascii="Verdana" w:hAnsi="Verdana"/>
          <w:iCs/>
          <w:sz w:val="18"/>
          <w:szCs w:val="18"/>
          <w:lang w:val="nl-NL" w:eastAsia="zh-CN"/>
        </w:rPr>
        <w:t>SFD l</w:t>
      </w:r>
      <w:r w:rsidR="00FF5A82">
        <w:rPr>
          <w:rFonts w:ascii="Verdana" w:hAnsi="Verdana"/>
          <w:iCs/>
          <w:sz w:val="18"/>
          <w:szCs w:val="18"/>
          <w:lang w:val="nl-NL" w:eastAsia="zh-CN"/>
        </w:rPr>
        <w:t>aat</w:t>
      </w:r>
      <w:r w:rsidRPr="00D670CE" w:rsidR="00D670CE">
        <w:rPr>
          <w:rFonts w:ascii="Verdana" w:hAnsi="Verdana"/>
          <w:iCs/>
          <w:sz w:val="18"/>
          <w:szCs w:val="18"/>
          <w:lang w:val="nl-NL" w:eastAsia="zh-CN"/>
        </w:rPr>
        <w:t xml:space="preserve"> </w:t>
      </w:r>
      <w:r w:rsidR="00FF5A82">
        <w:rPr>
          <w:rFonts w:ascii="Verdana" w:hAnsi="Verdana"/>
          <w:iCs/>
          <w:sz w:val="18"/>
          <w:szCs w:val="18"/>
          <w:lang w:val="nl-NL" w:eastAsia="zh-CN"/>
        </w:rPr>
        <w:t>in het midden</w:t>
      </w:r>
      <w:r w:rsidRPr="00D670CE" w:rsidR="00D670CE">
        <w:rPr>
          <w:rFonts w:ascii="Verdana" w:hAnsi="Verdana"/>
          <w:iCs/>
          <w:sz w:val="18"/>
          <w:szCs w:val="18"/>
          <w:lang w:val="nl-NL" w:eastAsia="zh-CN"/>
        </w:rPr>
        <w:t xml:space="preserve"> of een op tokens gebaseerde transactie daadwerkelijk een transactie was en ook </w:t>
      </w:r>
      <w:r w:rsidR="00FF5A82">
        <w:rPr>
          <w:rFonts w:ascii="Verdana" w:hAnsi="Verdana"/>
          <w:iCs/>
          <w:sz w:val="18"/>
          <w:szCs w:val="18"/>
          <w:lang w:val="nl-NL" w:eastAsia="zh-CN"/>
        </w:rPr>
        <w:t>is</w:t>
      </w:r>
      <w:r w:rsidRPr="00D670CE" w:rsidR="00D670CE">
        <w:rPr>
          <w:rFonts w:ascii="Verdana" w:hAnsi="Verdana"/>
          <w:iCs/>
          <w:sz w:val="18"/>
          <w:szCs w:val="18"/>
          <w:lang w:val="nl-NL" w:eastAsia="zh-CN"/>
        </w:rPr>
        <w:t xml:space="preserve"> niet vastgelegd of </w:t>
      </w:r>
      <w:proofErr w:type="spellStart"/>
      <w:r w:rsidRPr="00D670CE" w:rsidR="00D670CE">
        <w:rPr>
          <w:rFonts w:ascii="Verdana" w:hAnsi="Verdana"/>
          <w:iCs/>
          <w:sz w:val="18"/>
          <w:szCs w:val="18"/>
          <w:lang w:val="nl-NL" w:eastAsia="zh-CN"/>
        </w:rPr>
        <w:t>c</w:t>
      </w:r>
      <w:r w:rsidR="00382C28">
        <w:rPr>
          <w:rFonts w:ascii="Verdana" w:hAnsi="Verdana"/>
          <w:iCs/>
          <w:sz w:val="18"/>
          <w:szCs w:val="18"/>
          <w:lang w:val="nl-NL" w:eastAsia="zh-CN"/>
        </w:rPr>
        <w:t>r</w:t>
      </w:r>
      <w:r w:rsidRPr="00D670CE" w:rsidR="00D670CE">
        <w:rPr>
          <w:rFonts w:ascii="Verdana" w:hAnsi="Verdana"/>
          <w:iCs/>
          <w:sz w:val="18"/>
          <w:szCs w:val="18"/>
          <w:lang w:val="nl-NL" w:eastAsia="zh-CN"/>
        </w:rPr>
        <w:t>ypto’s</w:t>
      </w:r>
      <w:proofErr w:type="spellEnd"/>
      <w:r w:rsidRPr="00D670CE" w:rsidR="00D670CE">
        <w:rPr>
          <w:rFonts w:ascii="Verdana" w:hAnsi="Verdana"/>
          <w:iCs/>
          <w:sz w:val="18"/>
          <w:szCs w:val="18"/>
          <w:lang w:val="nl-NL" w:eastAsia="zh-CN"/>
        </w:rPr>
        <w:t xml:space="preserve"> wel classificeren als </w:t>
      </w:r>
      <w:r w:rsidR="005B63B7">
        <w:rPr>
          <w:rFonts w:ascii="Verdana" w:hAnsi="Verdana"/>
          <w:iCs/>
          <w:sz w:val="18"/>
          <w:szCs w:val="18"/>
          <w:lang w:val="nl-NL" w:eastAsia="zh-CN"/>
        </w:rPr>
        <w:t xml:space="preserve">een effect en </w:t>
      </w:r>
      <w:r w:rsidR="004F2BFA">
        <w:rPr>
          <w:rFonts w:ascii="Verdana" w:hAnsi="Verdana"/>
          <w:iCs/>
          <w:sz w:val="18"/>
          <w:szCs w:val="18"/>
          <w:lang w:val="nl-NL" w:eastAsia="zh-CN"/>
        </w:rPr>
        <w:t xml:space="preserve">tevens </w:t>
      </w:r>
      <w:r w:rsidR="005B63B7">
        <w:rPr>
          <w:rFonts w:ascii="Verdana" w:hAnsi="Verdana"/>
          <w:iCs/>
          <w:sz w:val="18"/>
          <w:szCs w:val="18"/>
          <w:lang w:val="nl-NL" w:eastAsia="zh-CN"/>
        </w:rPr>
        <w:t xml:space="preserve">of </w:t>
      </w:r>
      <w:proofErr w:type="spellStart"/>
      <w:r w:rsidR="006E586A">
        <w:rPr>
          <w:rFonts w:ascii="Verdana" w:hAnsi="Verdana"/>
          <w:iCs/>
          <w:sz w:val="18"/>
          <w:szCs w:val="18"/>
          <w:lang w:val="nl-NL" w:eastAsia="zh-CN"/>
        </w:rPr>
        <w:t>crypto’s</w:t>
      </w:r>
      <w:proofErr w:type="spellEnd"/>
      <w:r w:rsidRPr="00D670CE" w:rsidR="00D670CE">
        <w:rPr>
          <w:rFonts w:ascii="Verdana" w:hAnsi="Verdana"/>
          <w:iCs/>
          <w:sz w:val="18"/>
          <w:szCs w:val="18"/>
          <w:lang w:val="nl-NL" w:eastAsia="zh-CN"/>
        </w:rPr>
        <w:t xml:space="preserve"> gebruikt k</w:t>
      </w:r>
      <w:r w:rsidR="006E586A">
        <w:rPr>
          <w:rFonts w:ascii="Verdana" w:hAnsi="Verdana"/>
          <w:iCs/>
          <w:sz w:val="18"/>
          <w:szCs w:val="18"/>
          <w:lang w:val="nl-NL" w:eastAsia="zh-CN"/>
        </w:rPr>
        <w:t>u</w:t>
      </w:r>
      <w:r w:rsidRPr="00D670CE" w:rsidR="00D670CE">
        <w:rPr>
          <w:rFonts w:ascii="Verdana" w:hAnsi="Verdana"/>
          <w:iCs/>
          <w:sz w:val="18"/>
          <w:szCs w:val="18"/>
          <w:lang w:val="nl-NL" w:eastAsia="zh-CN"/>
        </w:rPr>
        <w:t>n</w:t>
      </w:r>
      <w:r w:rsidR="006E586A">
        <w:rPr>
          <w:rFonts w:ascii="Verdana" w:hAnsi="Verdana"/>
          <w:iCs/>
          <w:sz w:val="18"/>
          <w:szCs w:val="18"/>
          <w:lang w:val="nl-NL" w:eastAsia="zh-CN"/>
        </w:rPr>
        <w:t>nen</w:t>
      </w:r>
      <w:r w:rsidRPr="00D670CE" w:rsidR="00D670CE">
        <w:rPr>
          <w:rFonts w:ascii="Verdana" w:hAnsi="Verdana"/>
          <w:iCs/>
          <w:sz w:val="18"/>
          <w:szCs w:val="18"/>
          <w:lang w:val="nl-NL" w:eastAsia="zh-CN"/>
        </w:rPr>
        <w:t xml:space="preserve"> worden als onderpand.</w:t>
      </w:r>
      <w:r w:rsidR="00D670CE">
        <w:rPr>
          <w:rFonts w:ascii="Verdana" w:hAnsi="Verdana"/>
          <w:iCs/>
          <w:sz w:val="18"/>
          <w:szCs w:val="18"/>
          <w:lang w:val="nl-NL" w:eastAsia="zh-CN"/>
        </w:rPr>
        <w:t xml:space="preserve"> </w:t>
      </w:r>
      <w:r w:rsidR="007003BE">
        <w:rPr>
          <w:rFonts w:ascii="Verdana" w:hAnsi="Verdana"/>
          <w:iCs/>
          <w:sz w:val="18"/>
          <w:szCs w:val="18"/>
          <w:lang w:val="nl-NL" w:eastAsia="zh-CN"/>
        </w:rPr>
        <w:t xml:space="preserve">Ten </w:t>
      </w:r>
      <w:r>
        <w:rPr>
          <w:rFonts w:ascii="Verdana" w:hAnsi="Verdana"/>
          <w:iCs/>
          <w:sz w:val="18"/>
          <w:szCs w:val="18"/>
          <w:lang w:val="nl-NL" w:eastAsia="zh-CN"/>
        </w:rPr>
        <w:t>tweede</w:t>
      </w:r>
      <w:r w:rsidR="00717344">
        <w:rPr>
          <w:rFonts w:ascii="Verdana" w:hAnsi="Verdana"/>
          <w:iCs/>
          <w:sz w:val="18"/>
          <w:szCs w:val="18"/>
          <w:lang w:val="nl-NL" w:eastAsia="zh-CN"/>
        </w:rPr>
        <w:t xml:space="preserve"> worden in het voorstel</w:t>
      </w:r>
      <w:r w:rsidR="00D670CE">
        <w:rPr>
          <w:rFonts w:ascii="Verdana" w:hAnsi="Verdana"/>
          <w:iCs/>
          <w:sz w:val="18"/>
          <w:szCs w:val="18"/>
          <w:lang w:val="nl-NL" w:eastAsia="zh-CN"/>
        </w:rPr>
        <w:t xml:space="preserve"> de </w:t>
      </w:r>
      <w:r w:rsidRPr="00D670CE" w:rsidR="00D670CE">
        <w:rPr>
          <w:rFonts w:ascii="Verdana" w:hAnsi="Verdana"/>
          <w:iCs/>
          <w:sz w:val="18"/>
          <w:szCs w:val="18"/>
          <w:lang w:val="nl-NL" w:eastAsia="zh-CN"/>
        </w:rPr>
        <w:t xml:space="preserve">definities van betalingssystemen, </w:t>
      </w:r>
      <w:r w:rsidR="006E586A">
        <w:rPr>
          <w:rFonts w:ascii="Verdana" w:hAnsi="Verdana"/>
          <w:iCs/>
          <w:sz w:val="18"/>
          <w:szCs w:val="18"/>
          <w:lang w:val="nl-NL" w:eastAsia="zh-CN"/>
        </w:rPr>
        <w:t>deelnemers en</w:t>
      </w:r>
      <w:r w:rsidRPr="00D670CE" w:rsidR="00D670CE">
        <w:rPr>
          <w:rFonts w:ascii="Verdana" w:hAnsi="Verdana"/>
          <w:iCs/>
          <w:sz w:val="18"/>
          <w:szCs w:val="18"/>
          <w:lang w:val="nl-NL" w:eastAsia="zh-CN"/>
        </w:rPr>
        <w:t xml:space="preserve"> inst</w:t>
      </w:r>
      <w:r w:rsidR="006E586A">
        <w:rPr>
          <w:rFonts w:ascii="Verdana" w:hAnsi="Verdana"/>
          <w:iCs/>
          <w:sz w:val="18"/>
          <w:szCs w:val="18"/>
          <w:lang w:val="nl-NL" w:eastAsia="zh-CN"/>
        </w:rPr>
        <w:t>ellingen</w:t>
      </w:r>
      <w:r w:rsidRPr="00D670CE" w:rsidR="00D670CE">
        <w:rPr>
          <w:rFonts w:ascii="Verdana" w:hAnsi="Verdana"/>
          <w:iCs/>
          <w:sz w:val="18"/>
          <w:szCs w:val="18"/>
          <w:lang w:val="nl-NL" w:eastAsia="zh-CN"/>
        </w:rPr>
        <w:t xml:space="preserve"> </w:t>
      </w:r>
      <w:r w:rsidR="006E586A">
        <w:rPr>
          <w:rFonts w:ascii="Verdana" w:hAnsi="Verdana"/>
          <w:iCs/>
          <w:sz w:val="18"/>
          <w:szCs w:val="18"/>
          <w:lang w:val="nl-NL" w:eastAsia="zh-CN"/>
        </w:rPr>
        <w:t>zo</w:t>
      </w:r>
      <w:r w:rsidRPr="00D670CE" w:rsidR="006E586A">
        <w:rPr>
          <w:rFonts w:ascii="Verdana" w:hAnsi="Verdana"/>
          <w:iCs/>
          <w:sz w:val="18"/>
          <w:szCs w:val="18"/>
          <w:lang w:val="nl-NL" w:eastAsia="zh-CN"/>
        </w:rPr>
        <w:t xml:space="preserve"> </w:t>
      </w:r>
      <w:r w:rsidRPr="00D670CE" w:rsidR="00D670CE">
        <w:rPr>
          <w:rFonts w:ascii="Verdana" w:hAnsi="Verdana"/>
          <w:iCs/>
          <w:sz w:val="18"/>
          <w:szCs w:val="18"/>
          <w:lang w:val="nl-NL" w:eastAsia="zh-CN"/>
        </w:rPr>
        <w:t>aangescherpt dat ze de rechtsonzekerheid omtrent DLT verminderen.</w:t>
      </w:r>
      <w:r w:rsidR="005B63B7">
        <w:rPr>
          <w:rFonts w:ascii="Verdana" w:hAnsi="Verdana"/>
          <w:iCs/>
          <w:sz w:val="18"/>
          <w:szCs w:val="18"/>
          <w:lang w:val="nl-NL" w:eastAsia="zh-CN"/>
        </w:rPr>
        <w:t xml:space="preserve"> Ten </w:t>
      </w:r>
      <w:r>
        <w:rPr>
          <w:rFonts w:ascii="Verdana" w:hAnsi="Verdana"/>
          <w:iCs/>
          <w:sz w:val="18"/>
          <w:szCs w:val="18"/>
          <w:lang w:val="nl-NL" w:eastAsia="zh-CN"/>
        </w:rPr>
        <w:t>derde</w:t>
      </w:r>
      <w:r w:rsidR="00D670CE">
        <w:rPr>
          <w:rFonts w:ascii="Verdana" w:hAnsi="Verdana"/>
          <w:iCs/>
          <w:sz w:val="18"/>
          <w:szCs w:val="18"/>
          <w:lang w:val="nl-NL" w:eastAsia="zh-CN"/>
        </w:rPr>
        <w:t xml:space="preserve"> </w:t>
      </w:r>
      <w:r w:rsidRPr="00D670CE" w:rsidR="00D670CE">
        <w:rPr>
          <w:rFonts w:ascii="Verdana" w:hAnsi="Verdana"/>
          <w:iCs/>
          <w:sz w:val="18"/>
          <w:szCs w:val="18"/>
          <w:lang w:val="nl-NL" w:eastAsia="zh-CN"/>
        </w:rPr>
        <w:t xml:space="preserve">worden regels omtrent rechtsconflicten </w:t>
      </w:r>
      <w:r w:rsidR="005B6BAC">
        <w:rPr>
          <w:rFonts w:ascii="Verdana" w:hAnsi="Verdana"/>
          <w:iCs/>
          <w:sz w:val="18"/>
          <w:szCs w:val="18"/>
          <w:lang w:val="nl-NL" w:eastAsia="zh-CN"/>
        </w:rPr>
        <w:t>verduidelijkt</w:t>
      </w:r>
      <w:r w:rsidRPr="00D670CE" w:rsidR="00D670CE">
        <w:rPr>
          <w:rFonts w:ascii="Verdana" w:hAnsi="Verdana"/>
          <w:iCs/>
          <w:sz w:val="18"/>
          <w:szCs w:val="18"/>
          <w:lang w:val="nl-NL" w:eastAsia="zh-CN"/>
        </w:rPr>
        <w:t xml:space="preserve">, zodat partijen beter weten wat de geldende regels zijn als </w:t>
      </w:r>
      <w:r w:rsidR="006E586A">
        <w:rPr>
          <w:rFonts w:ascii="Verdana" w:hAnsi="Verdana"/>
          <w:iCs/>
          <w:sz w:val="18"/>
          <w:szCs w:val="18"/>
          <w:lang w:val="nl-NL" w:eastAsia="zh-CN"/>
        </w:rPr>
        <w:t xml:space="preserve">er conflicten zijn tussen verschillende </w:t>
      </w:r>
      <w:r w:rsidRPr="00D670CE" w:rsidR="00D670CE">
        <w:rPr>
          <w:rFonts w:ascii="Verdana" w:hAnsi="Verdana"/>
          <w:iCs/>
          <w:sz w:val="18"/>
          <w:szCs w:val="18"/>
          <w:lang w:val="nl-NL" w:eastAsia="zh-CN"/>
        </w:rPr>
        <w:t xml:space="preserve">nationale </w:t>
      </w:r>
      <w:r w:rsidR="006E586A">
        <w:rPr>
          <w:rFonts w:ascii="Verdana" w:hAnsi="Verdana"/>
          <w:iCs/>
          <w:sz w:val="18"/>
          <w:szCs w:val="18"/>
          <w:lang w:val="nl-NL" w:eastAsia="zh-CN"/>
        </w:rPr>
        <w:t>regel</w:t>
      </w:r>
      <w:r w:rsidRPr="00D670CE" w:rsidR="006E586A">
        <w:rPr>
          <w:rFonts w:ascii="Verdana" w:hAnsi="Verdana"/>
          <w:iCs/>
          <w:sz w:val="18"/>
          <w:szCs w:val="18"/>
          <w:lang w:val="nl-NL" w:eastAsia="zh-CN"/>
        </w:rPr>
        <w:t>geving</w:t>
      </w:r>
      <w:r w:rsidRPr="00D670CE" w:rsidR="00D670CE">
        <w:rPr>
          <w:rFonts w:ascii="Verdana" w:hAnsi="Verdana"/>
          <w:iCs/>
          <w:sz w:val="18"/>
          <w:szCs w:val="18"/>
          <w:lang w:val="nl-NL" w:eastAsia="zh-CN"/>
        </w:rPr>
        <w:t xml:space="preserve">. </w:t>
      </w:r>
      <w:r w:rsidR="005B63B7">
        <w:rPr>
          <w:rFonts w:ascii="Verdana" w:hAnsi="Verdana"/>
          <w:iCs/>
          <w:sz w:val="18"/>
          <w:szCs w:val="18"/>
          <w:lang w:val="nl-NL" w:eastAsia="zh-CN"/>
        </w:rPr>
        <w:t xml:space="preserve">Ten </w:t>
      </w:r>
      <w:r>
        <w:rPr>
          <w:rFonts w:ascii="Verdana" w:hAnsi="Verdana"/>
          <w:iCs/>
          <w:sz w:val="18"/>
          <w:szCs w:val="18"/>
          <w:lang w:val="nl-NL" w:eastAsia="zh-CN"/>
        </w:rPr>
        <w:t>vierde</w:t>
      </w:r>
      <w:r w:rsidR="005B63B7">
        <w:rPr>
          <w:rFonts w:ascii="Verdana" w:hAnsi="Verdana"/>
          <w:iCs/>
          <w:sz w:val="18"/>
          <w:szCs w:val="18"/>
          <w:lang w:val="nl-NL" w:eastAsia="zh-CN"/>
        </w:rPr>
        <w:t xml:space="preserve"> biedt </w:t>
      </w:r>
      <w:r w:rsidR="00717344">
        <w:rPr>
          <w:rFonts w:ascii="Verdana" w:hAnsi="Verdana"/>
          <w:iCs/>
          <w:sz w:val="18"/>
          <w:szCs w:val="18"/>
          <w:lang w:val="nl-NL" w:eastAsia="zh-CN"/>
        </w:rPr>
        <w:t>het voorstel</w:t>
      </w:r>
      <w:r w:rsidR="005B63B7">
        <w:rPr>
          <w:rFonts w:ascii="Verdana" w:hAnsi="Verdana"/>
          <w:iCs/>
          <w:sz w:val="18"/>
          <w:szCs w:val="18"/>
          <w:lang w:val="nl-NL" w:eastAsia="zh-CN"/>
        </w:rPr>
        <w:t xml:space="preserve"> r</w:t>
      </w:r>
      <w:r w:rsidRPr="00954F98" w:rsidR="00954F98">
        <w:rPr>
          <w:rFonts w:ascii="Verdana" w:hAnsi="Verdana"/>
          <w:iCs/>
          <w:sz w:val="18"/>
          <w:szCs w:val="18"/>
          <w:lang w:val="nl-NL" w:eastAsia="zh-CN"/>
        </w:rPr>
        <w:t>echtszekerheid voor EU</w:t>
      </w:r>
      <w:r w:rsidR="007003BE">
        <w:rPr>
          <w:rFonts w:ascii="Verdana" w:hAnsi="Verdana"/>
          <w:iCs/>
          <w:sz w:val="18"/>
          <w:szCs w:val="18"/>
          <w:lang w:val="nl-NL" w:eastAsia="zh-CN"/>
        </w:rPr>
        <w:t>-</w:t>
      </w:r>
      <w:r w:rsidRPr="00954F98" w:rsidR="00954F98">
        <w:rPr>
          <w:rFonts w:ascii="Verdana" w:hAnsi="Verdana"/>
          <w:iCs/>
          <w:sz w:val="18"/>
          <w:szCs w:val="18"/>
          <w:lang w:val="nl-NL" w:eastAsia="zh-CN"/>
        </w:rPr>
        <w:t>partijen die gebruik maken van systemen uit derde landen</w:t>
      </w:r>
      <w:r w:rsidR="005B63B7">
        <w:rPr>
          <w:rFonts w:ascii="Verdana" w:hAnsi="Verdana"/>
          <w:iCs/>
          <w:sz w:val="18"/>
          <w:szCs w:val="18"/>
          <w:lang w:val="nl-NL" w:eastAsia="zh-CN"/>
        </w:rPr>
        <w:t xml:space="preserve">. </w:t>
      </w:r>
      <w:r w:rsidRPr="00954F98" w:rsidR="00954F98">
        <w:rPr>
          <w:rFonts w:ascii="Verdana" w:hAnsi="Verdana"/>
          <w:iCs/>
          <w:sz w:val="18"/>
          <w:szCs w:val="18"/>
          <w:lang w:val="nl-NL" w:eastAsia="zh-CN"/>
        </w:rPr>
        <w:t xml:space="preserve">Het voorstel harmoniseert de vereisten voor het registeren van systemen uit derde landen en regelt dat </w:t>
      </w:r>
      <w:r w:rsidR="005B6BAC">
        <w:rPr>
          <w:rFonts w:ascii="Verdana" w:hAnsi="Verdana"/>
          <w:iCs/>
          <w:sz w:val="18"/>
          <w:szCs w:val="18"/>
          <w:lang w:val="nl-NL" w:eastAsia="zh-CN"/>
        </w:rPr>
        <w:t>aanbieders</w:t>
      </w:r>
      <w:r w:rsidRPr="00954F98" w:rsidR="00954F98">
        <w:rPr>
          <w:rFonts w:ascii="Verdana" w:hAnsi="Verdana"/>
          <w:iCs/>
          <w:sz w:val="18"/>
          <w:szCs w:val="18"/>
          <w:lang w:val="nl-NL" w:eastAsia="zh-CN"/>
        </w:rPr>
        <w:t xml:space="preserve"> </w:t>
      </w:r>
      <w:r w:rsidR="006E586A">
        <w:rPr>
          <w:rFonts w:ascii="Verdana" w:hAnsi="Verdana"/>
          <w:iCs/>
          <w:sz w:val="18"/>
          <w:szCs w:val="18"/>
          <w:lang w:val="nl-NL" w:eastAsia="zh-CN"/>
        </w:rPr>
        <w:t xml:space="preserve">van die systemen </w:t>
      </w:r>
      <w:r w:rsidRPr="00954F98" w:rsidR="00954F98">
        <w:rPr>
          <w:rFonts w:ascii="Verdana" w:hAnsi="Verdana"/>
          <w:iCs/>
          <w:sz w:val="18"/>
          <w:szCs w:val="18"/>
          <w:lang w:val="nl-NL" w:eastAsia="zh-CN"/>
        </w:rPr>
        <w:t xml:space="preserve">zich </w:t>
      </w:r>
      <w:r w:rsidR="005B63B7">
        <w:rPr>
          <w:rFonts w:ascii="Verdana" w:hAnsi="Verdana"/>
          <w:iCs/>
          <w:sz w:val="18"/>
          <w:szCs w:val="18"/>
          <w:lang w:val="nl-NL" w:eastAsia="zh-CN"/>
        </w:rPr>
        <w:t xml:space="preserve">bij </w:t>
      </w:r>
      <w:r w:rsidRPr="00954F98" w:rsidR="00954F98">
        <w:rPr>
          <w:rFonts w:ascii="Verdana" w:hAnsi="Verdana"/>
          <w:iCs/>
          <w:sz w:val="18"/>
          <w:szCs w:val="18"/>
          <w:lang w:val="nl-NL" w:eastAsia="zh-CN"/>
        </w:rPr>
        <w:t xml:space="preserve">een centraal punt bij </w:t>
      </w:r>
      <w:r w:rsidR="005B6BAC">
        <w:rPr>
          <w:rFonts w:ascii="Verdana" w:hAnsi="Verdana"/>
          <w:iCs/>
          <w:sz w:val="18"/>
          <w:szCs w:val="18"/>
          <w:lang w:val="nl-NL" w:eastAsia="zh-CN"/>
        </w:rPr>
        <w:t>de Europese Autoriteit voor effecten en markten (</w:t>
      </w:r>
      <w:r w:rsidRPr="00954F98" w:rsidR="00954F98">
        <w:rPr>
          <w:rFonts w:ascii="Verdana" w:hAnsi="Verdana"/>
          <w:iCs/>
          <w:sz w:val="18"/>
          <w:szCs w:val="18"/>
          <w:lang w:val="nl-NL" w:eastAsia="zh-CN"/>
        </w:rPr>
        <w:t>ESMA</w:t>
      </w:r>
      <w:r w:rsidR="005B6BAC">
        <w:rPr>
          <w:rFonts w:ascii="Verdana" w:hAnsi="Verdana"/>
          <w:iCs/>
          <w:sz w:val="18"/>
          <w:szCs w:val="18"/>
          <w:lang w:val="nl-NL" w:eastAsia="zh-CN"/>
        </w:rPr>
        <w:t>)</w:t>
      </w:r>
      <w:r w:rsidRPr="00954F98" w:rsidR="00954F98">
        <w:rPr>
          <w:rFonts w:ascii="Verdana" w:hAnsi="Verdana"/>
          <w:iCs/>
          <w:sz w:val="18"/>
          <w:szCs w:val="18"/>
          <w:lang w:val="nl-NL" w:eastAsia="zh-CN"/>
        </w:rPr>
        <w:t xml:space="preserve"> en</w:t>
      </w:r>
      <w:r w:rsidR="005B6BAC">
        <w:rPr>
          <w:rFonts w:ascii="Verdana" w:hAnsi="Verdana"/>
          <w:iCs/>
          <w:sz w:val="18"/>
          <w:szCs w:val="18"/>
          <w:lang w:val="nl-NL" w:eastAsia="zh-CN"/>
        </w:rPr>
        <w:t xml:space="preserve"> de Europese Bankenautoriteit</w:t>
      </w:r>
      <w:r w:rsidR="00954F98">
        <w:rPr>
          <w:rFonts w:ascii="Verdana" w:hAnsi="Verdana"/>
          <w:iCs/>
          <w:sz w:val="18"/>
          <w:szCs w:val="18"/>
          <w:lang w:val="nl-NL" w:eastAsia="zh-CN"/>
        </w:rPr>
        <w:t xml:space="preserve"> </w:t>
      </w:r>
      <w:r w:rsidR="005B6BAC">
        <w:rPr>
          <w:rFonts w:ascii="Verdana" w:hAnsi="Verdana"/>
          <w:iCs/>
          <w:sz w:val="18"/>
          <w:szCs w:val="18"/>
          <w:lang w:val="nl-NL" w:eastAsia="zh-CN"/>
        </w:rPr>
        <w:t>(</w:t>
      </w:r>
      <w:r w:rsidRPr="00954F98" w:rsidR="00954F98">
        <w:rPr>
          <w:rFonts w:ascii="Verdana" w:hAnsi="Verdana"/>
          <w:iCs/>
          <w:sz w:val="18"/>
          <w:szCs w:val="18"/>
          <w:lang w:val="nl-NL" w:eastAsia="zh-CN"/>
        </w:rPr>
        <w:t>EBA</w:t>
      </w:r>
      <w:r w:rsidR="005B6BAC">
        <w:rPr>
          <w:rFonts w:ascii="Verdana" w:hAnsi="Verdana"/>
          <w:iCs/>
          <w:sz w:val="18"/>
          <w:szCs w:val="18"/>
          <w:lang w:val="nl-NL" w:eastAsia="zh-CN"/>
        </w:rPr>
        <w:t>)</w:t>
      </w:r>
      <w:r w:rsidRPr="00954F98" w:rsidR="00954F98">
        <w:rPr>
          <w:rFonts w:ascii="Verdana" w:hAnsi="Verdana"/>
          <w:iCs/>
          <w:sz w:val="18"/>
          <w:szCs w:val="18"/>
          <w:lang w:val="nl-NL" w:eastAsia="zh-CN"/>
        </w:rPr>
        <w:t xml:space="preserve"> melden. De toelating (en registratie) van de</w:t>
      </w:r>
      <w:r w:rsidR="007003BE">
        <w:rPr>
          <w:rFonts w:ascii="Verdana" w:hAnsi="Verdana"/>
          <w:iCs/>
          <w:sz w:val="18"/>
          <w:szCs w:val="18"/>
          <w:lang w:val="nl-NL" w:eastAsia="zh-CN"/>
        </w:rPr>
        <w:t>rgelijke derde landen</w:t>
      </w:r>
      <w:r w:rsidRPr="00954F98" w:rsidR="00954F98">
        <w:rPr>
          <w:rFonts w:ascii="Verdana" w:hAnsi="Verdana"/>
          <w:iCs/>
          <w:sz w:val="18"/>
          <w:szCs w:val="18"/>
          <w:lang w:val="nl-NL" w:eastAsia="zh-CN"/>
        </w:rPr>
        <w:t xml:space="preserve"> systemen zelf wordt echter aan lidstaten overlaten</w:t>
      </w:r>
      <w:r w:rsidR="005B6BAC">
        <w:rPr>
          <w:rFonts w:ascii="Verdana" w:hAnsi="Verdana"/>
          <w:iCs/>
          <w:sz w:val="18"/>
          <w:szCs w:val="18"/>
          <w:lang w:val="nl-NL" w:eastAsia="zh-CN"/>
        </w:rPr>
        <w:t>.</w:t>
      </w:r>
      <w:r w:rsidR="005B63B7">
        <w:rPr>
          <w:rFonts w:ascii="Verdana" w:hAnsi="Verdana"/>
          <w:iCs/>
          <w:sz w:val="18"/>
          <w:szCs w:val="18"/>
          <w:lang w:val="nl-NL" w:eastAsia="zh-CN"/>
        </w:rPr>
        <w:t xml:space="preserve"> Ten </w:t>
      </w:r>
      <w:r>
        <w:rPr>
          <w:rFonts w:ascii="Verdana" w:hAnsi="Verdana"/>
          <w:iCs/>
          <w:sz w:val="18"/>
          <w:szCs w:val="18"/>
          <w:lang w:val="nl-NL" w:eastAsia="zh-CN"/>
        </w:rPr>
        <w:t>vijfde</w:t>
      </w:r>
      <w:r w:rsidR="005B63B7">
        <w:rPr>
          <w:rFonts w:ascii="Verdana" w:hAnsi="Verdana"/>
          <w:iCs/>
          <w:sz w:val="18"/>
          <w:szCs w:val="18"/>
          <w:lang w:val="nl-NL" w:eastAsia="zh-CN"/>
        </w:rPr>
        <w:t xml:space="preserve"> zijn er a</w:t>
      </w:r>
      <w:r w:rsidRPr="00954F98" w:rsidR="00954F98">
        <w:rPr>
          <w:rFonts w:ascii="Verdana" w:hAnsi="Verdana"/>
          <w:iCs/>
          <w:sz w:val="18"/>
          <w:szCs w:val="18"/>
          <w:lang w:val="nl-NL" w:eastAsia="zh-CN"/>
        </w:rPr>
        <w:t xml:space="preserve">anpassingen </w:t>
      </w:r>
      <w:r w:rsidR="005B63B7">
        <w:rPr>
          <w:rFonts w:ascii="Verdana" w:hAnsi="Verdana"/>
          <w:iCs/>
          <w:sz w:val="18"/>
          <w:szCs w:val="18"/>
          <w:lang w:val="nl-NL" w:eastAsia="zh-CN"/>
        </w:rPr>
        <w:t>in</w:t>
      </w:r>
      <w:r w:rsidRPr="00954F98" w:rsidR="00954F98">
        <w:rPr>
          <w:rFonts w:ascii="Verdana" w:hAnsi="Verdana"/>
          <w:iCs/>
          <w:sz w:val="18"/>
          <w:szCs w:val="18"/>
          <w:lang w:val="nl-NL" w:eastAsia="zh-CN"/>
        </w:rPr>
        <w:t xml:space="preserve"> definities </w:t>
      </w:r>
      <w:r w:rsidR="005B63B7">
        <w:rPr>
          <w:rFonts w:ascii="Verdana" w:hAnsi="Verdana"/>
          <w:iCs/>
          <w:sz w:val="18"/>
          <w:szCs w:val="18"/>
          <w:lang w:val="nl-NL" w:eastAsia="zh-CN"/>
        </w:rPr>
        <w:t>aangaande</w:t>
      </w:r>
      <w:r w:rsidRPr="00954F98" w:rsidR="00954F98">
        <w:rPr>
          <w:rFonts w:ascii="Verdana" w:hAnsi="Verdana"/>
          <w:iCs/>
          <w:sz w:val="18"/>
          <w:szCs w:val="18"/>
          <w:lang w:val="nl-NL" w:eastAsia="zh-CN"/>
        </w:rPr>
        <w:t xml:space="preserve"> </w:t>
      </w:r>
      <w:r w:rsidR="007003BE">
        <w:rPr>
          <w:rFonts w:ascii="Verdana" w:hAnsi="Verdana"/>
          <w:iCs/>
          <w:sz w:val="18"/>
          <w:szCs w:val="18"/>
          <w:lang w:val="nl-NL" w:eastAsia="zh-CN"/>
        </w:rPr>
        <w:t>de reikwijdte</w:t>
      </w:r>
      <w:r w:rsidRPr="00954F98" w:rsidR="007003BE">
        <w:rPr>
          <w:rFonts w:ascii="Verdana" w:hAnsi="Verdana"/>
          <w:iCs/>
          <w:sz w:val="18"/>
          <w:szCs w:val="18"/>
          <w:lang w:val="nl-NL" w:eastAsia="zh-CN"/>
        </w:rPr>
        <w:t xml:space="preserve"> </w:t>
      </w:r>
      <w:r w:rsidRPr="00954F98" w:rsidR="00954F98">
        <w:rPr>
          <w:rFonts w:ascii="Verdana" w:hAnsi="Verdana"/>
          <w:iCs/>
          <w:sz w:val="18"/>
          <w:szCs w:val="18"/>
          <w:lang w:val="nl-NL" w:eastAsia="zh-CN"/>
        </w:rPr>
        <w:t xml:space="preserve">van wie een </w:t>
      </w:r>
      <w:r w:rsidR="007003BE">
        <w:rPr>
          <w:rFonts w:ascii="Verdana" w:hAnsi="Verdana"/>
          <w:iCs/>
          <w:sz w:val="18"/>
          <w:szCs w:val="18"/>
          <w:lang w:val="nl-NL" w:eastAsia="zh-CN"/>
        </w:rPr>
        <w:t>deelnemer k</w:t>
      </w:r>
      <w:r w:rsidR="00717344">
        <w:rPr>
          <w:rFonts w:ascii="Verdana" w:hAnsi="Verdana"/>
          <w:iCs/>
          <w:sz w:val="18"/>
          <w:szCs w:val="18"/>
          <w:lang w:val="nl-NL" w:eastAsia="zh-CN"/>
        </w:rPr>
        <w:t>a</w:t>
      </w:r>
      <w:r w:rsidR="007003BE">
        <w:rPr>
          <w:rFonts w:ascii="Verdana" w:hAnsi="Verdana"/>
          <w:iCs/>
          <w:sz w:val="18"/>
          <w:szCs w:val="18"/>
          <w:lang w:val="nl-NL" w:eastAsia="zh-CN"/>
        </w:rPr>
        <w:t>n zijn aan een systeem</w:t>
      </w:r>
      <w:r w:rsidRPr="00954F98" w:rsidR="00954F98">
        <w:rPr>
          <w:rFonts w:ascii="Verdana" w:hAnsi="Verdana"/>
          <w:iCs/>
          <w:sz w:val="18"/>
          <w:szCs w:val="18"/>
          <w:lang w:val="nl-NL" w:eastAsia="zh-CN"/>
        </w:rPr>
        <w:t xml:space="preserve">. </w:t>
      </w:r>
      <w:r w:rsidR="005B63B7">
        <w:rPr>
          <w:rFonts w:ascii="Verdana" w:hAnsi="Verdana"/>
          <w:iCs/>
          <w:sz w:val="18"/>
          <w:szCs w:val="18"/>
          <w:lang w:val="nl-NL" w:eastAsia="zh-CN"/>
        </w:rPr>
        <w:t>De lijst</w:t>
      </w:r>
      <w:r w:rsidRPr="00954F98" w:rsidR="00954F98">
        <w:rPr>
          <w:rFonts w:ascii="Verdana" w:hAnsi="Verdana"/>
          <w:iCs/>
          <w:sz w:val="18"/>
          <w:szCs w:val="18"/>
          <w:lang w:val="nl-NL" w:eastAsia="zh-CN"/>
        </w:rPr>
        <w:t xml:space="preserve"> van mogelijke partijen</w:t>
      </w:r>
      <w:r w:rsidR="005B63B7">
        <w:rPr>
          <w:rFonts w:ascii="Verdana" w:hAnsi="Verdana"/>
          <w:iCs/>
          <w:sz w:val="18"/>
          <w:szCs w:val="18"/>
          <w:lang w:val="nl-NL" w:eastAsia="zh-CN"/>
        </w:rPr>
        <w:t xml:space="preserve"> die in de SFD </w:t>
      </w:r>
      <w:r w:rsidR="006E586A">
        <w:rPr>
          <w:rFonts w:ascii="Verdana" w:hAnsi="Verdana"/>
          <w:iCs/>
          <w:sz w:val="18"/>
          <w:szCs w:val="18"/>
          <w:lang w:val="nl-NL" w:eastAsia="zh-CN"/>
        </w:rPr>
        <w:t>als deelnemer kan worden aangemerkt kan door de Commissie met een gedelegeerde handeling worden uitgebreid</w:t>
      </w:r>
      <w:r w:rsidRPr="00954F98" w:rsidR="00954F98">
        <w:rPr>
          <w:rFonts w:ascii="Verdana" w:hAnsi="Verdana"/>
          <w:iCs/>
          <w:sz w:val="18"/>
          <w:szCs w:val="18"/>
          <w:lang w:val="nl-NL" w:eastAsia="zh-CN"/>
        </w:rPr>
        <w:t xml:space="preserve">. </w:t>
      </w:r>
      <w:r w:rsidR="005B63B7">
        <w:rPr>
          <w:rFonts w:ascii="Verdana" w:hAnsi="Verdana"/>
          <w:iCs/>
          <w:sz w:val="18"/>
          <w:szCs w:val="18"/>
          <w:lang w:val="nl-NL" w:eastAsia="zh-CN"/>
        </w:rPr>
        <w:t>Deze wijziging zou ruimte moeten bieden</w:t>
      </w:r>
      <w:r w:rsidRPr="00954F98" w:rsidR="00954F98">
        <w:rPr>
          <w:rFonts w:ascii="Verdana" w:hAnsi="Verdana"/>
          <w:iCs/>
          <w:sz w:val="18"/>
          <w:szCs w:val="18"/>
          <w:lang w:val="nl-NL" w:eastAsia="zh-CN"/>
        </w:rPr>
        <w:t xml:space="preserve"> aan toekomstige innovaties (in de transactieafwikkeling).</w:t>
      </w:r>
      <w:r w:rsidR="005B63B7">
        <w:rPr>
          <w:rFonts w:ascii="Verdana" w:hAnsi="Verdana"/>
          <w:iCs/>
          <w:sz w:val="18"/>
          <w:szCs w:val="18"/>
          <w:lang w:val="nl-NL" w:eastAsia="zh-CN"/>
        </w:rPr>
        <w:t xml:space="preserve"> Ten </w:t>
      </w:r>
      <w:r>
        <w:rPr>
          <w:rFonts w:ascii="Verdana" w:hAnsi="Verdana"/>
          <w:iCs/>
          <w:sz w:val="18"/>
          <w:szCs w:val="18"/>
          <w:lang w:val="nl-NL" w:eastAsia="zh-CN"/>
        </w:rPr>
        <w:t>zesde</w:t>
      </w:r>
      <w:r w:rsidR="006E586A">
        <w:rPr>
          <w:rFonts w:ascii="Verdana" w:hAnsi="Verdana"/>
          <w:iCs/>
          <w:sz w:val="18"/>
          <w:szCs w:val="18"/>
          <w:lang w:val="nl-NL" w:eastAsia="zh-CN"/>
        </w:rPr>
        <w:t xml:space="preserve"> </w:t>
      </w:r>
      <w:r w:rsidR="005B63B7">
        <w:rPr>
          <w:rFonts w:ascii="Verdana" w:hAnsi="Verdana"/>
          <w:iCs/>
          <w:sz w:val="18"/>
          <w:szCs w:val="18"/>
          <w:lang w:val="nl-NL" w:eastAsia="zh-CN"/>
        </w:rPr>
        <w:t xml:space="preserve">biedt </w:t>
      </w:r>
      <w:r w:rsidR="00717344">
        <w:rPr>
          <w:rFonts w:ascii="Verdana" w:hAnsi="Verdana"/>
          <w:iCs/>
          <w:sz w:val="18"/>
          <w:szCs w:val="18"/>
          <w:lang w:val="nl-NL" w:eastAsia="zh-CN"/>
        </w:rPr>
        <w:t>het voorstel</w:t>
      </w:r>
      <w:r w:rsidR="005B63B7">
        <w:rPr>
          <w:rFonts w:ascii="Verdana" w:hAnsi="Verdana"/>
          <w:iCs/>
          <w:sz w:val="18"/>
          <w:szCs w:val="18"/>
          <w:lang w:val="nl-NL" w:eastAsia="zh-CN"/>
        </w:rPr>
        <w:t xml:space="preserve"> </w:t>
      </w:r>
      <w:r w:rsidRPr="00954F98" w:rsidR="00954F98">
        <w:rPr>
          <w:rFonts w:ascii="Verdana" w:hAnsi="Verdana"/>
          <w:iCs/>
          <w:sz w:val="18"/>
          <w:szCs w:val="18"/>
          <w:lang w:val="nl-NL" w:eastAsia="zh-CN"/>
        </w:rPr>
        <w:t>EU-brede operationele criteria voor het aan</w:t>
      </w:r>
      <w:r w:rsidR="007003BE">
        <w:rPr>
          <w:rFonts w:ascii="Verdana" w:hAnsi="Verdana"/>
          <w:iCs/>
          <w:sz w:val="18"/>
          <w:szCs w:val="18"/>
          <w:lang w:val="nl-NL" w:eastAsia="zh-CN"/>
        </w:rPr>
        <w:t>wijzen</w:t>
      </w:r>
      <w:r w:rsidRPr="00954F98" w:rsidR="00954F98">
        <w:rPr>
          <w:rFonts w:ascii="Verdana" w:hAnsi="Verdana"/>
          <w:iCs/>
          <w:sz w:val="18"/>
          <w:szCs w:val="18"/>
          <w:lang w:val="nl-NL" w:eastAsia="zh-CN"/>
        </w:rPr>
        <w:t xml:space="preserve"> van systemen (‘</w:t>
      </w:r>
      <w:proofErr w:type="spellStart"/>
      <w:r w:rsidRPr="00954F98" w:rsidR="00954F98">
        <w:rPr>
          <w:rFonts w:ascii="Verdana" w:hAnsi="Verdana"/>
          <w:iCs/>
          <w:sz w:val="18"/>
          <w:szCs w:val="18"/>
          <w:lang w:val="nl-NL" w:eastAsia="zh-CN"/>
        </w:rPr>
        <w:t>designation</w:t>
      </w:r>
      <w:proofErr w:type="spellEnd"/>
      <w:r w:rsidRPr="00954F98" w:rsidR="00954F98">
        <w:rPr>
          <w:rFonts w:ascii="Verdana" w:hAnsi="Verdana"/>
          <w:iCs/>
          <w:sz w:val="18"/>
          <w:szCs w:val="18"/>
          <w:lang w:val="nl-NL" w:eastAsia="zh-CN"/>
        </w:rPr>
        <w:t>’). Het wetsvoorstel harmoniseert de EU-brede operationele criteria voor systemen, maar de wettelijke bevoegdheid voor het registreren van een systeem blijft een bevoegdheid van lidstaten zelf.</w:t>
      </w:r>
      <w:r w:rsidR="005B63B7">
        <w:rPr>
          <w:rFonts w:ascii="Verdana" w:hAnsi="Verdana"/>
          <w:iCs/>
          <w:sz w:val="18"/>
          <w:szCs w:val="18"/>
          <w:lang w:val="nl-NL" w:eastAsia="zh-CN"/>
        </w:rPr>
        <w:t xml:space="preserve"> Ten </w:t>
      </w:r>
      <w:r>
        <w:rPr>
          <w:rFonts w:ascii="Verdana" w:hAnsi="Verdana"/>
          <w:iCs/>
          <w:sz w:val="18"/>
          <w:szCs w:val="18"/>
          <w:lang w:val="nl-NL" w:eastAsia="zh-CN"/>
        </w:rPr>
        <w:t>zevende</w:t>
      </w:r>
      <w:r w:rsidR="005B63B7">
        <w:rPr>
          <w:rFonts w:ascii="Verdana" w:hAnsi="Verdana"/>
          <w:iCs/>
          <w:sz w:val="18"/>
          <w:szCs w:val="18"/>
          <w:lang w:val="nl-NL" w:eastAsia="zh-CN"/>
        </w:rPr>
        <w:t xml:space="preserve"> zijn er a</w:t>
      </w:r>
      <w:r w:rsidRPr="00954F98" w:rsidR="00954F98">
        <w:rPr>
          <w:rFonts w:ascii="Verdana" w:hAnsi="Verdana"/>
          <w:iCs/>
          <w:sz w:val="18"/>
          <w:szCs w:val="18"/>
          <w:lang w:val="nl-NL" w:eastAsia="zh-CN"/>
        </w:rPr>
        <w:t>anscherpingen in de transparantievereisten aan ESMA</w:t>
      </w:r>
      <w:r w:rsidRPr="006E586A" w:rsidR="006E586A">
        <w:rPr>
          <w:rFonts w:ascii="Verdana" w:hAnsi="Verdana"/>
          <w:iCs/>
          <w:sz w:val="18"/>
          <w:szCs w:val="18"/>
          <w:lang w:val="nl-NL" w:eastAsia="zh-CN"/>
        </w:rPr>
        <w:t xml:space="preserve"> </w:t>
      </w:r>
      <w:r w:rsidR="006E586A">
        <w:rPr>
          <w:rFonts w:ascii="Verdana" w:hAnsi="Verdana"/>
          <w:iCs/>
          <w:sz w:val="18"/>
          <w:szCs w:val="18"/>
          <w:lang w:val="nl-NL" w:eastAsia="zh-CN"/>
        </w:rPr>
        <w:t>waardoor lidstaten moeten rapporteren aan ESMA welke systemen uit derde landen zij registreren</w:t>
      </w:r>
      <w:r w:rsidRPr="00954F98" w:rsidR="00954F98">
        <w:rPr>
          <w:rFonts w:ascii="Verdana" w:hAnsi="Verdana"/>
          <w:iCs/>
          <w:sz w:val="18"/>
          <w:szCs w:val="18"/>
          <w:lang w:val="nl-NL" w:eastAsia="zh-CN"/>
        </w:rPr>
        <w:t>.</w:t>
      </w:r>
    </w:p>
    <w:p w:rsidRPr="00062717" w:rsidR="00AC3BD8" w:rsidP="00171F0B" w:rsidRDefault="00AC3BD8" w14:paraId="28995D0E" w14:textId="77777777">
      <w:pPr>
        <w:pStyle w:val="Spreekpunten"/>
        <w:numPr>
          <w:ilvl w:val="0"/>
          <w:numId w:val="0"/>
        </w:numPr>
        <w:rPr>
          <w:rFonts w:ascii="Verdana" w:hAnsi="Verdana"/>
          <w:iCs/>
          <w:sz w:val="18"/>
          <w:szCs w:val="18"/>
          <w:lang w:val="nl-NL" w:eastAsia="zh-CN"/>
        </w:rPr>
      </w:pPr>
    </w:p>
    <w:p w:rsidRPr="00062717" w:rsidR="006E586A" w:rsidP="006E586A" w:rsidRDefault="006E586A" w14:paraId="733EF97B" w14:textId="77777777">
      <w:pPr>
        <w:pStyle w:val="Spreekpunten"/>
        <w:numPr>
          <w:ilvl w:val="0"/>
          <w:numId w:val="43"/>
        </w:numPr>
        <w:rPr>
          <w:rFonts w:ascii="Verdana" w:hAnsi="Verdana"/>
          <w:i/>
          <w:iCs/>
          <w:sz w:val="18"/>
          <w:szCs w:val="18"/>
          <w:lang w:val="nl-NL" w:eastAsia="zh-CN"/>
        </w:rPr>
      </w:pPr>
      <w:r w:rsidRPr="00062717">
        <w:rPr>
          <w:rFonts w:ascii="Verdana" w:hAnsi="Verdana"/>
          <w:i/>
          <w:iCs/>
          <w:sz w:val="18"/>
          <w:szCs w:val="18"/>
          <w:lang w:val="nl-NL" w:eastAsia="zh-CN"/>
        </w:rPr>
        <w:t>Impact assessment Commissie</w:t>
      </w:r>
    </w:p>
    <w:p w:rsidRPr="008D0547" w:rsidR="00802AAB" w:rsidP="00171F0B" w:rsidRDefault="00802AAB" w14:paraId="43C8A629" w14:textId="413F586F">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r>
        <w:rPr>
          <w:rFonts w:ascii="Verdana" w:hAnsi="Verdana"/>
          <w:iCs/>
          <w:sz w:val="18"/>
          <w:szCs w:val="18"/>
        </w:rPr>
        <w:t xml:space="preserve">In het kader van het </w:t>
      </w:r>
      <w:proofErr w:type="spellStart"/>
      <w:r>
        <w:rPr>
          <w:rFonts w:ascii="Verdana" w:hAnsi="Verdana"/>
          <w:iCs/>
          <w:sz w:val="18"/>
          <w:szCs w:val="18"/>
        </w:rPr>
        <w:t>marktinfrastructuurpakket</w:t>
      </w:r>
      <w:proofErr w:type="spellEnd"/>
      <w:r>
        <w:rPr>
          <w:rFonts w:ascii="Verdana" w:hAnsi="Verdana"/>
          <w:iCs/>
          <w:sz w:val="18"/>
          <w:szCs w:val="18"/>
        </w:rPr>
        <w:t xml:space="preserve"> heeft de Commissie een effectbeoordeling uitgevoerd. Specifiek voor de omzetting van de </w:t>
      </w:r>
      <w:r w:rsidR="006E586A">
        <w:rPr>
          <w:rFonts w:ascii="Verdana" w:hAnsi="Verdana"/>
          <w:iCs/>
          <w:sz w:val="18"/>
          <w:szCs w:val="18"/>
        </w:rPr>
        <w:t xml:space="preserve">richtlijn </w:t>
      </w:r>
      <w:r>
        <w:rPr>
          <w:rFonts w:ascii="Verdana" w:hAnsi="Verdana"/>
          <w:iCs/>
          <w:sz w:val="18"/>
          <w:szCs w:val="18"/>
        </w:rPr>
        <w:t>in een verordening</w:t>
      </w:r>
      <w:r w:rsidR="00342D84">
        <w:rPr>
          <w:rFonts w:ascii="Verdana" w:hAnsi="Verdana"/>
          <w:iCs/>
          <w:sz w:val="18"/>
          <w:szCs w:val="18"/>
        </w:rPr>
        <w:t xml:space="preserve"> heeft de Commissie geconcludeerd dat het aa</w:t>
      </w:r>
      <w:r w:rsidR="008D0547">
        <w:rPr>
          <w:rFonts w:ascii="Verdana" w:hAnsi="Verdana"/>
          <w:iCs/>
          <w:sz w:val="18"/>
          <w:szCs w:val="18"/>
        </w:rPr>
        <w:t>npassen van de bestaande SFD naar een verordening</w:t>
      </w:r>
      <w:r w:rsidR="00342D84">
        <w:rPr>
          <w:rFonts w:ascii="Verdana" w:hAnsi="Verdana"/>
          <w:iCs/>
          <w:sz w:val="18"/>
          <w:szCs w:val="18"/>
        </w:rPr>
        <w:t xml:space="preserve"> het meest opportuun is. De aan</w:t>
      </w:r>
      <w:r w:rsidR="005D113E">
        <w:rPr>
          <w:rFonts w:ascii="Verdana" w:hAnsi="Verdana"/>
          <w:iCs/>
          <w:sz w:val="18"/>
          <w:szCs w:val="18"/>
        </w:rPr>
        <w:t>passingen</w:t>
      </w:r>
      <w:r w:rsidR="00342D84">
        <w:rPr>
          <w:rFonts w:ascii="Verdana" w:hAnsi="Verdana"/>
          <w:iCs/>
          <w:sz w:val="18"/>
          <w:szCs w:val="18"/>
        </w:rPr>
        <w:t xml:space="preserve"> verminderen de </w:t>
      </w:r>
      <w:r w:rsidR="005B6BAC">
        <w:rPr>
          <w:rFonts w:ascii="Verdana" w:hAnsi="Verdana"/>
          <w:iCs/>
          <w:sz w:val="18"/>
          <w:szCs w:val="18"/>
        </w:rPr>
        <w:t>belemmeringen</w:t>
      </w:r>
      <w:r w:rsidR="00342D84">
        <w:rPr>
          <w:rFonts w:ascii="Verdana" w:hAnsi="Verdana"/>
          <w:iCs/>
          <w:sz w:val="18"/>
          <w:szCs w:val="18"/>
        </w:rPr>
        <w:t xml:space="preserve"> in het grensoverschrijdende kapitaalverkeer</w:t>
      </w:r>
      <w:r w:rsidR="007830EE">
        <w:rPr>
          <w:rFonts w:ascii="Verdana" w:hAnsi="Verdana"/>
          <w:iCs/>
          <w:sz w:val="18"/>
          <w:szCs w:val="18"/>
        </w:rPr>
        <w:t>,</w:t>
      </w:r>
      <w:r w:rsidR="008D0547">
        <w:rPr>
          <w:rFonts w:ascii="Verdana" w:hAnsi="Verdana"/>
          <w:iCs/>
          <w:sz w:val="18"/>
          <w:szCs w:val="18"/>
        </w:rPr>
        <w:t xml:space="preserve"> zijn kosteneffectief</w:t>
      </w:r>
      <w:r w:rsidR="005D113E">
        <w:rPr>
          <w:rFonts w:ascii="Verdana" w:hAnsi="Verdana"/>
          <w:iCs/>
          <w:sz w:val="18"/>
          <w:szCs w:val="18"/>
        </w:rPr>
        <w:t xml:space="preserve">, </w:t>
      </w:r>
      <w:r w:rsidR="007830EE">
        <w:rPr>
          <w:rFonts w:ascii="Verdana" w:hAnsi="Verdana"/>
          <w:iCs/>
          <w:sz w:val="18"/>
          <w:szCs w:val="18"/>
        </w:rPr>
        <w:t xml:space="preserve">helpen </w:t>
      </w:r>
      <w:r w:rsidR="005D113E">
        <w:rPr>
          <w:rFonts w:ascii="Verdana" w:hAnsi="Verdana"/>
          <w:iCs/>
          <w:sz w:val="18"/>
          <w:szCs w:val="18"/>
        </w:rPr>
        <w:t>(juridische) fragmentatie</w:t>
      </w:r>
      <w:r w:rsidR="007830EE">
        <w:rPr>
          <w:rFonts w:ascii="Verdana" w:hAnsi="Verdana"/>
          <w:iCs/>
          <w:sz w:val="18"/>
          <w:szCs w:val="18"/>
        </w:rPr>
        <w:t xml:space="preserve"> van de Europese </w:t>
      </w:r>
      <w:r w:rsidR="007830EE">
        <w:rPr>
          <w:rFonts w:ascii="Verdana" w:hAnsi="Verdana"/>
          <w:iCs/>
          <w:sz w:val="18"/>
          <w:szCs w:val="18"/>
        </w:rPr>
        <w:lastRenderedPageBreak/>
        <w:t>kapitaalmarkten te verminderen</w:t>
      </w:r>
      <w:r w:rsidR="005D113E">
        <w:rPr>
          <w:rFonts w:ascii="Verdana" w:hAnsi="Verdana"/>
          <w:iCs/>
          <w:sz w:val="18"/>
          <w:szCs w:val="18"/>
        </w:rPr>
        <w:t xml:space="preserve"> en bieden ruimte voor innovaties.</w:t>
      </w:r>
      <w:r w:rsidRPr="006E586A" w:rsidR="006E586A">
        <w:rPr>
          <w:rFonts w:ascii="Verdana" w:hAnsi="Verdana"/>
          <w:iCs/>
          <w:sz w:val="18"/>
          <w:szCs w:val="18"/>
        </w:rPr>
        <w:t xml:space="preserve"> </w:t>
      </w:r>
      <w:r w:rsidR="006E586A">
        <w:rPr>
          <w:rFonts w:ascii="Verdana" w:hAnsi="Verdana"/>
          <w:iCs/>
          <w:sz w:val="18"/>
          <w:szCs w:val="18"/>
        </w:rPr>
        <w:t>De Commissie heeft twee opties voor omzetting van de richtlijn naar een verordening overwogen. Optie 2 betrof de optie tot gedeeltelijke harmonisatie en optie 3 de optie voor maximumharmonisatie. De Commissie heeft uiteindelijk voor optie 2 gekozen. In de optiek van de Commissie was deze optie meer effectief, efficiënt en coherent dan volledige harmonisatie. Bovendien zou volledige harmonisatie, bijvoorbeeld van de momenten van invoering, onherroepelijkheid en finaliteit, de efficiëntie van verschillende systemen niet ten goede komen. Het vastleggen in de verordening zodat er expliciet de plicht is voor aangewezen systemen om in haar regels en procedures op te nemen wat deze momenten zijn, is voldoende om het gewenste effect van duidelijkheid over deze momenten te bewerkstelligen. Die momenten kunnen dan van systeem tot systeem verschillen.</w:t>
      </w:r>
      <w:r w:rsidR="00E506A0">
        <w:rPr>
          <w:rFonts w:ascii="Verdana" w:hAnsi="Verdana"/>
          <w:iCs/>
          <w:sz w:val="18"/>
          <w:szCs w:val="18"/>
        </w:rPr>
        <w:t xml:space="preserve"> Zolang die momenten in de regels van het systeem zelf zijn vastgelegd hoeft dat niet tot problemen te leiden. Bovendien is er de plicht voor </w:t>
      </w:r>
      <w:proofErr w:type="spellStart"/>
      <w:r w:rsidR="00E506A0">
        <w:rPr>
          <w:rFonts w:ascii="Verdana" w:hAnsi="Verdana"/>
          <w:iCs/>
          <w:sz w:val="18"/>
          <w:szCs w:val="18"/>
        </w:rPr>
        <w:t>interoperabele</w:t>
      </w:r>
      <w:proofErr w:type="spellEnd"/>
      <w:r w:rsidR="00E506A0">
        <w:rPr>
          <w:rFonts w:ascii="Verdana" w:hAnsi="Verdana"/>
          <w:iCs/>
          <w:sz w:val="18"/>
          <w:szCs w:val="18"/>
        </w:rPr>
        <w:t xml:space="preserve"> systemen om de verschillende momenten</w:t>
      </w:r>
      <w:r w:rsidR="00DB15D8">
        <w:rPr>
          <w:rFonts w:ascii="Verdana" w:hAnsi="Verdana"/>
          <w:iCs/>
          <w:sz w:val="18"/>
          <w:szCs w:val="18"/>
        </w:rPr>
        <w:t xml:space="preserve"> in de systemen af te stemmen.</w:t>
      </w:r>
    </w:p>
    <w:p w:rsidR="00EF68AD" w:rsidP="00171F0B" w:rsidRDefault="00EF68AD" w14:paraId="759690CB" w14:textId="77777777">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p>
    <w:p w:rsidRPr="00062717" w:rsidR="00BF35EA" w:rsidP="00171F0B" w:rsidRDefault="00BF35EA" w14:paraId="395C50C2" w14:textId="77777777">
      <w:pPr>
        <w:spacing w:after="0" w:line="360" w:lineRule="auto"/>
        <w:rPr>
          <w:rFonts w:ascii="Verdana" w:hAnsi="Verdana"/>
          <w:b/>
          <w:sz w:val="18"/>
          <w:szCs w:val="18"/>
        </w:rPr>
      </w:pPr>
      <w:r w:rsidRPr="00062717">
        <w:rPr>
          <w:rFonts w:ascii="Verdana" w:hAnsi="Verdana"/>
          <w:b/>
          <w:sz w:val="18"/>
          <w:szCs w:val="18"/>
        </w:rPr>
        <w:t xml:space="preserve">3. Nederlandse positie ten aanzien van het voorstel </w:t>
      </w:r>
    </w:p>
    <w:p w:rsidRPr="00C73F93" w:rsidR="00802AAB" w:rsidP="00171F0B" w:rsidRDefault="00BF35EA" w14:paraId="1869C33A" w14:textId="2100DDEC">
      <w:pPr>
        <w:numPr>
          <w:ilvl w:val="0"/>
          <w:numId w:val="6"/>
        </w:numPr>
        <w:spacing w:after="0" w:line="360" w:lineRule="auto"/>
        <w:rPr>
          <w:rFonts w:ascii="Verdana" w:hAnsi="Verdana"/>
          <w:i/>
          <w:sz w:val="18"/>
          <w:szCs w:val="18"/>
        </w:rPr>
      </w:pPr>
      <w:r w:rsidRPr="00062717">
        <w:rPr>
          <w:rFonts w:ascii="Verdana" w:hAnsi="Verdana"/>
          <w:i/>
          <w:sz w:val="18"/>
          <w:szCs w:val="18"/>
        </w:rPr>
        <w:t>Essentie Nederlands beleid op dit terrein</w:t>
      </w:r>
    </w:p>
    <w:p w:rsidR="0086385F" w:rsidP="3546B35C" w:rsidRDefault="3546B35C" w14:paraId="4DEBBBB9" w14:textId="57BB8AD9">
      <w:pPr>
        <w:pStyle w:val="Spreekpunten"/>
        <w:numPr>
          <w:ilvl w:val="0"/>
          <w:numId w:val="0"/>
        </w:numPr>
        <w:rPr>
          <w:rFonts w:ascii="Verdana" w:hAnsi="Verdana"/>
          <w:sz w:val="18"/>
          <w:szCs w:val="18"/>
          <w:lang w:val="nl-NL" w:eastAsia="zh-CN"/>
        </w:rPr>
      </w:pPr>
      <w:r w:rsidRPr="3546B35C">
        <w:rPr>
          <w:rFonts w:ascii="Verdana" w:hAnsi="Verdana"/>
          <w:sz w:val="18"/>
          <w:szCs w:val="18"/>
          <w:lang w:val="nl-NL" w:eastAsia="zh-CN"/>
        </w:rPr>
        <w:t>Een goed functionerende Europese kapitaalmarkt, waarin grensoverschrijdend</w:t>
      </w:r>
      <w:r w:rsidR="00ED3EAC">
        <w:rPr>
          <w:rFonts w:ascii="Verdana" w:hAnsi="Verdana"/>
          <w:sz w:val="18"/>
          <w:szCs w:val="18"/>
          <w:lang w:val="nl-NL" w:eastAsia="zh-CN"/>
        </w:rPr>
        <w:t>e activiteit wordt gestimuleerd</w:t>
      </w:r>
      <w:r w:rsidRPr="3546B35C">
        <w:rPr>
          <w:rFonts w:ascii="Verdana" w:hAnsi="Verdana"/>
          <w:sz w:val="18"/>
          <w:szCs w:val="18"/>
          <w:lang w:val="nl-NL" w:eastAsia="zh-CN"/>
        </w:rPr>
        <w:t xml:space="preserve">, is essentieel voor economische groei, een goed functionerende Europese interne markt en de strategische agenda van de EU. De grote investeringsbehoefte vraagt om een geïntegreerde Europese kapitaalmarkt waarin juridische risico’s die gepaard gaan met financiële transacties zijn beperkt. Middels de zogenoemde </w:t>
      </w:r>
      <w:proofErr w:type="spellStart"/>
      <w:r w:rsidRPr="3546B35C">
        <w:rPr>
          <w:rFonts w:ascii="Verdana" w:hAnsi="Verdana"/>
          <w:i/>
          <w:iCs/>
          <w:sz w:val="18"/>
          <w:szCs w:val="18"/>
          <w:lang w:val="nl-NL" w:eastAsia="zh-CN"/>
        </w:rPr>
        <w:t>Savings</w:t>
      </w:r>
      <w:proofErr w:type="spellEnd"/>
      <w:r w:rsidRPr="3546B35C">
        <w:rPr>
          <w:rFonts w:ascii="Verdana" w:hAnsi="Verdana"/>
          <w:i/>
          <w:iCs/>
          <w:sz w:val="18"/>
          <w:szCs w:val="18"/>
          <w:lang w:val="nl-NL" w:eastAsia="zh-CN"/>
        </w:rPr>
        <w:t xml:space="preserve"> and </w:t>
      </w:r>
      <w:proofErr w:type="spellStart"/>
      <w:r w:rsidRPr="3546B35C">
        <w:rPr>
          <w:rFonts w:ascii="Verdana" w:hAnsi="Verdana"/>
          <w:i/>
          <w:iCs/>
          <w:sz w:val="18"/>
          <w:szCs w:val="18"/>
          <w:lang w:val="nl-NL" w:eastAsia="zh-CN"/>
        </w:rPr>
        <w:t>Investments</w:t>
      </w:r>
      <w:proofErr w:type="spellEnd"/>
      <w:r w:rsidRPr="3546B35C">
        <w:rPr>
          <w:rFonts w:ascii="Verdana" w:hAnsi="Verdana"/>
          <w:i/>
          <w:iCs/>
          <w:sz w:val="18"/>
          <w:szCs w:val="18"/>
          <w:lang w:val="nl-NL" w:eastAsia="zh-CN"/>
        </w:rPr>
        <w:t xml:space="preserve"> Union (SIU), </w:t>
      </w:r>
      <w:r w:rsidRPr="3546B35C">
        <w:rPr>
          <w:rFonts w:ascii="Verdana" w:hAnsi="Verdana"/>
          <w:sz w:val="18"/>
          <w:szCs w:val="18"/>
          <w:lang w:val="nl-NL" w:eastAsia="zh-CN"/>
        </w:rPr>
        <w:t xml:space="preserve">beoogt de Europese Commissie om zulke belemmeringen die het internationale kapitaalverkeer hinderen, te verminderen. Het verminderen van deze barrières draagt bij aan het beperken van systeemrisico’s en kan (mede daardoor) leiden tot een betere beschikbaarheid van (risicodragend) kapitaal. De voorliggende verordening is onderdeel van de verdere ontwikkeling van de SIU. </w:t>
      </w:r>
    </w:p>
    <w:p w:rsidR="0086385F" w:rsidP="0086385F" w:rsidRDefault="0086385F" w14:paraId="678D90F4" w14:textId="77777777">
      <w:pPr>
        <w:pStyle w:val="Spreekpunten"/>
        <w:numPr>
          <w:ilvl w:val="0"/>
          <w:numId w:val="0"/>
        </w:numPr>
        <w:rPr>
          <w:rFonts w:ascii="Verdana" w:hAnsi="Verdana"/>
          <w:iCs/>
          <w:sz w:val="18"/>
          <w:szCs w:val="18"/>
          <w:lang w:val="nl-NL" w:eastAsia="zh-CN"/>
        </w:rPr>
      </w:pPr>
    </w:p>
    <w:p w:rsidRPr="0086385F" w:rsidR="00802AAB" w:rsidP="0086385F" w:rsidRDefault="00382C28" w14:paraId="414DEF4A" w14:textId="4D2442EC">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t>Ve</w:t>
      </w:r>
      <w:r w:rsidR="0086385F">
        <w:rPr>
          <w:rFonts w:ascii="Verdana" w:hAnsi="Verdana"/>
          <w:iCs/>
          <w:sz w:val="18"/>
          <w:szCs w:val="18"/>
          <w:lang w:val="nl-NL" w:eastAsia="zh-CN"/>
        </w:rPr>
        <w:t xml:space="preserve">rschillen </w:t>
      </w:r>
      <w:r>
        <w:rPr>
          <w:rFonts w:ascii="Verdana" w:hAnsi="Verdana"/>
          <w:iCs/>
          <w:sz w:val="18"/>
          <w:szCs w:val="18"/>
          <w:lang w:val="nl-NL" w:eastAsia="zh-CN"/>
        </w:rPr>
        <w:t>in de wijze waarop</w:t>
      </w:r>
      <w:r w:rsidR="0086385F">
        <w:rPr>
          <w:rFonts w:ascii="Verdana" w:hAnsi="Verdana"/>
          <w:iCs/>
          <w:sz w:val="18"/>
          <w:szCs w:val="18"/>
          <w:lang w:val="nl-NL" w:eastAsia="zh-CN"/>
        </w:rPr>
        <w:t xml:space="preserve"> Europese </w:t>
      </w:r>
      <w:r w:rsidR="00195049">
        <w:rPr>
          <w:rFonts w:ascii="Verdana" w:hAnsi="Verdana"/>
          <w:iCs/>
          <w:sz w:val="18"/>
          <w:szCs w:val="18"/>
          <w:lang w:val="nl-NL" w:eastAsia="zh-CN"/>
        </w:rPr>
        <w:t>lidstaten</w:t>
      </w:r>
      <w:r w:rsidR="0086385F">
        <w:rPr>
          <w:rFonts w:ascii="Verdana" w:hAnsi="Verdana"/>
          <w:iCs/>
          <w:sz w:val="18"/>
          <w:szCs w:val="18"/>
          <w:lang w:val="nl-NL" w:eastAsia="zh-CN"/>
        </w:rPr>
        <w:t xml:space="preserve"> transacties via systemen </w:t>
      </w:r>
      <w:r>
        <w:rPr>
          <w:rFonts w:ascii="Verdana" w:hAnsi="Verdana"/>
          <w:iCs/>
          <w:sz w:val="18"/>
          <w:szCs w:val="18"/>
          <w:lang w:val="nl-NL" w:eastAsia="zh-CN"/>
        </w:rPr>
        <w:t>afwikkelen, vormen een belemmering voor een goed werkende Europese kapitaalmarkt</w:t>
      </w:r>
      <w:r w:rsidR="0086385F">
        <w:rPr>
          <w:rFonts w:ascii="Verdana" w:hAnsi="Verdana"/>
          <w:iCs/>
          <w:sz w:val="18"/>
          <w:szCs w:val="18"/>
          <w:lang w:val="nl-NL" w:eastAsia="zh-CN"/>
        </w:rPr>
        <w:t xml:space="preserve">. Middels de verordening, die leidt tot </w:t>
      </w:r>
      <w:r w:rsidR="00195049">
        <w:rPr>
          <w:rFonts w:ascii="Verdana" w:hAnsi="Verdana"/>
          <w:iCs/>
          <w:sz w:val="18"/>
          <w:szCs w:val="18"/>
          <w:lang w:val="nl-NL" w:eastAsia="zh-CN"/>
        </w:rPr>
        <w:t xml:space="preserve">verdere </w:t>
      </w:r>
      <w:r w:rsidR="0086385F">
        <w:rPr>
          <w:rFonts w:ascii="Verdana" w:hAnsi="Verdana"/>
          <w:iCs/>
          <w:sz w:val="18"/>
          <w:szCs w:val="18"/>
          <w:lang w:val="nl-NL" w:eastAsia="zh-CN"/>
        </w:rPr>
        <w:t xml:space="preserve">harmonisatie in de finaliteit van afwikkeling, beoogt de Europese Commissie </w:t>
      </w:r>
      <w:r w:rsidR="005B6BAC">
        <w:rPr>
          <w:rFonts w:ascii="Verdana" w:hAnsi="Verdana"/>
          <w:iCs/>
          <w:sz w:val="18"/>
          <w:szCs w:val="18"/>
          <w:lang w:val="nl-NL" w:eastAsia="zh-CN"/>
        </w:rPr>
        <w:t>belemmeringen</w:t>
      </w:r>
      <w:r w:rsidR="0086385F">
        <w:rPr>
          <w:rFonts w:ascii="Verdana" w:hAnsi="Verdana"/>
          <w:iCs/>
          <w:sz w:val="18"/>
          <w:szCs w:val="18"/>
          <w:lang w:val="nl-NL" w:eastAsia="zh-CN"/>
        </w:rPr>
        <w:t xml:space="preserve"> te verminderen.</w:t>
      </w:r>
      <w:r w:rsidRPr="006E586A" w:rsidR="006E586A">
        <w:rPr>
          <w:rFonts w:ascii="Verdana" w:hAnsi="Verdana"/>
          <w:iCs/>
          <w:sz w:val="18"/>
          <w:szCs w:val="18"/>
          <w:lang w:val="nl-NL" w:eastAsia="zh-CN"/>
        </w:rPr>
        <w:t xml:space="preserve"> </w:t>
      </w:r>
      <w:r w:rsidR="006E586A">
        <w:rPr>
          <w:rFonts w:ascii="Verdana" w:hAnsi="Verdana"/>
          <w:iCs/>
          <w:sz w:val="18"/>
          <w:szCs w:val="18"/>
          <w:lang w:val="nl-NL" w:eastAsia="zh-CN"/>
        </w:rPr>
        <w:t xml:space="preserve">Dit sluit goed aan op de kabinetsinzet </w:t>
      </w:r>
      <w:r>
        <w:rPr>
          <w:rFonts w:ascii="Verdana" w:hAnsi="Verdana"/>
          <w:iCs/>
          <w:sz w:val="18"/>
          <w:szCs w:val="18"/>
          <w:lang w:val="nl-NL" w:eastAsia="zh-CN"/>
        </w:rPr>
        <w:t xml:space="preserve">ten aanzien van de </w:t>
      </w:r>
      <w:r w:rsidR="006E586A">
        <w:rPr>
          <w:rFonts w:ascii="Verdana" w:hAnsi="Verdana"/>
          <w:iCs/>
          <w:sz w:val="18"/>
          <w:szCs w:val="18"/>
          <w:lang w:val="nl-NL" w:eastAsia="zh-CN"/>
        </w:rPr>
        <w:t>kapitaalmarktunie</w:t>
      </w:r>
      <w:r>
        <w:rPr>
          <w:rFonts w:ascii="Verdana" w:hAnsi="Verdana"/>
          <w:iCs/>
          <w:sz w:val="18"/>
          <w:szCs w:val="18"/>
          <w:lang w:val="nl-NL" w:eastAsia="zh-CN"/>
        </w:rPr>
        <w:t>,</w:t>
      </w:r>
      <w:r w:rsidR="006E586A">
        <w:rPr>
          <w:rFonts w:ascii="Verdana" w:hAnsi="Verdana"/>
          <w:iCs/>
          <w:sz w:val="18"/>
          <w:szCs w:val="18"/>
          <w:lang w:val="nl-NL" w:eastAsia="zh-CN"/>
        </w:rPr>
        <w:t xml:space="preserve"> waarin het kabinet zich inzet voor meer omzetting </w:t>
      </w:r>
      <w:r w:rsidR="00195049">
        <w:rPr>
          <w:rFonts w:ascii="Verdana" w:hAnsi="Verdana"/>
          <w:iCs/>
          <w:sz w:val="18"/>
          <w:szCs w:val="18"/>
          <w:lang w:val="nl-NL" w:eastAsia="zh-CN"/>
        </w:rPr>
        <w:t xml:space="preserve">van richtlijnen </w:t>
      </w:r>
      <w:r w:rsidR="006E586A">
        <w:rPr>
          <w:rFonts w:ascii="Verdana" w:hAnsi="Verdana"/>
          <w:iCs/>
          <w:sz w:val="18"/>
          <w:szCs w:val="18"/>
          <w:lang w:val="nl-NL" w:eastAsia="zh-CN"/>
        </w:rPr>
        <w:t>naar verordeningen.</w:t>
      </w:r>
      <w:r w:rsidR="006E586A">
        <w:rPr>
          <w:rStyle w:val="FootnoteReference"/>
          <w:rFonts w:ascii="Verdana" w:hAnsi="Verdana"/>
          <w:iCs/>
          <w:sz w:val="18"/>
          <w:szCs w:val="18"/>
          <w:lang w:val="nl-NL" w:eastAsia="zh-CN"/>
        </w:rPr>
        <w:footnoteReference w:id="6"/>
      </w:r>
    </w:p>
    <w:p w:rsidRPr="00D9050D" w:rsidR="00D9050D" w:rsidP="00171F0B" w:rsidRDefault="00D9050D" w14:paraId="36E54C6C" w14:textId="77777777">
      <w:pPr>
        <w:spacing w:after="0" w:line="360" w:lineRule="auto"/>
        <w:rPr>
          <w:rFonts w:ascii="Verdana" w:hAnsi="Verdana"/>
          <w:sz w:val="18"/>
          <w:szCs w:val="18"/>
        </w:rPr>
      </w:pPr>
    </w:p>
    <w:p w:rsidRPr="007324A2" w:rsidR="00D9050D" w:rsidP="00171F0B" w:rsidRDefault="00BF35EA" w14:paraId="00661893" w14:textId="46F9104C">
      <w:pPr>
        <w:numPr>
          <w:ilvl w:val="0"/>
          <w:numId w:val="6"/>
        </w:numPr>
        <w:spacing w:after="0" w:line="360" w:lineRule="auto"/>
        <w:rPr>
          <w:rFonts w:ascii="Verdana" w:hAnsi="Verdana"/>
          <w:sz w:val="18"/>
          <w:szCs w:val="18"/>
        </w:rPr>
      </w:pPr>
      <w:r w:rsidRPr="007324A2">
        <w:rPr>
          <w:rFonts w:ascii="Verdana" w:hAnsi="Verdana"/>
          <w:i/>
          <w:sz w:val="18"/>
          <w:szCs w:val="18"/>
        </w:rPr>
        <w:t xml:space="preserve">Beoordeling + inzet ten aanzien van dit voorstel </w:t>
      </w:r>
    </w:p>
    <w:p w:rsidRPr="007324A2" w:rsidR="00B61B05" w:rsidP="00802AAB" w:rsidRDefault="005B6BAC" w14:paraId="59DB57FF" w14:textId="5B37FC63">
      <w:pPr>
        <w:spacing w:after="0" w:line="360" w:lineRule="auto"/>
        <w:rPr>
          <w:rFonts w:ascii="Verdana" w:hAnsi="Verdana"/>
          <w:iCs/>
          <w:sz w:val="18"/>
          <w:szCs w:val="18"/>
        </w:rPr>
      </w:pPr>
      <w:r>
        <w:rPr>
          <w:rFonts w:ascii="Verdana" w:hAnsi="Verdana"/>
          <w:sz w:val="18"/>
          <w:szCs w:val="18"/>
        </w:rPr>
        <w:t xml:space="preserve">Het kabinet </w:t>
      </w:r>
      <w:r w:rsidRPr="007324A2" w:rsidR="00802AAB">
        <w:rPr>
          <w:rFonts w:ascii="Verdana" w:hAnsi="Verdana"/>
          <w:sz w:val="18"/>
          <w:szCs w:val="18"/>
        </w:rPr>
        <w:t xml:space="preserve">staat positief tegenover het voorstel om de SFD om te zetten in een verordening. </w:t>
      </w:r>
      <w:r w:rsidRPr="007324A2" w:rsidR="00802AAB">
        <w:rPr>
          <w:rFonts w:ascii="Verdana" w:hAnsi="Verdana"/>
          <w:iCs/>
          <w:sz w:val="18"/>
          <w:szCs w:val="18"/>
        </w:rPr>
        <w:t xml:space="preserve">De SFD is een richtlijn die toe </w:t>
      </w:r>
      <w:r w:rsidR="00EF579E">
        <w:rPr>
          <w:rFonts w:ascii="Verdana" w:hAnsi="Verdana"/>
          <w:iCs/>
          <w:sz w:val="18"/>
          <w:szCs w:val="18"/>
        </w:rPr>
        <w:t>i</w:t>
      </w:r>
      <w:r w:rsidRPr="007324A2" w:rsidR="00802AAB">
        <w:rPr>
          <w:rFonts w:ascii="Verdana" w:hAnsi="Verdana"/>
          <w:iCs/>
          <w:sz w:val="18"/>
          <w:szCs w:val="18"/>
        </w:rPr>
        <w:t xml:space="preserve">s aan modernisering, mede in het licht van de ontwikkelingen op het gebied van </w:t>
      </w:r>
      <w:proofErr w:type="spellStart"/>
      <w:r w:rsidRPr="007324A2" w:rsidR="00802AAB">
        <w:rPr>
          <w:rFonts w:ascii="Verdana" w:hAnsi="Verdana"/>
          <w:i/>
          <w:sz w:val="18"/>
          <w:szCs w:val="18"/>
        </w:rPr>
        <w:t>distributed</w:t>
      </w:r>
      <w:proofErr w:type="spellEnd"/>
      <w:r w:rsidRPr="007324A2" w:rsidR="00802AAB">
        <w:rPr>
          <w:rFonts w:ascii="Verdana" w:hAnsi="Verdana"/>
          <w:i/>
          <w:sz w:val="18"/>
          <w:szCs w:val="18"/>
        </w:rPr>
        <w:t xml:space="preserve"> </w:t>
      </w:r>
      <w:proofErr w:type="spellStart"/>
      <w:r w:rsidRPr="007324A2" w:rsidR="00802AAB">
        <w:rPr>
          <w:rFonts w:ascii="Verdana" w:hAnsi="Verdana"/>
          <w:i/>
          <w:sz w:val="18"/>
          <w:szCs w:val="18"/>
        </w:rPr>
        <w:t>ledger</w:t>
      </w:r>
      <w:proofErr w:type="spellEnd"/>
      <w:r w:rsidRPr="007324A2" w:rsidR="00802AAB">
        <w:rPr>
          <w:rFonts w:ascii="Verdana" w:hAnsi="Verdana"/>
          <w:i/>
          <w:sz w:val="18"/>
          <w:szCs w:val="18"/>
        </w:rPr>
        <w:t xml:space="preserve">-technology </w:t>
      </w:r>
      <w:r w:rsidRPr="007324A2" w:rsidR="00802AAB">
        <w:rPr>
          <w:rFonts w:ascii="Verdana" w:hAnsi="Verdana"/>
          <w:iCs/>
          <w:sz w:val="18"/>
          <w:szCs w:val="18"/>
        </w:rPr>
        <w:t xml:space="preserve">(DLT) waarmee </w:t>
      </w:r>
      <w:r w:rsidRPr="007324A2" w:rsidR="00B61B05">
        <w:rPr>
          <w:rFonts w:ascii="Verdana" w:hAnsi="Verdana"/>
          <w:iCs/>
          <w:sz w:val="18"/>
          <w:szCs w:val="18"/>
        </w:rPr>
        <w:t>geëxperimenteerd</w:t>
      </w:r>
      <w:r w:rsidRPr="007324A2" w:rsidR="00802AAB">
        <w:rPr>
          <w:rFonts w:ascii="Verdana" w:hAnsi="Verdana"/>
          <w:iCs/>
          <w:sz w:val="18"/>
          <w:szCs w:val="18"/>
        </w:rPr>
        <w:t xml:space="preserve"> wordt onder de DLT Pilot Regime verordening. </w:t>
      </w:r>
    </w:p>
    <w:p w:rsidRPr="007324A2" w:rsidR="00B61B05" w:rsidP="00802AAB" w:rsidRDefault="00B61B05" w14:paraId="75D7807D" w14:textId="77777777">
      <w:pPr>
        <w:spacing w:after="0" w:line="360" w:lineRule="auto"/>
        <w:rPr>
          <w:rFonts w:ascii="Verdana" w:hAnsi="Verdana"/>
          <w:iCs/>
          <w:sz w:val="18"/>
          <w:szCs w:val="18"/>
        </w:rPr>
      </w:pPr>
    </w:p>
    <w:p w:rsidRPr="007324A2" w:rsidR="007324A2" w:rsidP="00171F0B" w:rsidRDefault="00802AAB" w14:paraId="66F7E3F3" w14:textId="5818DC49">
      <w:pPr>
        <w:spacing w:after="0" w:line="360" w:lineRule="auto"/>
        <w:rPr>
          <w:rFonts w:ascii="Verdana" w:hAnsi="Verdana"/>
          <w:iCs/>
          <w:sz w:val="18"/>
          <w:szCs w:val="18"/>
        </w:rPr>
      </w:pPr>
      <w:r w:rsidRPr="007324A2">
        <w:rPr>
          <w:rFonts w:ascii="Verdana" w:hAnsi="Verdana"/>
          <w:iCs/>
          <w:sz w:val="18"/>
          <w:szCs w:val="18"/>
        </w:rPr>
        <w:lastRenderedPageBreak/>
        <w:t xml:space="preserve">Door de </w:t>
      </w:r>
      <w:r w:rsidR="00195049">
        <w:rPr>
          <w:rFonts w:ascii="Verdana" w:hAnsi="Verdana"/>
          <w:iCs/>
          <w:sz w:val="18"/>
          <w:szCs w:val="18"/>
        </w:rPr>
        <w:t xml:space="preserve">voorgestelde </w:t>
      </w:r>
      <w:r w:rsidRPr="007324A2">
        <w:rPr>
          <w:rFonts w:ascii="Verdana" w:hAnsi="Verdana"/>
          <w:iCs/>
          <w:sz w:val="18"/>
          <w:szCs w:val="18"/>
        </w:rPr>
        <w:t>verordening ontstaat er meer harmonisatie op dit terrein</w:t>
      </w:r>
      <w:r w:rsidR="00195049">
        <w:rPr>
          <w:rFonts w:ascii="Verdana" w:hAnsi="Verdana"/>
          <w:iCs/>
          <w:sz w:val="18"/>
          <w:szCs w:val="18"/>
        </w:rPr>
        <w:t xml:space="preserve">, aangezien de richtlijn ruimte bood </w:t>
      </w:r>
      <w:r w:rsidRPr="007324A2">
        <w:rPr>
          <w:rFonts w:ascii="Verdana" w:hAnsi="Verdana"/>
          <w:iCs/>
          <w:sz w:val="18"/>
          <w:szCs w:val="18"/>
        </w:rPr>
        <w:t>voor divergentie door afwijkende implementaties in lidstaten. Gezien het belang van finaliteit in de huidige kapitaalmarkten is het van groot belang om dit goed te waarborgen volgens uniforme bepalingen.</w:t>
      </w:r>
      <w:r w:rsidR="006E586A">
        <w:rPr>
          <w:rFonts w:ascii="Verdana" w:hAnsi="Verdana"/>
          <w:iCs/>
          <w:sz w:val="18"/>
          <w:szCs w:val="18"/>
        </w:rPr>
        <w:t xml:space="preserve"> Bovendien leidt de omzetting naar een verordening voor grensoverschrijdende ondernemingen tot meer rechtszekerheid.</w:t>
      </w:r>
      <w:r w:rsidR="007324A2">
        <w:rPr>
          <w:rFonts w:ascii="Verdana" w:hAnsi="Verdana"/>
          <w:iCs/>
          <w:sz w:val="18"/>
          <w:szCs w:val="18"/>
        </w:rPr>
        <w:t xml:space="preserve"> Het kabinet is positief over de keuze om meer harmonisatie aan te brengen in de wijze waarop lidstaten omgaan met finaliteit in systemen.</w:t>
      </w:r>
      <w:r w:rsidR="006D42F9">
        <w:rPr>
          <w:rFonts w:ascii="Verdana" w:hAnsi="Verdana"/>
          <w:iCs/>
          <w:sz w:val="18"/>
          <w:szCs w:val="18"/>
        </w:rPr>
        <w:t xml:space="preserve"> </w:t>
      </w:r>
      <w:r w:rsidR="00ED3EAC">
        <w:rPr>
          <w:rFonts w:ascii="Verdana" w:hAnsi="Verdana"/>
          <w:iCs/>
          <w:sz w:val="18"/>
          <w:szCs w:val="18"/>
        </w:rPr>
        <w:t>Daarnaast leiden verschillende aanpassingen ertoe dat de regelgeving omtrent finaliteit meer open staat voor nieuwe ontwikkelingen en technologie, wat goed is voor de innovatie en vernieuwing op de kapitaalmarkten.</w:t>
      </w:r>
    </w:p>
    <w:p w:rsidRPr="00D9050D" w:rsidR="005A74EB" w:rsidP="00171F0B" w:rsidRDefault="005A74EB" w14:paraId="77F545DA" w14:textId="77777777">
      <w:pPr>
        <w:spacing w:after="0" w:line="360" w:lineRule="auto"/>
        <w:rPr>
          <w:rFonts w:ascii="Verdana" w:hAnsi="Verdana"/>
          <w:sz w:val="18"/>
          <w:szCs w:val="18"/>
        </w:rPr>
      </w:pPr>
    </w:p>
    <w:p w:rsidRPr="00062717" w:rsidR="00BF35EA" w:rsidP="00171F0B" w:rsidRDefault="00BF35EA" w14:paraId="6C0055AC" w14:textId="77777777">
      <w:pPr>
        <w:numPr>
          <w:ilvl w:val="0"/>
          <w:numId w:val="6"/>
        </w:numPr>
        <w:spacing w:after="0" w:line="360" w:lineRule="auto"/>
        <w:rPr>
          <w:rFonts w:ascii="Verdana" w:hAnsi="Verdana"/>
          <w:i/>
          <w:sz w:val="18"/>
          <w:szCs w:val="18"/>
        </w:rPr>
      </w:pPr>
      <w:r w:rsidRPr="00062717">
        <w:rPr>
          <w:rFonts w:ascii="Verdana" w:hAnsi="Verdana"/>
          <w:i/>
          <w:sz w:val="18"/>
          <w:szCs w:val="18"/>
        </w:rPr>
        <w:t>Eerste inschatting van krachtenveld</w:t>
      </w:r>
    </w:p>
    <w:p w:rsidRPr="00324EA1" w:rsidR="005A74EB" w:rsidP="00171F0B" w:rsidRDefault="005A74EB" w14:paraId="54AAAE01" w14:textId="62F2B575">
      <w:pPr>
        <w:spacing w:after="0" w:line="360" w:lineRule="auto"/>
        <w:rPr>
          <w:rFonts w:ascii="Verdana" w:hAnsi="Verdana"/>
          <w:iCs/>
          <w:sz w:val="18"/>
          <w:szCs w:val="18"/>
        </w:rPr>
      </w:pPr>
      <w:r w:rsidRPr="00324EA1">
        <w:rPr>
          <w:rFonts w:ascii="Verdana" w:hAnsi="Verdana"/>
          <w:iCs/>
          <w:sz w:val="18"/>
          <w:szCs w:val="18"/>
        </w:rPr>
        <w:t xml:space="preserve">De verwachting is dat er breed gedragen steun is voor </w:t>
      </w:r>
      <w:r w:rsidR="00B61B05">
        <w:rPr>
          <w:rFonts w:ascii="Verdana" w:hAnsi="Verdana"/>
          <w:iCs/>
          <w:sz w:val="18"/>
          <w:szCs w:val="18"/>
        </w:rPr>
        <w:t xml:space="preserve">de omzetting, hoewel </w:t>
      </w:r>
      <w:r w:rsidR="00FC711A">
        <w:rPr>
          <w:rFonts w:ascii="Verdana" w:hAnsi="Verdana"/>
          <w:iCs/>
          <w:sz w:val="18"/>
          <w:szCs w:val="18"/>
        </w:rPr>
        <w:t>mogelijk</w:t>
      </w:r>
      <w:r w:rsidR="00B61B05">
        <w:rPr>
          <w:rFonts w:ascii="Verdana" w:hAnsi="Verdana"/>
          <w:iCs/>
          <w:sz w:val="18"/>
          <w:szCs w:val="18"/>
        </w:rPr>
        <w:t xml:space="preserve"> sommige lidstaten zullen betogen dat een omzetting niet nodig is nu in hun optiek de richtlijn, en de implementatie daarvan, afdoende functioneert. </w:t>
      </w:r>
      <w:r w:rsidR="00ED3EAC">
        <w:rPr>
          <w:rFonts w:ascii="Verdana" w:hAnsi="Verdana"/>
          <w:iCs/>
          <w:sz w:val="18"/>
          <w:szCs w:val="18"/>
        </w:rPr>
        <w:t>In het Europees Parlement is de verwachting dat het voorstel belegd zal worden bij de Commissie Economische en Monetaire zaken (ECON). Er is nog geen rapporteur aangesteld.</w:t>
      </w:r>
    </w:p>
    <w:p w:rsidRPr="00062717" w:rsidR="00BF35EA" w:rsidP="00171F0B" w:rsidRDefault="00BF35EA" w14:paraId="2346DDC4" w14:textId="77777777">
      <w:pPr>
        <w:spacing w:after="0" w:line="360" w:lineRule="auto"/>
        <w:rPr>
          <w:rFonts w:ascii="Verdana" w:hAnsi="Verdana"/>
          <w:b/>
          <w:sz w:val="18"/>
          <w:szCs w:val="18"/>
        </w:rPr>
      </w:pPr>
    </w:p>
    <w:p w:rsidRPr="00062717" w:rsidR="00BF35EA" w:rsidP="00171F0B" w:rsidRDefault="00BF35EA" w14:paraId="70B66498" w14:textId="77777777">
      <w:pPr>
        <w:spacing w:after="0" w:line="360" w:lineRule="auto"/>
        <w:rPr>
          <w:rFonts w:ascii="Verdana" w:hAnsi="Verdana"/>
          <w:i/>
          <w:iCs/>
          <w:sz w:val="18"/>
          <w:szCs w:val="18"/>
        </w:rPr>
      </w:pPr>
      <w:r w:rsidRPr="00062717">
        <w:rPr>
          <w:rFonts w:ascii="Verdana" w:hAnsi="Verdana"/>
          <w:b/>
          <w:sz w:val="18"/>
          <w:szCs w:val="18"/>
        </w:rPr>
        <w:t xml:space="preserve">4. Beoordeling bevoegdheid, subsidiariteit en proportionaliteit </w:t>
      </w:r>
    </w:p>
    <w:p w:rsidRPr="00062717" w:rsidR="00BF35EA" w:rsidP="00171F0B" w:rsidRDefault="00BF35EA" w14:paraId="203E047F" w14:textId="77777777">
      <w:pPr>
        <w:pStyle w:val="Spreekpunten"/>
        <w:numPr>
          <w:ilvl w:val="0"/>
          <w:numId w:val="7"/>
        </w:numPr>
        <w:rPr>
          <w:rFonts w:ascii="Verdana" w:hAnsi="Verdana"/>
          <w:i/>
          <w:iCs/>
          <w:sz w:val="18"/>
          <w:szCs w:val="18"/>
          <w:lang w:val="nl-NL" w:eastAsia="zh-CN"/>
        </w:rPr>
      </w:pPr>
      <w:r w:rsidRPr="00062717">
        <w:rPr>
          <w:rFonts w:ascii="Verdana" w:hAnsi="Verdana"/>
          <w:i/>
          <w:iCs/>
          <w:sz w:val="18"/>
          <w:szCs w:val="18"/>
          <w:lang w:val="nl-NL" w:eastAsia="zh-CN"/>
        </w:rPr>
        <w:t>Bevoegdheid</w:t>
      </w:r>
    </w:p>
    <w:p w:rsidR="00BF35EA" w:rsidP="00171F0B" w:rsidRDefault="007324A2" w14:paraId="4A9C0729" w14:textId="272A596F">
      <w:pPr>
        <w:pStyle w:val="Spreekpunten"/>
        <w:numPr>
          <w:ilvl w:val="0"/>
          <w:numId w:val="0"/>
        </w:numPr>
        <w:rPr>
          <w:rFonts w:ascii="Verdana" w:hAnsi="Verdana"/>
          <w:sz w:val="18"/>
          <w:szCs w:val="18"/>
          <w:lang w:val="nl-NL"/>
        </w:rPr>
      </w:pPr>
      <w:r w:rsidRPr="007324A2">
        <w:rPr>
          <w:rFonts w:ascii="Verdana" w:hAnsi="Verdana"/>
          <w:sz w:val="18"/>
          <w:szCs w:val="18"/>
          <w:lang w:val="nl-NL"/>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over de bevoegdheid is positief. Het voorstel is gebaseerd op artikel 114 VWEU. Artikel 114 VWEU geeft de EU de bevoegdheid om maatregelen vast te stellen over de instelling en de werking van de interne markt. Het kabinet kan zich vinden in deze rechtsgrondslag. Op het terrein van de interne markt is sprake van een gedeelde bevoegdheid tussen de EU en de lidstaten op grond van artikel 4, lid 2, onder a VWEU.</w:t>
      </w:r>
    </w:p>
    <w:p w:rsidRPr="00062717" w:rsidR="007324A2" w:rsidP="00171F0B" w:rsidRDefault="007324A2" w14:paraId="671FE298" w14:textId="77777777">
      <w:pPr>
        <w:pStyle w:val="Spreekpunten"/>
        <w:numPr>
          <w:ilvl w:val="0"/>
          <w:numId w:val="0"/>
        </w:numPr>
        <w:rPr>
          <w:rFonts w:ascii="Verdana" w:hAnsi="Verdana"/>
          <w:sz w:val="18"/>
          <w:szCs w:val="18"/>
          <w:lang w:val="nl-NL" w:eastAsia="zh-CN"/>
        </w:rPr>
      </w:pPr>
    </w:p>
    <w:p w:rsidRPr="00062717" w:rsidR="00BF35EA" w:rsidP="00171F0B" w:rsidRDefault="00BF35EA" w14:paraId="5ECB85FC" w14:textId="77777777">
      <w:pPr>
        <w:pStyle w:val="Spreekpunten"/>
        <w:numPr>
          <w:ilvl w:val="0"/>
          <w:numId w:val="7"/>
        </w:numPr>
        <w:rPr>
          <w:rFonts w:ascii="Verdana" w:hAnsi="Verdana"/>
          <w:i/>
          <w:iCs/>
          <w:sz w:val="18"/>
          <w:szCs w:val="18"/>
          <w:lang w:val="nl-NL" w:eastAsia="zh-CN"/>
        </w:rPr>
      </w:pPr>
      <w:r w:rsidRPr="00062717">
        <w:rPr>
          <w:rFonts w:ascii="Verdana" w:hAnsi="Verdana"/>
          <w:i/>
          <w:iCs/>
          <w:sz w:val="18"/>
          <w:szCs w:val="18"/>
          <w:lang w:val="nl-NL" w:eastAsia="zh-CN"/>
        </w:rPr>
        <w:t>Subsidiariteit</w:t>
      </w:r>
    </w:p>
    <w:p w:rsidRPr="007324A2" w:rsidR="007324A2" w:rsidP="007324A2" w:rsidRDefault="007324A2" w14:paraId="5AEE6599" w14:textId="77777777">
      <w:pPr>
        <w:pStyle w:val="Spreekpunten"/>
        <w:numPr>
          <w:ilvl w:val="0"/>
          <w:numId w:val="0"/>
        </w:numPr>
        <w:rPr>
          <w:rFonts w:ascii="Verdana" w:hAnsi="Verdana"/>
          <w:sz w:val="18"/>
          <w:szCs w:val="18"/>
          <w:lang w:val="nl-NL"/>
        </w:rPr>
      </w:pPr>
      <w:r w:rsidRPr="007324A2">
        <w:rPr>
          <w:rFonts w:ascii="Verdana" w:hAnsi="Verdana"/>
          <w:sz w:val="18"/>
          <w:szCs w:val="18"/>
          <w:lang w:val="nl-NL"/>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p>
    <w:p w:rsidRPr="007324A2" w:rsidR="007324A2" w:rsidP="007324A2" w:rsidRDefault="007324A2" w14:paraId="5F7AA76B" w14:textId="77777777">
      <w:pPr>
        <w:pStyle w:val="Spreekpunten"/>
        <w:numPr>
          <w:ilvl w:val="0"/>
          <w:numId w:val="0"/>
        </w:numPr>
        <w:rPr>
          <w:rFonts w:ascii="Verdana" w:hAnsi="Verdana"/>
          <w:bCs w:val="0"/>
          <w:sz w:val="18"/>
          <w:szCs w:val="18"/>
          <w:lang w:val="nl-NL" w:eastAsia="zh-CN"/>
        </w:rPr>
      </w:pPr>
    </w:p>
    <w:p w:rsidRPr="00480D0C" w:rsidR="007324A2" w:rsidP="007324A2" w:rsidRDefault="007324A2" w14:paraId="0EE6CD4F" w14:textId="5CFE3580">
      <w:pPr>
        <w:pStyle w:val="Spreekpunten"/>
        <w:numPr>
          <w:ilvl w:val="0"/>
          <w:numId w:val="0"/>
        </w:numPr>
        <w:rPr>
          <w:rFonts w:ascii="Verdana" w:hAnsi="Verdana"/>
          <w:color w:val="00B0F0"/>
          <w:sz w:val="18"/>
          <w:szCs w:val="18"/>
          <w:lang w:val="nl-NL"/>
        </w:rPr>
      </w:pPr>
      <w:r w:rsidRPr="007324A2">
        <w:rPr>
          <w:rFonts w:ascii="Verdana" w:hAnsi="Verdana"/>
          <w:bCs w:val="0"/>
          <w:sz w:val="18"/>
          <w:szCs w:val="18"/>
          <w:lang w:val="nl-NL" w:eastAsia="zh-CN"/>
        </w:rPr>
        <w:t xml:space="preserve">Het oordeel van het kabinet ten aanzien van de subsidiariteit is positief. Het voorstel heeft tot doel </w:t>
      </w:r>
      <w:r w:rsidRPr="007324A2">
        <w:rPr>
          <w:rFonts w:ascii="Verdana" w:hAnsi="Verdana"/>
          <w:sz w:val="18"/>
          <w:szCs w:val="18"/>
          <w:lang w:val="nl-NL"/>
        </w:rPr>
        <w:t>om beter functionerende uniforme regels te creëren voor de finaliteit van de afwikkeling van effecten en meer harmonisatie en voorspelbaarheid te creëren in de uitwerking daarvan in de verschillende lidstaten</w:t>
      </w:r>
      <w:r w:rsidR="00ED7428">
        <w:rPr>
          <w:rFonts w:ascii="Verdana" w:hAnsi="Verdana"/>
          <w:sz w:val="18"/>
          <w:szCs w:val="18"/>
          <w:lang w:val="nl-NL"/>
        </w:rPr>
        <w:t xml:space="preserve"> teneinde de Europese kapitaalmarkt te bevorderen</w:t>
      </w:r>
      <w:r w:rsidRPr="007324A2">
        <w:rPr>
          <w:rFonts w:ascii="Verdana" w:hAnsi="Verdana"/>
          <w:bCs w:val="0"/>
          <w:sz w:val="18"/>
          <w:szCs w:val="18"/>
          <w:lang w:val="nl-NL" w:eastAsia="zh-CN"/>
        </w:rPr>
        <w:t xml:space="preserve">. Gezien </w:t>
      </w:r>
      <w:r>
        <w:rPr>
          <w:rFonts w:ascii="Verdana" w:hAnsi="Verdana"/>
          <w:bCs w:val="0"/>
          <w:sz w:val="18"/>
          <w:szCs w:val="18"/>
          <w:lang w:val="nl-NL" w:eastAsia="zh-CN"/>
        </w:rPr>
        <w:t xml:space="preserve">de </w:t>
      </w:r>
      <w:r w:rsidR="005B36D3">
        <w:rPr>
          <w:rFonts w:ascii="Verdana" w:hAnsi="Verdana"/>
          <w:bCs w:val="0"/>
          <w:sz w:val="18"/>
          <w:szCs w:val="18"/>
          <w:lang w:val="nl-NL" w:eastAsia="zh-CN"/>
        </w:rPr>
        <w:t>mate waarin</w:t>
      </w:r>
      <w:r>
        <w:rPr>
          <w:rFonts w:ascii="Verdana" w:hAnsi="Verdana"/>
          <w:bCs w:val="0"/>
          <w:sz w:val="18"/>
          <w:szCs w:val="18"/>
          <w:lang w:val="nl-NL" w:eastAsia="zh-CN"/>
        </w:rPr>
        <w:t xml:space="preserve"> de Europese financiële markten</w:t>
      </w:r>
      <w:r w:rsidR="005B36D3">
        <w:rPr>
          <w:rFonts w:ascii="Verdana" w:hAnsi="Verdana"/>
          <w:bCs w:val="0"/>
          <w:sz w:val="18"/>
          <w:szCs w:val="18"/>
          <w:lang w:val="nl-NL" w:eastAsia="zh-CN"/>
        </w:rPr>
        <w:t xml:space="preserve"> grensoverschrijdend functioneren</w:t>
      </w:r>
      <w:r>
        <w:rPr>
          <w:rFonts w:ascii="Verdana" w:hAnsi="Verdana"/>
          <w:bCs w:val="0"/>
          <w:sz w:val="18"/>
          <w:szCs w:val="18"/>
          <w:lang w:val="nl-NL" w:eastAsia="zh-CN"/>
        </w:rPr>
        <w:t xml:space="preserve"> </w:t>
      </w:r>
      <w:r w:rsidRPr="007324A2">
        <w:rPr>
          <w:rFonts w:ascii="Verdana" w:hAnsi="Verdana"/>
          <w:bCs w:val="0"/>
          <w:sz w:val="18"/>
          <w:szCs w:val="18"/>
          <w:lang w:val="nl-NL" w:eastAsia="zh-CN"/>
        </w:rPr>
        <w:t xml:space="preserve">kan dit onvoldoende door de </w:t>
      </w:r>
      <w:r w:rsidRPr="007324A2">
        <w:rPr>
          <w:rFonts w:ascii="Verdana" w:hAnsi="Verdana"/>
          <w:bCs w:val="0"/>
          <w:sz w:val="18"/>
          <w:szCs w:val="18"/>
          <w:lang w:val="nl-NL" w:eastAsia="zh-CN"/>
        </w:rPr>
        <w:lastRenderedPageBreak/>
        <w:t>lidstaten op centraal, regionaal of lokaal niveau worden verwezenlijkt, daarom is een EU-aanpak wel nodig.</w:t>
      </w:r>
      <w:r w:rsidR="005B6BAC">
        <w:rPr>
          <w:rFonts w:ascii="Verdana" w:hAnsi="Verdana"/>
          <w:bCs w:val="0"/>
          <w:sz w:val="18"/>
          <w:szCs w:val="18"/>
          <w:lang w:val="nl-NL" w:eastAsia="zh-CN"/>
        </w:rPr>
        <w:t xml:space="preserve"> </w:t>
      </w:r>
      <w:r w:rsidRPr="00041C67">
        <w:rPr>
          <w:rFonts w:ascii="Verdana" w:hAnsi="Verdana"/>
          <w:bCs w:val="0"/>
          <w:sz w:val="18"/>
          <w:szCs w:val="18"/>
          <w:lang w:val="nl-NL" w:eastAsia="zh-CN"/>
        </w:rPr>
        <w:t>Om die reden is optreden op het niveau van de EU gerechtvaardigd</w:t>
      </w:r>
      <w:r w:rsidR="00041C67">
        <w:rPr>
          <w:rFonts w:ascii="Verdana" w:hAnsi="Verdana"/>
          <w:bCs w:val="0"/>
          <w:sz w:val="18"/>
          <w:szCs w:val="18"/>
          <w:lang w:val="nl-NL" w:eastAsia="zh-CN"/>
        </w:rPr>
        <w:t>.</w:t>
      </w:r>
    </w:p>
    <w:p w:rsidRPr="00062717" w:rsidR="00BF35EA" w:rsidP="00171F0B" w:rsidRDefault="00BF35EA" w14:paraId="6DD6CEF3" w14:textId="77777777">
      <w:pPr>
        <w:pStyle w:val="Spreekpunten"/>
        <w:numPr>
          <w:ilvl w:val="0"/>
          <w:numId w:val="0"/>
        </w:numPr>
        <w:rPr>
          <w:rFonts w:ascii="Verdana" w:hAnsi="Verdana"/>
          <w:sz w:val="18"/>
          <w:szCs w:val="18"/>
          <w:lang w:val="nl-NL" w:eastAsia="zh-CN"/>
        </w:rPr>
      </w:pPr>
    </w:p>
    <w:p w:rsidRPr="00062717" w:rsidR="00BF35EA" w:rsidP="00171F0B" w:rsidRDefault="00BF35EA" w14:paraId="64CE2222" w14:textId="77777777">
      <w:pPr>
        <w:pStyle w:val="Spreekpunten"/>
        <w:numPr>
          <w:ilvl w:val="0"/>
          <w:numId w:val="7"/>
        </w:numPr>
        <w:rPr>
          <w:rFonts w:ascii="Verdana" w:hAnsi="Verdana"/>
          <w:i/>
          <w:iCs/>
          <w:sz w:val="18"/>
          <w:szCs w:val="18"/>
          <w:lang w:val="nl-NL" w:eastAsia="zh-CN"/>
        </w:rPr>
      </w:pPr>
      <w:r w:rsidRPr="00062717">
        <w:rPr>
          <w:rFonts w:ascii="Verdana" w:hAnsi="Verdana"/>
          <w:i/>
          <w:iCs/>
          <w:sz w:val="18"/>
          <w:szCs w:val="18"/>
          <w:lang w:val="nl-NL" w:eastAsia="zh-CN"/>
        </w:rPr>
        <w:t>Proportionaliteit</w:t>
      </w:r>
    </w:p>
    <w:p w:rsidR="00BF35EA" w:rsidP="00171F0B" w:rsidRDefault="00041C67" w14:paraId="47AC5814" w14:textId="038AB7C1">
      <w:pPr>
        <w:pStyle w:val="Spreekpunten"/>
        <w:numPr>
          <w:ilvl w:val="0"/>
          <w:numId w:val="0"/>
        </w:numPr>
        <w:rPr>
          <w:rFonts w:ascii="Verdana" w:hAnsi="Verdana" w:eastAsiaTheme="minorHAnsi" w:cstheme="minorBidi"/>
          <w:bCs w:val="0"/>
          <w:sz w:val="18"/>
          <w:szCs w:val="18"/>
          <w:lang w:val="nl-NL" w:eastAsia="en-US"/>
        </w:rPr>
      </w:pPr>
      <w:r w:rsidRPr="00041C67">
        <w:rPr>
          <w:rFonts w:ascii="Verdana" w:hAnsi="Verdana" w:eastAsiaTheme="minorHAnsi" w:cstheme="minorBidi"/>
          <w:bCs w:val="0"/>
          <w:sz w:val="18"/>
          <w:szCs w:val="18"/>
          <w:lang w:val="nl-NL" w:eastAsia="en-US"/>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Het voorstel heeft tot doel om </w:t>
      </w:r>
      <w:r w:rsidRPr="007324A2">
        <w:rPr>
          <w:rFonts w:ascii="Verdana" w:hAnsi="Verdana"/>
          <w:sz w:val="18"/>
          <w:szCs w:val="18"/>
          <w:lang w:val="nl-NL"/>
        </w:rPr>
        <w:t>beter functionerende uniforme regels te creëren voor de finaliteit van de afwikkeling van effecten en meer harmonisatie en voorspelbaarheid te creëren in de uitwerking daarvan in de verschillende lidstaten</w:t>
      </w:r>
      <w:r w:rsidR="00ED7428">
        <w:rPr>
          <w:rFonts w:ascii="Verdana" w:hAnsi="Verdana"/>
          <w:sz w:val="18"/>
          <w:szCs w:val="18"/>
          <w:lang w:val="nl-NL"/>
        </w:rPr>
        <w:t xml:space="preserve"> teneinde de Europese kapitaalmarkt te bevorderen</w:t>
      </w:r>
      <w:r w:rsidRPr="00041C67">
        <w:rPr>
          <w:rFonts w:ascii="Verdana" w:hAnsi="Verdana" w:eastAsiaTheme="minorHAnsi" w:cstheme="minorBidi"/>
          <w:bCs w:val="0"/>
          <w:sz w:val="18"/>
          <w:szCs w:val="18"/>
          <w:lang w:val="nl-NL" w:eastAsia="en-US"/>
        </w:rPr>
        <w:t xml:space="preserve">. Het voorgestelde optreden is geschikt om deze doelstelling te bereiken, omdat </w:t>
      </w:r>
      <w:r>
        <w:rPr>
          <w:rFonts w:ascii="Verdana" w:hAnsi="Verdana" w:eastAsiaTheme="minorHAnsi" w:cstheme="minorBidi"/>
          <w:bCs w:val="0"/>
          <w:sz w:val="18"/>
          <w:szCs w:val="18"/>
          <w:lang w:val="nl-NL" w:eastAsia="en-US"/>
        </w:rPr>
        <w:t xml:space="preserve">een verordening bijdraagt aan een uniforme wijze van uitvoering in de lidstaten en er hierdoor </w:t>
      </w:r>
      <w:r w:rsidR="00ED7428">
        <w:rPr>
          <w:rFonts w:ascii="Verdana" w:hAnsi="Verdana" w:eastAsiaTheme="minorHAnsi" w:cstheme="minorBidi"/>
          <w:bCs w:val="0"/>
          <w:sz w:val="18"/>
          <w:szCs w:val="18"/>
          <w:lang w:val="nl-NL" w:eastAsia="en-US"/>
        </w:rPr>
        <w:t xml:space="preserve">minder </w:t>
      </w:r>
      <w:r>
        <w:rPr>
          <w:rFonts w:ascii="Verdana" w:hAnsi="Verdana" w:eastAsiaTheme="minorHAnsi" w:cstheme="minorBidi"/>
          <w:bCs w:val="0"/>
          <w:sz w:val="18"/>
          <w:szCs w:val="18"/>
          <w:lang w:val="nl-NL" w:eastAsia="en-US"/>
        </w:rPr>
        <w:t>verschillen kunnen ontstaan tussen lidstaten</w:t>
      </w:r>
      <w:r w:rsidRPr="00041C67">
        <w:rPr>
          <w:rFonts w:ascii="Verdana" w:hAnsi="Verdana" w:eastAsiaTheme="minorHAnsi" w:cstheme="minorBidi"/>
          <w:bCs w:val="0"/>
          <w:sz w:val="18"/>
          <w:szCs w:val="18"/>
          <w:lang w:val="nl-NL" w:eastAsia="en-US"/>
        </w:rPr>
        <w:t>.</w:t>
      </w:r>
      <w:r w:rsidR="004060F8">
        <w:rPr>
          <w:rFonts w:ascii="Verdana" w:hAnsi="Verdana" w:eastAsiaTheme="minorHAnsi" w:cstheme="minorBidi"/>
          <w:bCs w:val="0"/>
          <w:sz w:val="18"/>
          <w:szCs w:val="18"/>
          <w:lang w:val="nl-NL" w:eastAsia="en-US"/>
        </w:rPr>
        <w:t xml:space="preserve"> </w:t>
      </w:r>
      <w:r w:rsidR="00ED3EAC">
        <w:rPr>
          <w:rFonts w:ascii="Verdana" w:hAnsi="Verdana" w:eastAsiaTheme="minorHAnsi" w:cstheme="minorBidi"/>
          <w:bCs w:val="0"/>
          <w:sz w:val="18"/>
          <w:szCs w:val="18"/>
          <w:lang w:val="nl-NL" w:eastAsia="en-US"/>
        </w:rPr>
        <w:t>Daarbij is de inhoud van de voorgestelde verordening ook geschikt om de doelstelling te bereiken, nu er onderwerpen zijn die voorheen niet opgenomen waren in de richtlijn maar nu geharmoniseerd zijn in de verordening, zoals de rechtsconflicten en omgang met derde land systemen.</w:t>
      </w:r>
      <w:r w:rsidRPr="00041C67" w:rsidR="00ED3EAC">
        <w:rPr>
          <w:rFonts w:ascii="Verdana" w:hAnsi="Verdana" w:eastAsiaTheme="minorHAnsi" w:cstheme="minorBidi"/>
          <w:bCs w:val="0"/>
          <w:sz w:val="18"/>
          <w:szCs w:val="18"/>
          <w:lang w:val="nl-NL" w:eastAsia="en-US"/>
        </w:rPr>
        <w:t xml:space="preserve"> </w:t>
      </w:r>
      <w:r w:rsidRPr="00041C67">
        <w:rPr>
          <w:rFonts w:ascii="Verdana" w:hAnsi="Verdana" w:eastAsiaTheme="minorHAnsi" w:cstheme="minorBidi"/>
          <w:bCs w:val="0"/>
          <w:sz w:val="18"/>
          <w:szCs w:val="18"/>
          <w:lang w:val="nl-NL" w:eastAsia="en-US"/>
        </w:rPr>
        <w:t xml:space="preserve">Bovendien gaat het voorgestelde optreden niet verder dan noodzakelijk. Zo laat het voorstel het aan de </w:t>
      </w:r>
      <w:r w:rsidR="00404EF1">
        <w:rPr>
          <w:rFonts w:ascii="Verdana" w:hAnsi="Verdana" w:eastAsiaTheme="minorHAnsi" w:cstheme="minorBidi"/>
          <w:bCs w:val="0"/>
          <w:sz w:val="18"/>
          <w:szCs w:val="18"/>
          <w:lang w:val="nl-NL" w:eastAsia="en-US"/>
        </w:rPr>
        <w:t xml:space="preserve">systeemexploitant van de </w:t>
      </w:r>
      <w:r w:rsidRPr="00041C67">
        <w:rPr>
          <w:rFonts w:ascii="Verdana" w:hAnsi="Verdana" w:eastAsiaTheme="minorHAnsi" w:cstheme="minorBidi"/>
          <w:bCs w:val="0"/>
          <w:sz w:val="18"/>
          <w:szCs w:val="18"/>
          <w:lang w:val="nl-NL" w:eastAsia="en-US"/>
        </w:rPr>
        <w:t>aangewezen systemen om zelf te bepalen welk moment een door een deelnemer ingevoerd overboekingsopdracht als ingevoerd in het systeem wordt beschouwd en wanneer deze onherroepelijk is geworden.</w:t>
      </w:r>
    </w:p>
    <w:p w:rsidRPr="00062717" w:rsidR="00041C67" w:rsidP="00171F0B" w:rsidRDefault="00041C67" w14:paraId="44381C58" w14:textId="77777777">
      <w:pPr>
        <w:pStyle w:val="Spreekpunten"/>
        <w:numPr>
          <w:ilvl w:val="0"/>
          <w:numId w:val="0"/>
        </w:numPr>
        <w:rPr>
          <w:rFonts w:ascii="Verdana" w:hAnsi="Verdana"/>
          <w:b/>
          <w:sz w:val="18"/>
          <w:szCs w:val="18"/>
          <w:lang w:val="nl-NL"/>
        </w:rPr>
      </w:pPr>
    </w:p>
    <w:p w:rsidRPr="00062717" w:rsidR="00BF35EA" w:rsidP="00171F0B" w:rsidRDefault="00BF35EA" w14:paraId="39BBD082" w14:textId="77777777">
      <w:pPr>
        <w:spacing w:after="0" w:line="360" w:lineRule="auto"/>
        <w:rPr>
          <w:rFonts w:ascii="Verdana" w:hAnsi="Verdana"/>
          <w:b/>
          <w:sz w:val="18"/>
          <w:szCs w:val="18"/>
        </w:rPr>
      </w:pPr>
      <w:r w:rsidRPr="00062717">
        <w:rPr>
          <w:rFonts w:ascii="Verdana" w:hAnsi="Verdana"/>
          <w:b/>
          <w:sz w:val="18"/>
          <w:szCs w:val="18"/>
        </w:rPr>
        <w:t xml:space="preserve">5. Financiële consequenties, gevolgen voor regeldruk, concurrentiekracht en geopolitieke aspecten </w:t>
      </w:r>
    </w:p>
    <w:p w:rsidRPr="00062717" w:rsidR="00BF35EA" w:rsidP="00171F0B" w:rsidRDefault="00BF35EA" w14:paraId="753ACB83" w14:textId="77777777">
      <w:pPr>
        <w:numPr>
          <w:ilvl w:val="0"/>
          <w:numId w:val="8"/>
        </w:numPr>
        <w:spacing w:after="0" w:line="360" w:lineRule="auto"/>
        <w:outlineLvl w:val="0"/>
        <w:rPr>
          <w:rFonts w:ascii="Verdana" w:hAnsi="Verdana"/>
          <w:bCs/>
          <w:i/>
          <w:iCs/>
          <w:sz w:val="18"/>
          <w:szCs w:val="18"/>
        </w:rPr>
      </w:pPr>
      <w:r w:rsidRPr="00062717">
        <w:rPr>
          <w:rFonts w:ascii="Verdana" w:hAnsi="Verdana"/>
          <w:bCs/>
          <w:i/>
          <w:iCs/>
          <w:sz w:val="18"/>
          <w:szCs w:val="18"/>
        </w:rPr>
        <w:t>Consequenties EU-begroting</w:t>
      </w:r>
    </w:p>
    <w:p w:rsidRPr="00062717" w:rsidR="00BF35EA" w:rsidP="00171F0B" w:rsidRDefault="00BF35EA" w14:paraId="6B9E5AF2" w14:textId="7205B5C0">
      <w:pPr>
        <w:tabs>
          <w:tab w:val="left" w:pos="1273"/>
        </w:tabs>
        <w:spacing w:after="0" w:line="360" w:lineRule="auto"/>
        <w:outlineLvl w:val="0"/>
        <w:rPr>
          <w:rFonts w:ascii="Verdana" w:hAnsi="Verdana"/>
          <w:sz w:val="18"/>
          <w:szCs w:val="18"/>
        </w:rPr>
      </w:pPr>
      <w:r w:rsidRPr="003C134E">
        <w:rPr>
          <w:rFonts w:ascii="Verdana" w:hAnsi="Verdana"/>
          <w:sz w:val="18"/>
          <w:szCs w:val="18"/>
        </w:rPr>
        <w:t>Deze voorstellen hebben naar verwachting geen gevolgen voor de EU-begroting. Het kabinet is van mening dat, indien de voorstellen toch tot extra kosten leid</w:t>
      </w:r>
      <w:r w:rsidR="00404EF1">
        <w:rPr>
          <w:rFonts w:ascii="Verdana" w:hAnsi="Verdana"/>
          <w:sz w:val="18"/>
          <w:szCs w:val="18"/>
        </w:rPr>
        <w:t>en</w:t>
      </w:r>
      <w:r w:rsidRPr="003C134E">
        <w:rPr>
          <w:rFonts w:ascii="Verdana" w:hAnsi="Verdana"/>
          <w:sz w:val="18"/>
          <w:szCs w:val="18"/>
        </w:rPr>
        <w:t xml:space="preserve"> bij de toezichthouders, de benodigde EU-middelen gevonden dienen te worden binnen de in de Raad afgesproken financiële kaders van het MFK 2021–2027, en dat deze moeten passen bij een prudente ontwikkeling van de jaarbegroting.</w:t>
      </w:r>
      <w:r w:rsidRPr="003C134E" w:rsidR="00D9050D">
        <w:rPr>
          <w:rFonts w:ascii="Verdana" w:hAnsi="Verdana"/>
          <w:sz w:val="18"/>
          <w:szCs w:val="18"/>
        </w:rPr>
        <w:t xml:space="preserve"> </w:t>
      </w:r>
    </w:p>
    <w:p w:rsidRPr="00062717" w:rsidR="00BF35EA" w:rsidP="00171F0B" w:rsidRDefault="00BF35EA" w14:paraId="3513E795" w14:textId="77777777">
      <w:pPr>
        <w:tabs>
          <w:tab w:val="left" w:pos="1273"/>
        </w:tabs>
        <w:spacing w:after="0" w:line="360" w:lineRule="auto"/>
        <w:outlineLvl w:val="0"/>
        <w:rPr>
          <w:rFonts w:ascii="Verdana" w:hAnsi="Verdana"/>
          <w:bCs/>
          <w:sz w:val="18"/>
          <w:szCs w:val="18"/>
        </w:rPr>
      </w:pPr>
    </w:p>
    <w:p w:rsidRPr="00D9050D" w:rsidR="00BF35EA" w:rsidP="00171F0B" w:rsidRDefault="00BF35EA" w14:paraId="643D9182" w14:textId="13969830">
      <w:pPr>
        <w:numPr>
          <w:ilvl w:val="0"/>
          <w:numId w:val="8"/>
        </w:numPr>
        <w:spacing w:after="0" w:line="360" w:lineRule="auto"/>
        <w:outlineLvl w:val="0"/>
        <w:rPr>
          <w:rFonts w:ascii="Verdana" w:hAnsi="Verdana"/>
          <w:bCs/>
          <w:i/>
          <w:iCs/>
          <w:sz w:val="18"/>
          <w:szCs w:val="18"/>
        </w:rPr>
      </w:pPr>
      <w:r w:rsidRPr="00062717">
        <w:rPr>
          <w:rFonts w:ascii="Verdana" w:hAnsi="Verdana"/>
          <w:bCs/>
          <w:i/>
          <w:iCs/>
          <w:sz w:val="18"/>
          <w:szCs w:val="18"/>
        </w:rPr>
        <w:t>Financiële consequenties (incl. personele) voor rijksoverheid en/ of medeoverheden</w:t>
      </w:r>
    </w:p>
    <w:p w:rsidR="00BF35EA" w:rsidP="00171F0B" w:rsidRDefault="00BF35EA" w14:paraId="369542E5" w14:textId="7382069D">
      <w:pPr>
        <w:spacing w:after="0" w:line="360" w:lineRule="auto"/>
        <w:rPr>
          <w:rFonts w:ascii="Verdana" w:hAnsi="Verdana"/>
          <w:bCs/>
          <w:sz w:val="18"/>
          <w:szCs w:val="18"/>
        </w:rPr>
      </w:pPr>
      <w:r w:rsidRPr="003C134E">
        <w:rPr>
          <w:rFonts w:ascii="Verdana" w:hAnsi="Verdana"/>
          <w:sz w:val="18"/>
          <w:szCs w:val="18"/>
        </w:rPr>
        <w:t xml:space="preserve">Deze voorstellen hebben naar verwachting geen financiële gevolgen voor de Rijksbegroting. </w:t>
      </w:r>
      <w:r w:rsidRPr="003C134E" w:rsidR="003C134E">
        <w:rPr>
          <w:rFonts w:ascii="Verdana" w:hAnsi="Verdana"/>
          <w:bCs/>
          <w:sz w:val="18"/>
          <w:szCs w:val="18"/>
        </w:rPr>
        <w:t>(Eventuele) budgettaire gevolgen worden ingepast op de begroting van het beleidsverantwoordelijke departement, conform de regels van de budgetdiscipline.</w:t>
      </w:r>
    </w:p>
    <w:p w:rsidRPr="008A0BBF" w:rsidR="00EC364D" w:rsidP="00171F0B" w:rsidRDefault="00EC364D" w14:paraId="7A97B2F0" w14:textId="77777777">
      <w:pPr>
        <w:spacing w:after="0" w:line="360" w:lineRule="auto"/>
        <w:rPr>
          <w:rFonts w:ascii="Verdana" w:hAnsi="Verdana"/>
          <w:bCs/>
          <w:sz w:val="18"/>
          <w:szCs w:val="18"/>
        </w:rPr>
      </w:pPr>
    </w:p>
    <w:p w:rsidR="005A74EB" w:rsidP="00171F0B" w:rsidRDefault="00BF35EA" w14:paraId="2EB5B211" w14:textId="77777777">
      <w:pPr>
        <w:numPr>
          <w:ilvl w:val="0"/>
          <w:numId w:val="8"/>
        </w:numPr>
        <w:spacing w:after="0" w:line="360" w:lineRule="auto"/>
        <w:rPr>
          <w:rFonts w:ascii="Verdana" w:hAnsi="Verdana"/>
          <w:bCs/>
          <w:i/>
          <w:iCs/>
          <w:sz w:val="18"/>
          <w:szCs w:val="18"/>
        </w:rPr>
      </w:pPr>
      <w:bookmarkStart w:name="_Hlk133861834" w:id="4"/>
      <w:r w:rsidRPr="00062717">
        <w:rPr>
          <w:rFonts w:ascii="Verdana" w:hAnsi="Verdana"/>
          <w:bCs/>
          <w:i/>
          <w:iCs/>
          <w:sz w:val="18"/>
          <w:szCs w:val="18"/>
        </w:rPr>
        <w:t>Financiële consequenties en gevolgen voor regeldruk voor bedrijfsleven en burger</w:t>
      </w:r>
      <w:bookmarkEnd w:id="4"/>
    </w:p>
    <w:p w:rsidR="00B85203" w:rsidP="00171F0B" w:rsidRDefault="00B85203" w14:paraId="0635BFB9" w14:textId="4A701CCE">
      <w:pPr>
        <w:spacing w:after="0" w:line="360" w:lineRule="auto"/>
        <w:rPr>
          <w:rFonts w:ascii="Verdana" w:hAnsi="Verdana"/>
          <w:sz w:val="18"/>
          <w:szCs w:val="18"/>
        </w:rPr>
      </w:pPr>
      <w:r>
        <w:rPr>
          <w:rFonts w:ascii="Verdana" w:hAnsi="Verdana"/>
          <w:sz w:val="18"/>
          <w:szCs w:val="18"/>
        </w:rPr>
        <w:t xml:space="preserve">De voorstellen zullen niet leiden tot extra financiële kosten voor burgers en bedrijven. </w:t>
      </w:r>
      <w:r w:rsidR="004A2895">
        <w:rPr>
          <w:rFonts w:ascii="Verdana" w:hAnsi="Verdana"/>
          <w:sz w:val="18"/>
          <w:szCs w:val="18"/>
        </w:rPr>
        <w:t>In de kern verandert er weinig aan de materiële inhoud als de SFD wordt omgezet in een verordening. Daarbij wordt er door ESMA een centrale database opgericht waarin informatie over de verschillende systemen uitgewisseld kan worden. Dit zou het werk voor toezichthouders en de systeemexploitanten moeten vereenvoudigen.</w:t>
      </w:r>
    </w:p>
    <w:p w:rsidR="00A92023" w:rsidP="00171F0B" w:rsidRDefault="00A92023" w14:paraId="70947E8B" w14:textId="77777777">
      <w:pPr>
        <w:spacing w:after="0" w:line="360" w:lineRule="auto"/>
        <w:rPr>
          <w:rFonts w:ascii="Verdana" w:hAnsi="Verdana"/>
          <w:sz w:val="18"/>
          <w:szCs w:val="18"/>
        </w:rPr>
      </w:pPr>
    </w:p>
    <w:p w:rsidRPr="00062717" w:rsidR="00BF35EA" w:rsidP="00171F0B" w:rsidRDefault="00BF35EA" w14:paraId="78C48D6E" w14:textId="77777777">
      <w:pPr>
        <w:numPr>
          <w:ilvl w:val="0"/>
          <w:numId w:val="8"/>
        </w:numPr>
        <w:spacing w:after="0" w:line="360" w:lineRule="auto"/>
        <w:rPr>
          <w:rFonts w:ascii="Verdana" w:hAnsi="Verdana"/>
          <w:bCs/>
          <w:i/>
          <w:iCs/>
          <w:sz w:val="18"/>
          <w:szCs w:val="18"/>
        </w:rPr>
      </w:pPr>
      <w:r w:rsidRPr="00062717">
        <w:rPr>
          <w:rFonts w:ascii="Verdana" w:hAnsi="Verdana"/>
          <w:bCs/>
          <w:i/>
          <w:iCs/>
          <w:sz w:val="18"/>
          <w:szCs w:val="18"/>
        </w:rPr>
        <w:lastRenderedPageBreak/>
        <w:t>Gevolgen voor concurrentiekracht en geopolitieke aspecten</w:t>
      </w:r>
    </w:p>
    <w:p w:rsidR="00BF35EA" w:rsidP="00171F0B" w:rsidRDefault="004A2895" w14:paraId="73F95C52" w14:textId="657DEE52">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Cs/>
          <w:sz w:val="18"/>
          <w:szCs w:val="18"/>
        </w:rPr>
      </w:pPr>
      <w:r>
        <w:rPr>
          <w:rFonts w:ascii="Verdana" w:hAnsi="Verdana"/>
          <w:iCs/>
          <w:sz w:val="18"/>
          <w:szCs w:val="18"/>
        </w:rPr>
        <w:t>De voorgestelde omzetting van de SFD naar een verordening zorgt ervoor dat voor ondernemingen die grensoverschrijdend effecten afwikkelen, en daarmee afhankelijk zijn van de finaliteit van dergelijke transacties, meer rechtszekerheid krijgen over de finaliteit in verschillende lidstaten. Dit komt de interne markt ten goede.</w:t>
      </w:r>
    </w:p>
    <w:p w:rsidRPr="00953BC0" w:rsidR="00F93F0A" w:rsidP="00171F0B" w:rsidRDefault="00F93F0A" w14:paraId="3B92EEA0" w14:textId="77777777">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Cs/>
          <w:sz w:val="18"/>
          <w:szCs w:val="18"/>
        </w:rPr>
      </w:pPr>
    </w:p>
    <w:p w:rsidRPr="00953BC0" w:rsidR="00BF35EA" w:rsidP="00171F0B" w:rsidRDefault="00BF35EA" w14:paraId="4057988B" w14:textId="77777777">
      <w:pPr>
        <w:spacing w:after="0" w:line="360" w:lineRule="auto"/>
        <w:rPr>
          <w:rFonts w:ascii="Verdana" w:hAnsi="Verdana"/>
          <w:b/>
          <w:sz w:val="18"/>
          <w:szCs w:val="18"/>
        </w:rPr>
      </w:pPr>
      <w:r w:rsidRPr="00953BC0">
        <w:rPr>
          <w:rFonts w:ascii="Verdana" w:hAnsi="Verdana"/>
          <w:b/>
          <w:sz w:val="18"/>
          <w:szCs w:val="18"/>
        </w:rPr>
        <w:t>6. Implicaties juridisch</w:t>
      </w:r>
    </w:p>
    <w:p w:rsidRPr="00062717" w:rsidR="00BF35EA" w:rsidP="00171F0B" w:rsidRDefault="00BF35EA" w14:paraId="7B83F5EB" w14:textId="77777777">
      <w:pPr>
        <w:numPr>
          <w:ilvl w:val="0"/>
          <w:numId w:val="9"/>
        </w:numPr>
        <w:spacing w:after="0" w:line="360" w:lineRule="auto"/>
        <w:rPr>
          <w:rFonts w:ascii="Verdana" w:hAnsi="Verdana"/>
          <w:bCs/>
          <w:i/>
          <w:iCs/>
          <w:sz w:val="18"/>
          <w:szCs w:val="18"/>
        </w:rPr>
      </w:pPr>
      <w:r w:rsidRPr="00062717">
        <w:rPr>
          <w:rFonts w:ascii="Verdana" w:hAnsi="Verdana"/>
          <w:bCs/>
          <w:i/>
          <w:iCs/>
          <w:sz w:val="18"/>
          <w:szCs w:val="18"/>
        </w:rPr>
        <w:t xml:space="preserve">Consequenties voor nationale en decentrale regelgeving en/of sanctionering beleid (inclusief toepassing van de lex </w:t>
      </w:r>
      <w:proofErr w:type="spellStart"/>
      <w:r w:rsidRPr="00062717">
        <w:rPr>
          <w:rFonts w:ascii="Verdana" w:hAnsi="Verdana"/>
          <w:bCs/>
          <w:i/>
          <w:iCs/>
          <w:sz w:val="18"/>
          <w:szCs w:val="18"/>
        </w:rPr>
        <w:t>silencio</w:t>
      </w:r>
      <w:proofErr w:type="spellEnd"/>
      <w:r w:rsidRPr="00062717">
        <w:rPr>
          <w:rFonts w:ascii="Verdana" w:hAnsi="Verdana"/>
          <w:bCs/>
          <w:i/>
          <w:iCs/>
          <w:sz w:val="18"/>
          <w:szCs w:val="18"/>
        </w:rPr>
        <w:t xml:space="preserve"> positivo)</w:t>
      </w:r>
    </w:p>
    <w:p w:rsidRPr="00EC6555" w:rsidR="00EC6555" w:rsidP="00171F0B" w:rsidRDefault="00CF1FDC" w14:paraId="497BF57E" w14:textId="6A231192">
      <w:pPr>
        <w:spacing w:after="0" w:line="360" w:lineRule="auto"/>
        <w:rPr>
          <w:rFonts w:ascii="Verdana" w:hAnsi="Verdana"/>
          <w:bCs/>
          <w:sz w:val="18"/>
          <w:szCs w:val="18"/>
        </w:rPr>
      </w:pPr>
      <w:r>
        <w:rPr>
          <w:rFonts w:ascii="Verdana" w:hAnsi="Verdana"/>
          <w:bCs/>
          <w:sz w:val="18"/>
          <w:szCs w:val="18"/>
        </w:rPr>
        <w:t xml:space="preserve">De </w:t>
      </w:r>
      <w:r w:rsidR="004A2895">
        <w:rPr>
          <w:rFonts w:ascii="Verdana" w:hAnsi="Verdana"/>
          <w:bCs/>
          <w:sz w:val="18"/>
          <w:szCs w:val="18"/>
        </w:rPr>
        <w:t>verordening heeft recht</w:t>
      </w:r>
      <w:r w:rsidRPr="00B36461" w:rsidR="00B36461">
        <w:rPr>
          <w:rFonts w:ascii="Verdana" w:hAnsi="Verdana"/>
          <w:bCs/>
          <w:sz w:val="18"/>
          <w:szCs w:val="18"/>
        </w:rPr>
        <w:t>streekse werking</w:t>
      </w:r>
      <w:r>
        <w:rPr>
          <w:rFonts w:ascii="Verdana" w:hAnsi="Verdana"/>
          <w:bCs/>
          <w:sz w:val="18"/>
          <w:szCs w:val="18"/>
        </w:rPr>
        <w:t xml:space="preserve">. </w:t>
      </w:r>
      <w:r w:rsidR="002D3E24">
        <w:rPr>
          <w:rFonts w:ascii="Verdana" w:hAnsi="Verdana"/>
          <w:bCs/>
          <w:sz w:val="18"/>
          <w:szCs w:val="18"/>
        </w:rPr>
        <w:t>Wel zal het no</w:t>
      </w:r>
      <w:r w:rsidR="006E586A">
        <w:rPr>
          <w:rFonts w:ascii="Verdana" w:hAnsi="Verdana"/>
          <w:bCs/>
          <w:sz w:val="18"/>
          <w:szCs w:val="18"/>
        </w:rPr>
        <w:t>di</w:t>
      </w:r>
      <w:r w:rsidR="002D3E24">
        <w:rPr>
          <w:rFonts w:ascii="Verdana" w:hAnsi="Verdana"/>
          <w:bCs/>
          <w:sz w:val="18"/>
          <w:szCs w:val="18"/>
        </w:rPr>
        <w:t>g zijn om uitvoeringshandelingen op het niveau van algemene maatregel van bestuur op te nemen.</w:t>
      </w:r>
      <w:r w:rsidR="004A2895">
        <w:rPr>
          <w:rFonts w:ascii="Verdana" w:hAnsi="Verdana"/>
          <w:bCs/>
          <w:sz w:val="18"/>
          <w:szCs w:val="18"/>
        </w:rPr>
        <w:t xml:space="preserve"> </w:t>
      </w:r>
      <w:r w:rsidR="002D3E24">
        <w:rPr>
          <w:rFonts w:ascii="Verdana" w:hAnsi="Verdana"/>
          <w:bCs/>
          <w:sz w:val="18"/>
          <w:szCs w:val="18"/>
        </w:rPr>
        <w:t xml:space="preserve">Omdat de SFD geïmplementeerd is in </w:t>
      </w:r>
      <w:r w:rsidR="007003BE">
        <w:rPr>
          <w:rFonts w:ascii="Verdana" w:hAnsi="Verdana"/>
          <w:bCs/>
          <w:sz w:val="18"/>
          <w:szCs w:val="18"/>
        </w:rPr>
        <w:t>A</w:t>
      </w:r>
      <w:r w:rsidR="002D3E24">
        <w:rPr>
          <w:rFonts w:ascii="Verdana" w:hAnsi="Verdana"/>
          <w:bCs/>
          <w:sz w:val="18"/>
          <w:szCs w:val="18"/>
        </w:rPr>
        <w:t>fdeling 11</w:t>
      </w:r>
      <w:r w:rsidR="007003BE">
        <w:rPr>
          <w:rFonts w:ascii="Verdana" w:hAnsi="Verdana"/>
          <w:bCs/>
          <w:sz w:val="18"/>
          <w:szCs w:val="18"/>
        </w:rPr>
        <w:t>A</w:t>
      </w:r>
      <w:r w:rsidR="002D3E24">
        <w:rPr>
          <w:rFonts w:ascii="Verdana" w:hAnsi="Verdana"/>
          <w:bCs/>
          <w:sz w:val="18"/>
          <w:szCs w:val="18"/>
        </w:rPr>
        <w:t xml:space="preserve"> van de Faillissementswet, en er in meerdere wetten en algemene maatregelen van bestuur verwijzingen te vinden zijn naar die afdeling of specifieke artikelen daaruit, z</w:t>
      </w:r>
      <w:r w:rsidR="00404EF1">
        <w:rPr>
          <w:rFonts w:ascii="Verdana" w:hAnsi="Verdana"/>
          <w:bCs/>
          <w:sz w:val="18"/>
          <w:szCs w:val="18"/>
        </w:rPr>
        <w:t>ullen</w:t>
      </w:r>
      <w:r w:rsidR="002D3E24">
        <w:rPr>
          <w:rFonts w:ascii="Verdana" w:hAnsi="Verdana"/>
          <w:bCs/>
          <w:sz w:val="18"/>
          <w:szCs w:val="18"/>
        </w:rPr>
        <w:t xml:space="preserve"> een wetsvoorstel en algemene maatregel van bestuur opgesteld moeten worden ter aanpassing.</w:t>
      </w:r>
      <w:r w:rsidR="004A2895">
        <w:rPr>
          <w:rFonts w:ascii="Verdana" w:hAnsi="Verdana"/>
          <w:bCs/>
          <w:sz w:val="18"/>
          <w:szCs w:val="18"/>
        </w:rPr>
        <w:t xml:space="preserve"> </w:t>
      </w:r>
    </w:p>
    <w:p w:rsidRPr="00062717" w:rsidR="00BF35EA" w:rsidP="00171F0B" w:rsidRDefault="00BF35EA" w14:paraId="4DABC571" w14:textId="5DE2013A">
      <w:pPr>
        <w:spacing w:after="0" w:line="360" w:lineRule="auto"/>
        <w:rPr>
          <w:rFonts w:ascii="Verdana" w:hAnsi="Verdana"/>
          <w:bCs/>
          <w:i/>
          <w:iCs/>
          <w:sz w:val="18"/>
          <w:szCs w:val="18"/>
        </w:rPr>
      </w:pPr>
    </w:p>
    <w:p w:rsidRPr="00F93F0A" w:rsidR="00F93F0A" w:rsidP="00171F0B" w:rsidRDefault="00BF35EA" w14:paraId="1A094367" w14:textId="13BA0A91">
      <w:pPr>
        <w:numPr>
          <w:ilvl w:val="0"/>
          <w:numId w:val="9"/>
        </w:numPr>
        <w:tabs>
          <w:tab w:val="left" w:pos="-426"/>
        </w:tabs>
        <w:suppressAutoHyphens/>
        <w:spacing w:after="0" w:line="360" w:lineRule="auto"/>
        <w:rPr>
          <w:rFonts w:ascii="Verdana" w:hAnsi="Verdana"/>
          <w:bCs/>
          <w:i/>
          <w:iCs/>
          <w:sz w:val="18"/>
          <w:szCs w:val="18"/>
        </w:rPr>
      </w:pPr>
      <w:r w:rsidRPr="00062717">
        <w:rPr>
          <w:rFonts w:ascii="Verdana" w:hAnsi="Verdana"/>
          <w:bCs/>
          <w:i/>
          <w:iCs/>
          <w:sz w:val="18"/>
          <w:szCs w:val="18"/>
        </w:rPr>
        <w:t>Gedelegeerde en/of uitvoeringshandelingen, incl. NL-beoordeling daarvan</w:t>
      </w:r>
    </w:p>
    <w:p w:rsidR="00F112B8" w:rsidP="00171F0B" w:rsidRDefault="00FC711A" w14:paraId="10D63757" w14:textId="0EFC3962">
      <w:pPr>
        <w:tabs>
          <w:tab w:val="left" w:pos="-426"/>
        </w:tabs>
        <w:suppressAutoHyphens/>
        <w:spacing w:after="0" w:line="360" w:lineRule="auto"/>
        <w:rPr>
          <w:rFonts w:ascii="Verdana" w:hAnsi="Verdana"/>
          <w:bCs/>
          <w:sz w:val="18"/>
          <w:szCs w:val="18"/>
        </w:rPr>
      </w:pPr>
      <w:r>
        <w:rPr>
          <w:rFonts w:ascii="Verdana" w:hAnsi="Verdana"/>
          <w:bCs/>
          <w:sz w:val="18"/>
          <w:szCs w:val="18"/>
        </w:rPr>
        <w:t xml:space="preserve">Het voorstel bevat </w:t>
      </w:r>
      <w:r w:rsidR="00FF5A82">
        <w:rPr>
          <w:rFonts w:ascii="Verdana" w:hAnsi="Verdana"/>
          <w:bCs/>
          <w:sz w:val="18"/>
          <w:szCs w:val="18"/>
        </w:rPr>
        <w:t>ten eerste een bevoegdheid voor de Commissie tot het vaststellen van een</w:t>
      </w:r>
      <w:r>
        <w:rPr>
          <w:rFonts w:ascii="Verdana" w:hAnsi="Verdana"/>
          <w:bCs/>
          <w:sz w:val="18"/>
          <w:szCs w:val="18"/>
        </w:rPr>
        <w:t xml:space="preserve"> gedelegeerde handeling </w:t>
      </w:r>
      <w:r w:rsidR="007003BE">
        <w:rPr>
          <w:rFonts w:ascii="Verdana" w:hAnsi="Verdana"/>
          <w:bCs/>
          <w:sz w:val="18"/>
          <w:szCs w:val="18"/>
        </w:rPr>
        <w:t>in artikel 2, tweede lid</w:t>
      </w:r>
      <w:r w:rsidR="00FF5A82">
        <w:rPr>
          <w:rFonts w:ascii="Verdana" w:hAnsi="Verdana"/>
          <w:bCs/>
          <w:sz w:val="18"/>
          <w:szCs w:val="18"/>
        </w:rPr>
        <w:t>.</w:t>
      </w:r>
      <w:r w:rsidR="007003BE">
        <w:rPr>
          <w:rFonts w:ascii="Verdana" w:hAnsi="Verdana"/>
          <w:bCs/>
          <w:sz w:val="18"/>
          <w:szCs w:val="18"/>
        </w:rPr>
        <w:t xml:space="preserve"> </w:t>
      </w:r>
      <w:r w:rsidR="00404EF1">
        <w:rPr>
          <w:rFonts w:ascii="Verdana" w:hAnsi="Verdana"/>
          <w:bCs/>
          <w:sz w:val="18"/>
          <w:szCs w:val="18"/>
        </w:rPr>
        <w:t>Via</w:t>
      </w:r>
      <w:r w:rsidR="00FF5A82">
        <w:rPr>
          <w:rFonts w:ascii="Verdana" w:hAnsi="Verdana"/>
          <w:bCs/>
          <w:sz w:val="18"/>
          <w:szCs w:val="18"/>
        </w:rPr>
        <w:t xml:space="preserve"> de bevoegdheid kan de Commissie</w:t>
      </w:r>
      <w:r>
        <w:rPr>
          <w:rFonts w:ascii="Verdana" w:hAnsi="Verdana"/>
          <w:bCs/>
          <w:sz w:val="18"/>
          <w:szCs w:val="18"/>
        </w:rPr>
        <w:t xml:space="preserve"> </w:t>
      </w:r>
      <w:r w:rsidR="00FF5A82">
        <w:rPr>
          <w:rFonts w:ascii="Verdana" w:hAnsi="Verdana"/>
          <w:bCs/>
          <w:sz w:val="18"/>
          <w:szCs w:val="18"/>
        </w:rPr>
        <w:t>de def</w:t>
      </w:r>
      <w:r>
        <w:rPr>
          <w:rFonts w:ascii="Verdana" w:hAnsi="Verdana"/>
          <w:bCs/>
          <w:sz w:val="18"/>
          <w:szCs w:val="18"/>
        </w:rPr>
        <w:t xml:space="preserve">inities van ‘overboekingsopdracht’ en ‘deelnemer’ aanpassen. </w:t>
      </w:r>
      <w:r w:rsidR="00F112B8">
        <w:rPr>
          <w:rFonts w:ascii="Verdana" w:hAnsi="Verdana"/>
          <w:bCs/>
          <w:sz w:val="18"/>
          <w:szCs w:val="18"/>
        </w:rPr>
        <w:t>De definitie van ‘overboekingsopdracht’ kan aangepast worden om nieuwe types van activa die voorkomen in aangewezen systemen de bescherming van de verordening te kunnen geven. De definitie van ‘deelnemer’ kan worden aangepast</w:t>
      </w:r>
      <w:r w:rsidR="00404EF1">
        <w:rPr>
          <w:rFonts w:ascii="Verdana" w:hAnsi="Verdana"/>
          <w:bCs/>
          <w:sz w:val="18"/>
          <w:szCs w:val="18"/>
        </w:rPr>
        <w:t>,</w:t>
      </w:r>
      <w:r w:rsidR="00F112B8">
        <w:rPr>
          <w:rFonts w:ascii="Verdana" w:hAnsi="Verdana"/>
          <w:bCs/>
          <w:sz w:val="18"/>
          <w:szCs w:val="18"/>
        </w:rPr>
        <w:t xml:space="preserve"> zodat nieuwe type deelnemers de bescherming van de verordening kunnen verkrijgen voor hun overboekingsopdrachten in aangewezen systemen. Dit geldt met name voor deelnemers die op grond van de DLT Pilot Regime</w:t>
      </w:r>
      <w:r w:rsidR="00404EF1">
        <w:rPr>
          <w:rFonts w:ascii="Verdana" w:hAnsi="Verdana"/>
          <w:bCs/>
          <w:sz w:val="18"/>
          <w:szCs w:val="18"/>
        </w:rPr>
        <w:t>-</w:t>
      </w:r>
      <w:r w:rsidR="00F112B8">
        <w:rPr>
          <w:rFonts w:ascii="Verdana" w:hAnsi="Verdana"/>
          <w:bCs/>
          <w:sz w:val="18"/>
          <w:szCs w:val="18"/>
        </w:rPr>
        <w:t>verordening deel kunnen nemen aan een DLT</w:t>
      </w:r>
      <w:r w:rsidR="003A171D">
        <w:rPr>
          <w:rFonts w:ascii="Verdana" w:hAnsi="Verdana"/>
          <w:bCs/>
          <w:sz w:val="18"/>
          <w:szCs w:val="18"/>
        </w:rPr>
        <w:t>-</w:t>
      </w:r>
      <w:r w:rsidR="00F112B8">
        <w:rPr>
          <w:rFonts w:ascii="Verdana" w:hAnsi="Verdana"/>
          <w:bCs/>
          <w:sz w:val="18"/>
          <w:szCs w:val="18"/>
        </w:rPr>
        <w:t>afwikkelingssysteem.</w:t>
      </w:r>
    </w:p>
    <w:p w:rsidR="00F112B8" w:rsidP="00171F0B" w:rsidRDefault="00F112B8" w14:paraId="2CCB14BC" w14:textId="77777777">
      <w:pPr>
        <w:tabs>
          <w:tab w:val="left" w:pos="-426"/>
        </w:tabs>
        <w:suppressAutoHyphens/>
        <w:spacing w:after="0" w:line="360" w:lineRule="auto"/>
        <w:rPr>
          <w:rFonts w:ascii="Verdana" w:hAnsi="Verdana"/>
          <w:bCs/>
          <w:sz w:val="18"/>
          <w:szCs w:val="18"/>
        </w:rPr>
      </w:pPr>
    </w:p>
    <w:p w:rsidR="00FF5A82" w:rsidP="0015342E" w:rsidRDefault="00F112B8" w14:paraId="08D78037" w14:textId="69A67B9A">
      <w:pPr>
        <w:tabs>
          <w:tab w:val="left" w:pos="-426"/>
        </w:tabs>
        <w:suppressAutoHyphens/>
        <w:spacing w:after="0" w:line="360" w:lineRule="auto"/>
        <w:rPr>
          <w:rFonts w:ascii="Verdana" w:hAnsi="Verdana"/>
          <w:bCs/>
          <w:sz w:val="18"/>
          <w:szCs w:val="18"/>
        </w:rPr>
      </w:pPr>
      <w:r w:rsidRPr="00FE492F">
        <w:rPr>
          <w:rFonts w:ascii="Verdana" w:hAnsi="Verdana"/>
          <w:bCs/>
          <w:sz w:val="18"/>
          <w:szCs w:val="18"/>
        </w:rPr>
        <w:t>Het toekennen van deze bevoegdheden is mogelijk, omdat het geen essentiële onderdelen van de basishandeling betreft.</w:t>
      </w:r>
      <w:r>
        <w:rPr>
          <w:rFonts w:ascii="Verdana" w:hAnsi="Verdana"/>
          <w:bCs/>
          <w:sz w:val="18"/>
          <w:szCs w:val="18"/>
        </w:rPr>
        <w:t xml:space="preserve"> </w:t>
      </w:r>
      <w:r w:rsidRPr="00917E31">
        <w:rPr>
          <w:rFonts w:ascii="Verdana" w:hAnsi="Verdana"/>
          <w:bCs/>
          <w:sz w:val="18"/>
          <w:szCs w:val="18"/>
        </w:rPr>
        <w:t>Deze bevoegdhe</w:t>
      </w:r>
      <w:r>
        <w:rPr>
          <w:rFonts w:ascii="Verdana" w:hAnsi="Verdana"/>
          <w:bCs/>
          <w:sz w:val="18"/>
          <w:szCs w:val="18"/>
        </w:rPr>
        <w:t>i</w:t>
      </w:r>
      <w:r w:rsidRPr="00917E31">
        <w:rPr>
          <w:rFonts w:ascii="Verdana" w:hAnsi="Verdana"/>
          <w:bCs/>
          <w:sz w:val="18"/>
          <w:szCs w:val="18"/>
        </w:rPr>
        <w:t>d zie</w:t>
      </w:r>
      <w:r>
        <w:rPr>
          <w:rFonts w:ascii="Verdana" w:hAnsi="Verdana"/>
          <w:bCs/>
          <w:sz w:val="18"/>
          <w:szCs w:val="18"/>
        </w:rPr>
        <w:t>t</w:t>
      </w:r>
      <w:r w:rsidRPr="00917E31">
        <w:rPr>
          <w:rFonts w:ascii="Verdana" w:hAnsi="Verdana"/>
          <w:bCs/>
          <w:sz w:val="18"/>
          <w:szCs w:val="18"/>
        </w:rPr>
        <w:t xml:space="preserve"> op het aanvullen van de verordening, waardoor de keuze voor delegatie (i.p.v. uitvoering) voor de hand ligt. </w:t>
      </w:r>
      <w:r w:rsidRPr="00F112B8">
        <w:rPr>
          <w:rFonts w:ascii="Verdana" w:hAnsi="Verdana"/>
          <w:bCs/>
          <w:sz w:val="18"/>
          <w:szCs w:val="18"/>
        </w:rPr>
        <w:t>Het kabinet beoordeelt deze bevoegdheidstoedeling als wenselijk nu d</w:t>
      </w:r>
      <w:r w:rsidR="00404EF1">
        <w:rPr>
          <w:rFonts w:ascii="Verdana" w:hAnsi="Verdana"/>
          <w:bCs/>
          <w:sz w:val="18"/>
          <w:szCs w:val="18"/>
        </w:rPr>
        <w:t>eze</w:t>
      </w:r>
      <w:r w:rsidRPr="00F112B8">
        <w:rPr>
          <w:rFonts w:ascii="Verdana" w:hAnsi="Verdana"/>
          <w:bCs/>
          <w:sz w:val="18"/>
          <w:szCs w:val="18"/>
        </w:rPr>
        <w:t xml:space="preserve"> een zekere mate van flexibiliteit geeft om snel aanpassingen door te voeren</w:t>
      </w:r>
      <w:r>
        <w:rPr>
          <w:rFonts w:ascii="Verdana" w:hAnsi="Verdana"/>
          <w:bCs/>
          <w:sz w:val="18"/>
          <w:szCs w:val="18"/>
        </w:rPr>
        <w:t xml:space="preserve"> zonder een voorstel tot wijziging van de verordening. Bovendien kan hiermee sneller worden voorzien in aanpassing naar aanleiding van technologische ontwikkelingen. </w:t>
      </w:r>
    </w:p>
    <w:p w:rsidR="00FF5A82" w:rsidP="0015342E" w:rsidRDefault="00FF5A82" w14:paraId="1619DF5D" w14:textId="77777777">
      <w:pPr>
        <w:tabs>
          <w:tab w:val="left" w:pos="-426"/>
        </w:tabs>
        <w:suppressAutoHyphens/>
        <w:spacing w:after="0" w:line="360" w:lineRule="auto"/>
        <w:rPr>
          <w:rFonts w:ascii="Verdana" w:hAnsi="Verdana"/>
          <w:bCs/>
          <w:sz w:val="18"/>
          <w:szCs w:val="18"/>
        </w:rPr>
      </w:pPr>
    </w:p>
    <w:p w:rsidR="00FF5A82" w:rsidP="00FF5A82" w:rsidRDefault="00FF5A82" w14:paraId="512CA2A2" w14:textId="03DB4D17">
      <w:pPr>
        <w:tabs>
          <w:tab w:val="left" w:pos="-426"/>
        </w:tabs>
        <w:suppressAutoHyphens/>
        <w:spacing w:after="0" w:line="360" w:lineRule="auto"/>
        <w:rPr>
          <w:rFonts w:ascii="Verdana" w:hAnsi="Verdana"/>
          <w:sz w:val="18"/>
          <w:szCs w:val="18"/>
        </w:rPr>
      </w:pPr>
      <w:r w:rsidRPr="000B7F5B">
        <w:rPr>
          <w:rFonts w:ascii="Verdana" w:hAnsi="Verdana"/>
          <w:bCs/>
          <w:sz w:val="18"/>
          <w:szCs w:val="18"/>
        </w:rPr>
        <w:t>De</w:t>
      </w:r>
      <w:r>
        <w:rPr>
          <w:rFonts w:ascii="Verdana" w:hAnsi="Verdana"/>
          <w:bCs/>
          <w:sz w:val="18"/>
          <w:szCs w:val="18"/>
        </w:rPr>
        <w:t xml:space="preserve">ze bevoegdheid is </w:t>
      </w:r>
      <w:r w:rsidRPr="000B7F5B">
        <w:rPr>
          <w:rFonts w:ascii="Verdana" w:hAnsi="Verdana"/>
          <w:bCs/>
          <w:sz w:val="18"/>
          <w:szCs w:val="18"/>
        </w:rPr>
        <w:t xml:space="preserve">naar het oordeel van het kabinet goed afgebakend in </w:t>
      </w:r>
      <w:r>
        <w:rPr>
          <w:rFonts w:ascii="Verdana" w:hAnsi="Verdana"/>
          <w:bCs/>
          <w:sz w:val="18"/>
          <w:szCs w:val="18"/>
        </w:rPr>
        <w:t>het voorstel</w:t>
      </w:r>
      <w:r w:rsidRPr="000B7F5B">
        <w:rPr>
          <w:rFonts w:ascii="Verdana" w:hAnsi="Verdana"/>
          <w:bCs/>
          <w:sz w:val="18"/>
          <w:szCs w:val="18"/>
        </w:rPr>
        <w:t xml:space="preserve">. De doelstellingen en inhoudelijke grenzen zijn daarin afdoende duidelijk gedefinieerd. Voordat de Commissie de gedelegeerde handeling kan vaststellen dient zij ESMA te consulteren, evenals nationale experts in lijn met het </w:t>
      </w:r>
      <w:proofErr w:type="spellStart"/>
      <w:r w:rsidRPr="000B7F5B">
        <w:rPr>
          <w:rFonts w:ascii="Verdana" w:hAnsi="Verdana"/>
          <w:sz w:val="18"/>
          <w:szCs w:val="18"/>
        </w:rPr>
        <w:t>Interinstitutioneel</w:t>
      </w:r>
      <w:proofErr w:type="spellEnd"/>
      <w:r w:rsidRPr="000B7F5B">
        <w:rPr>
          <w:rFonts w:ascii="Verdana" w:hAnsi="Verdana"/>
          <w:sz w:val="18"/>
          <w:szCs w:val="18"/>
        </w:rPr>
        <w:t xml:space="preserve"> Akkoord tussen het Europees Parlement, de Raad van de Europese Unie en de Europese Commissie over beter wetgeven.</w:t>
      </w:r>
      <w:r w:rsidRPr="000B7F5B">
        <w:rPr>
          <w:rStyle w:val="FootnoteReference"/>
          <w:rFonts w:ascii="Verdana" w:hAnsi="Verdana"/>
          <w:sz w:val="18"/>
          <w:szCs w:val="18"/>
        </w:rPr>
        <w:footnoteReference w:id="7"/>
      </w:r>
      <w:r>
        <w:rPr>
          <w:rFonts w:ascii="Verdana" w:hAnsi="Verdana"/>
          <w:sz w:val="18"/>
          <w:szCs w:val="18"/>
        </w:rPr>
        <w:t xml:space="preserve"> Het Europees Parlement en de Raad kunnen de inwerkingtreding van gedelegeerde handelingen blokkeren. De bevoegdheidstoedeling is niet in tijd beperkt. Het kabinet is positief over deze onbeperkte </w:t>
      </w:r>
      <w:r>
        <w:rPr>
          <w:rFonts w:ascii="Verdana" w:hAnsi="Verdana"/>
          <w:sz w:val="18"/>
          <w:szCs w:val="18"/>
        </w:rPr>
        <w:lastRenderedPageBreak/>
        <w:t>toedeling, nu de verwachting is dat door de tijd heen technologische ontwikkelingen aanpassing kunnen vergen van het type deelnemers aan systemen en het type activa in systemen.</w:t>
      </w:r>
    </w:p>
    <w:p w:rsidR="00E72154" w:rsidP="0015342E" w:rsidRDefault="00E72154" w14:paraId="0DEB6C00" w14:textId="77777777">
      <w:pPr>
        <w:tabs>
          <w:tab w:val="left" w:pos="-426"/>
        </w:tabs>
        <w:suppressAutoHyphens/>
        <w:spacing w:after="0" w:line="360" w:lineRule="auto"/>
        <w:rPr>
          <w:rFonts w:ascii="Verdana" w:hAnsi="Verdana"/>
          <w:bCs/>
          <w:sz w:val="18"/>
          <w:szCs w:val="18"/>
        </w:rPr>
      </w:pPr>
    </w:p>
    <w:p w:rsidR="00393648" w:rsidP="0015342E" w:rsidRDefault="00393648" w14:paraId="114EE1CE" w14:textId="26330207">
      <w:pPr>
        <w:tabs>
          <w:tab w:val="left" w:pos="-426"/>
        </w:tabs>
        <w:suppressAutoHyphens/>
        <w:spacing w:after="0" w:line="360" w:lineRule="auto"/>
        <w:rPr>
          <w:rFonts w:ascii="Verdana" w:hAnsi="Verdana"/>
          <w:bCs/>
          <w:sz w:val="18"/>
          <w:szCs w:val="18"/>
        </w:rPr>
      </w:pPr>
      <w:r w:rsidRPr="00C406E1">
        <w:rPr>
          <w:rFonts w:ascii="Verdana" w:hAnsi="Verdana"/>
          <w:bCs/>
          <w:sz w:val="18"/>
          <w:szCs w:val="18"/>
        </w:rPr>
        <w:t>Het voorstel kent de Commissie daarnaast de bevoegdheid toe om gedelegeerde handelingen (ex artikel 290 VWEU) vast te stellen op basis van door ESMA</w:t>
      </w:r>
      <w:r>
        <w:rPr>
          <w:rFonts w:ascii="Verdana" w:hAnsi="Verdana"/>
          <w:bCs/>
          <w:sz w:val="18"/>
          <w:szCs w:val="18"/>
        </w:rPr>
        <w:t xml:space="preserve"> en EBA</w:t>
      </w:r>
      <w:r w:rsidRPr="00C406E1">
        <w:rPr>
          <w:rFonts w:ascii="Verdana" w:hAnsi="Verdana"/>
          <w:bCs/>
          <w:sz w:val="18"/>
          <w:szCs w:val="18"/>
        </w:rPr>
        <w:t xml:space="preserve"> opgestelde technische </w:t>
      </w:r>
      <w:r>
        <w:rPr>
          <w:rFonts w:ascii="Verdana" w:hAnsi="Verdana"/>
          <w:bCs/>
          <w:sz w:val="18"/>
          <w:szCs w:val="18"/>
        </w:rPr>
        <w:t>regulerings</w:t>
      </w:r>
      <w:r w:rsidRPr="00C406E1">
        <w:rPr>
          <w:rFonts w:ascii="Verdana" w:hAnsi="Verdana"/>
          <w:bCs/>
          <w:sz w:val="18"/>
          <w:szCs w:val="18"/>
        </w:rPr>
        <w:t>normen.</w:t>
      </w:r>
      <w:r>
        <w:rPr>
          <w:rFonts w:ascii="Verdana" w:hAnsi="Verdana"/>
          <w:bCs/>
          <w:sz w:val="18"/>
          <w:szCs w:val="18"/>
        </w:rPr>
        <w:t xml:space="preserve"> Dit betreft</w:t>
      </w:r>
      <w:r w:rsidRPr="00C406E1">
        <w:rPr>
          <w:rFonts w:ascii="Verdana" w:hAnsi="Verdana"/>
          <w:bCs/>
          <w:sz w:val="18"/>
          <w:szCs w:val="18"/>
        </w:rPr>
        <w:t xml:space="preserve"> grondslagen in de artikelen 5</w:t>
      </w:r>
      <w:r>
        <w:rPr>
          <w:rFonts w:ascii="Verdana" w:hAnsi="Verdana"/>
          <w:bCs/>
          <w:sz w:val="18"/>
          <w:szCs w:val="18"/>
        </w:rPr>
        <w:t xml:space="preserve">(2) (voor ESMA) en 5(3) voor EBA met betrekking tot de </w:t>
      </w:r>
      <w:r w:rsidR="00404EF1">
        <w:rPr>
          <w:rFonts w:ascii="Verdana" w:hAnsi="Verdana"/>
          <w:bCs/>
          <w:sz w:val="18"/>
          <w:szCs w:val="18"/>
        </w:rPr>
        <w:t>voorwaarden</w:t>
      </w:r>
      <w:r>
        <w:rPr>
          <w:rFonts w:ascii="Verdana" w:hAnsi="Verdana"/>
          <w:bCs/>
          <w:sz w:val="18"/>
          <w:szCs w:val="18"/>
        </w:rPr>
        <w:t xml:space="preserve"> uit artikel 5(1) waaraan een systeem moet voldoen alvorens het aangewezen kan worden op grond van artikel 3 van de verordening, in </w:t>
      </w:r>
      <w:r w:rsidR="00FF5A82">
        <w:rPr>
          <w:rFonts w:ascii="Verdana" w:hAnsi="Verdana"/>
          <w:bCs/>
          <w:sz w:val="18"/>
          <w:szCs w:val="18"/>
        </w:rPr>
        <w:t xml:space="preserve">de </w:t>
      </w:r>
      <w:r>
        <w:rPr>
          <w:rFonts w:ascii="Verdana" w:hAnsi="Verdana"/>
          <w:bCs/>
          <w:sz w:val="18"/>
          <w:szCs w:val="18"/>
        </w:rPr>
        <w:t>artikel</w:t>
      </w:r>
      <w:r w:rsidR="00FF5A82">
        <w:rPr>
          <w:rFonts w:ascii="Verdana" w:hAnsi="Verdana"/>
          <w:bCs/>
          <w:sz w:val="18"/>
          <w:szCs w:val="18"/>
        </w:rPr>
        <w:t>en</w:t>
      </w:r>
      <w:r>
        <w:rPr>
          <w:rFonts w:ascii="Verdana" w:hAnsi="Verdana"/>
          <w:bCs/>
          <w:sz w:val="18"/>
          <w:szCs w:val="18"/>
        </w:rPr>
        <w:t xml:space="preserve"> 13(1</w:t>
      </w:r>
      <w:r w:rsidR="007003BE">
        <w:rPr>
          <w:rFonts w:ascii="Verdana" w:hAnsi="Verdana"/>
          <w:bCs/>
          <w:sz w:val="18"/>
          <w:szCs w:val="18"/>
        </w:rPr>
        <w:t>2</w:t>
      </w:r>
      <w:r>
        <w:rPr>
          <w:rFonts w:ascii="Verdana" w:hAnsi="Verdana"/>
          <w:bCs/>
          <w:sz w:val="18"/>
          <w:szCs w:val="18"/>
        </w:rPr>
        <w:t>) (voor ESMA) en 13(1</w:t>
      </w:r>
      <w:r w:rsidR="007003BE">
        <w:rPr>
          <w:rFonts w:ascii="Verdana" w:hAnsi="Verdana"/>
          <w:bCs/>
          <w:sz w:val="18"/>
          <w:szCs w:val="18"/>
        </w:rPr>
        <w:t>4</w:t>
      </w:r>
      <w:r>
        <w:rPr>
          <w:rFonts w:ascii="Verdana" w:hAnsi="Verdana"/>
          <w:bCs/>
          <w:sz w:val="18"/>
          <w:szCs w:val="18"/>
        </w:rPr>
        <w:t xml:space="preserve">) voor EBA </w:t>
      </w:r>
      <w:r w:rsidR="00404EF1">
        <w:rPr>
          <w:rFonts w:ascii="Verdana" w:hAnsi="Verdana"/>
          <w:bCs/>
          <w:sz w:val="18"/>
          <w:szCs w:val="18"/>
        </w:rPr>
        <w:t>over</w:t>
      </w:r>
      <w:r>
        <w:rPr>
          <w:rFonts w:ascii="Verdana" w:hAnsi="Verdana"/>
          <w:bCs/>
          <w:sz w:val="18"/>
          <w:szCs w:val="18"/>
        </w:rPr>
        <w:t xml:space="preserve"> de informatie die systemen moeten aanleveren om aangemerkt te kunnen worden als aangewezen systeem</w:t>
      </w:r>
      <w:r w:rsidR="00FF5A82">
        <w:rPr>
          <w:rFonts w:ascii="Verdana" w:hAnsi="Verdana"/>
          <w:bCs/>
          <w:sz w:val="18"/>
          <w:szCs w:val="18"/>
        </w:rPr>
        <w:t>,</w:t>
      </w:r>
      <w:r>
        <w:rPr>
          <w:rFonts w:ascii="Verdana" w:hAnsi="Verdana"/>
          <w:bCs/>
          <w:sz w:val="18"/>
          <w:szCs w:val="18"/>
        </w:rPr>
        <w:t xml:space="preserve"> en in artikel</w:t>
      </w:r>
      <w:r w:rsidR="00FF5A82">
        <w:rPr>
          <w:rFonts w:ascii="Verdana" w:hAnsi="Verdana"/>
          <w:bCs/>
          <w:sz w:val="18"/>
          <w:szCs w:val="18"/>
        </w:rPr>
        <w:t>en</w:t>
      </w:r>
      <w:r>
        <w:rPr>
          <w:rFonts w:ascii="Verdana" w:hAnsi="Verdana"/>
          <w:bCs/>
          <w:sz w:val="18"/>
          <w:szCs w:val="18"/>
        </w:rPr>
        <w:t xml:space="preserve"> 21(3) (voor ESMA) en 21(4) (voor EBA) </w:t>
      </w:r>
      <w:r w:rsidR="00404EF1">
        <w:rPr>
          <w:rFonts w:ascii="Verdana" w:hAnsi="Verdana"/>
          <w:bCs/>
          <w:sz w:val="18"/>
          <w:szCs w:val="18"/>
        </w:rPr>
        <w:t>over</w:t>
      </w:r>
      <w:r>
        <w:rPr>
          <w:rFonts w:ascii="Verdana" w:hAnsi="Verdana"/>
          <w:bCs/>
          <w:sz w:val="18"/>
          <w:szCs w:val="18"/>
        </w:rPr>
        <w:t xml:space="preserve"> de regels voor het bepalen van het moment van finale afwikkeling in systemen. </w:t>
      </w:r>
    </w:p>
    <w:p w:rsidR="0015342E" w:rsidP="0015342E" w:rsidRDefault="0015342E" w14:paraId="6DCD8435" w14:textId="77777777">
      <w:pPr>
        <w:tabs>
          <w:tab w:val="left" w:pos="-426"/>
        </w:tabs>
        <w:suppressAutoHyphens/>
        <w:spacing w:after="0" w:line="360" w:lineRule="auto"/>
        <w:rPr>
          <w:rFonts w:ascii="Verdana" w:hAnsi="Verdana"/>
          <w:bCs/>
          <w:sz w:val="18"/>
          <w:szCs w:val="18"/>
        </w:rPr>
      </w:pPr>
    </w:p>
    <w:p w:rsidR="00FF5A82" w:rsidP="0015342E" w:rsidRDefault="00393648" w14:paraId="778A2734" w14:textId="5C71840F">
      <w:pPr>
        <w:tabs>
          <w:tab w:val="left" w:pos="-426"/>
        </w:tabs>
        <w:suppressAutoHyphens/>
        <w:spacing w:after="0" w:line="360" w:lineRule="auto"/>
        <w:rPr>
          <w:rFonts w:ascii="Verdana" w:hAnsi="Verdana"/>
          <w:bCs/>
          <w:sz w:val="18"/>
          <w:szCs w:val="18"/>
        </w:rPr>
      </w:pPr>
      <w:r w:rsidRPr="00C406E1">
        <w:rPr>
          <w:rFonts w:ascii="Verdana" w:hAnsi="Verdana"/>
          <w:bCs/>
          <w:sz w:val="18"/>
          <w:szCs w:val="18"/>
        </w:rPr>
        <w:t xml:space="preserve">Het kabinet acht toekenning van deze bevoegdheden mogelijk, omdat het hier om niet-essentiële onderdelen van het voorstel gaat. De uit te werken gedelegeerde handelingen zien op criteria, indicatoren, methodologieën en verdere detailleringen van de hoofdnormen die in de verordening zelf komen te staan. Hierdoor wordt de verordening door de gedelegeerde handelingen aangevuld, waardoor de keuze voor delegatie passend is. Het kabinet acht de toekenning van deze bevoegdheden tevens wenselijk, omdat de nadere uitwerking van artikelen de gewone wetgevingsprocedure minder belast en </w:t>
      </w:r>
      <w:r w:rsidR="00404EF1">
        <w:rPr>
          <w:rFonts w:ascii="Verdana" w:hAnsi="Verdana"/>
          <w:bCs/>
          <w:sz w:val="18"/>
          <w:szCs w:val="18"/>
        </w:rPr>
        <w:t xml:space="preserve">deze </w:t>
      </w:r>
      <w:r w:rsidRPr="00C406E1">
        <w:rPr>
          <w:rFonts w:ascii="Verdana" w:hAnsi="Verdana"/>
          <w:bCs/>
          <w:sz w:val="18"/>
          <w:szCs w:val="18"/>
        </w:rPr>
        <w:t xml:space="preserve">flexibiliteit oplevert door de technische details in te laten vullen door EBA, ESMA en de nationale toezichthouders. </w:t>
      </w:r>
    </w:p>
    <w:p w:rsidR="00FF5A82" w:rsidP="0015342E" w:rsidRDefault="00FF5A82" w14:paraId="7BC45FDF" w14:textId="77777777">
      <w:pPr>
        <w:tabs>
          <w:tab w:val="left" w:pos="-426"/>
        </w:tabs>
        <w:suppressAutoHyphens/>
        <w:spacing w:after="0" w:line="360" w:lineRule="auto"/>
        <w:rPr>
          <w:rFonts w:ascii="Verdana" w:hAnsi="Verdana"/>
          <w:bCs/>
          <w:sz w:val="18"/>
          <w:szCs w:val="18"/>
        </w:rPr>
      </w:pPr>
    </w:p>
    <w:p w:rsidR="00393648" w:rsidP="0015342E" w:rsidRDefault="00393648" w14:paraId="7C0CD54F" w14:textId="4EA33C91">
      <w:pPr>
        <w:tabs>
          <w:tab w:val="left" w:pos="-426"/>
        </w:tabs>
        <w:suppressAutoHyphens/>
        <w:spacing w:after="0" w:line="360" w:lineRule="auto"/>
        <w:rPr>
          <w:rFonts w:ascii="Verdana" w:hAnsi="Verdana"/>
          <w:bCs/>
          <w:sz w:val="18"/>
          <w:szCs w:val="18"/>
        </w:rPr>
      </w:pPr>
      <w:r w:rsidRPr="00C406E1">
        <w:rPr>
          <w:rFonts w:ascii="Verdana" w:hAnsi="Verdana"/>
          <w:bCs/>
          <w:sz w:val="18"/>
          <w:szCs w:val="18"/>
        </w:rPr>
        <w:t>De</w:t>
      </w:r>
      <w:r w:rsidR="00FF5A82">
        <w:rPr>
          <w:rFonts w:ascii="Verdana" w:hAnsi="Verdana"/>
          <w:bCs/>
          <w:sz w:val="18"/>
          <w:szCs w:val="18"/>
        </w:rPr>
        <w:t>ze</w:t>
      </w:r>
      <w:r w:rsidRPr="00C406E1">
        <w:rPr>
          <w:rFonts w:ascii="Verdana" w:hAnsi="Verdana"/>
          <w:bCs/>
          <w:sz w:val="18"/>
          <w:szCs w:val="18"/>
        </w:rPr>
        <w:t xml:space="preserve"> bevoegdhe</w:t>
      </w:r>
      <w:r w:rsidR="00FF5A82">
        <w:rPr>
          <w:rFonts w:ascii="Verdana" w:hAnsi="Verdana"/>
          <w:bCs/>
          <w:sz w:val="18"/>
          <w:szCs w:val="18"/>
        </w:rPr>
        <w:t xml:space="preserve">id is </w:t>
      </w:r>
      <w:r w:rsidRPr="00C406E1">
        <w:rPr>
          <w:rFonts w:ascii="Verdana" w:hAnsi="Verdana"/>
          <w:bCs/>
          <w:sz w:val="18"/>
          <w:szCs w:val="18"/>
        </w:rPr>
        <w:t xml:space="preserve">naar het oordeel van het kabinet goed afgebakend in </w:t>
      </w:r>
      <w:r w:rsidR="00FF5A82">
        <w:rPr>
          <w:rFonts w:ascii="Verdana" w:hAnsi="Verdana"/>
          <w:bCs/>
          <w:sz w:val="18"/>
          <w:szCs w:val="18"/>
        </w:rPr>
        <w:t>het voorstel</w:t>
      </w:r>
      <w:r w:rsidRPr="00C406E1">
        <w:rPr>
          <w:rFonts w:ascii="Verdana" w:hAnsi="Verdana"/>
          <w:bCs/>
          <w:sz w:val="18"/>
          <w:szCs w:val="18"/>
        </w:rPr>
        <w:t>. De doelstellingen en inhoudelijke grenzen zijn daarin afdoende duidelijk gedefinieerd. De vaststelling van deze gedelegeerde handelingen vindt zoals gebruikelijk in het Europese financiële recht plaats volgens de bijzondere procedure uit de EBA- en ESMA-verordening (artikel 10 van Verordeningen (EU) 1093/2010 en (EU) 1095/2010). Deze procedure houdt in essentie in dat EBA en ESMA ontwerpen van technische reguleringsnormen ter vaststelling aan de Commissie voorlegt. De Commissie informeert in elke stap van het proces onmiddellijk het Europees Parlement en de Raad over de inhoud daarvan. De lidstaten worden via de Raad geïnformeerd.</w:t>
      </w:r>
      <w:r w:rsidRPr="00FF5A82" w:rsidR="00FF5A82">
        <w:t xml:space="preserve"> </w:t>
      </w:r>
      <w:r w:rsidRPr="00FF5A82" w:rsidR="00FF5A82">
        <w:rPr>
          <w:rFonts w:ascii="Verdana" w:hAnsi="Verdana"/>
          <w:bCs/>
          <w:sz w:val="18"/>
          <w:szCs w:val="18"/>
        </w:rPr>
        <w:t xml:space="preserve">Het Europees Parlement en de Raad kunnen de bevoegdheidstoedeling intrekken, en kunnen de inwerkingtreding van gedelegeerde handelingen blokkeren.  </w:t>
      </w:r>
    </w:p>
    <w:p w:rsidR="0015342E" w:rsidP="0015342E" w:rsidRDefault="0015342E" w14:paraId="6300EE4E" w14:textId="77777777">
      <w:pPr>
        <w:tabs>
          <w:tab w:val="left" w:pos="-426"/>
        </w:tabs>
        <w:suppressAutoHyphens/>
        <w:spacing w:after="0" w:line="360" w:lineRule="auto"/>
        <w:rPr>
          <w:rFonts w:ascii="Verdana" w:hAnsi="Verdana"/>
          <w:bCs/>
          <w:sz w:val="18"/>
          <w:szCs w:val="18"/>
        </w:rPr>
      </w:pPr>
    </w:p>
    <w:p w:rsidR="00445B22" w:rsidP="0015342E" w:rsidRDefault="00445B22" w14:paraId="535D2315" w14:textId="1DFBDC32">
      <w:pPr>
        <w:tabs>
          <w:tab w:val="left" w:pos="-426"/>
        </w:tabs>
        <w:suppressAutoHyphens/>
        <w:spacing w:after="0" w:line="360" w:lineRule="auto"/>
        <w:rPr>
          <w:rFonts w:ascii="Verdana" w:hAnsi="Verdana"/>
          <w:bCs/>
          <w:sz w:val="18"/>
          <w:szCs w:val="18"/>
        </w:rPr>
      </w:pPr>
      <w:r w:rsidRPr="00C406E1">
        <w:rPr>
          <w:rFonts w:ascii="Verdana" w:hAnsi="Verdana"/>
          <w:bCs/>
          <w:sz w:val="18"/>
          <w:szCs w:val="18"/>
        </w:rPr>
        <w:t xml:space="preserve">Het voorstel kent </w:t>
      </w:r>
      <w:r>
        <w:rPr>
          <w:rFonts w:ascii="Verdana" w:hAnsi="Verdana"/>
          <w:bCs/>
          <w:sz w:val="18"/>
          <w:szCs w:val="18"/>
        </w:rPr>
        <w:t xml:space="preserve">daarnaast </w:t>
      </w:r>
      <w:r w:rsidRPr="00C406E1">
        <w:rPr>
          <w:rFonts w:ascii="Verdana" w:hAnsi="Verdana"/>
          <w:bCs/>
          <w:sz w:val="18"/>
          <w:szCs w:val="18"/>
        </w:rPr>
        <w:t xml:space="preserve">de Commissie de bevoegdheid toe om </w:t>
      </w:r>
      <w:r>
        <w:rPr>
          <w:rFonts w:ascii="Verdana" w:hAnsi="Verdana"/>
          <w:bCs/>
          <w:sz w:val="18"/>
          <w:szCs w:val="18"/>
        </w:rPr>
        <w:t>uitvoerings</w:t>
      </w:r>
      <w:r w:rsidRPr="00C406E1">
        <w:rPr>
          <w:rFonts w:ascii="Verdana" w:hAnsi="Verdana"/>
          <w:bCs/>
          <w:sz w:val="18"/>
          <w:szCs w:val="18"/>
        </w:rPr>
        <w:t>handelingen (ex artikel 29</w:t>
      </w:r>
      <w:r>
        <w:rPr>
          <w:rFonts w:ascii="Verdana" w:hAnsi="Verdana"/>
          <w:bCs/>
          <w:sz w:val="18"/>
          <w:szCs w:val="18"/>
        </w:rPr>
        <w:t>1</w:t>
      </w:r>
      <w:r w:rsidRPr="00C406E1">
        <w:rPr>
          <w:rFonts w:ascii="Verdana" w:hAnsi="Verdana"/>
          <w:bCs/>
          <w:sz w:val="18"/>
          <w:szCs w:val="18"/>
        </w:rPr>
        <w:t xml:space="preserve"> VWEU) vast te stellen op basis van door ESMA</w:t>
      </w:r>
      <w:r>
        <w:rPr>
          <w:rFonts w:ascii="Verdana" w:hAnsi="Verdana"/>
          <w:bCs/>
          <w:sz w:val="18"/>
          <w:szCs w:val="18"/>
        </w:rPr>
        <w:t xml:space="preserve"> en EBA</w:t>
      </w:r>
      <w:r w:rsidRPr="00C406E1">
        <w:rPr>
          <w:rFonts w:ascii="Verdana" w:hAnsi="Verdana"/>
          <w:bCs/>
          <w:sz w:val="18"/>
          <w:szCs w:val="18"/>
        </w:rPr>
        <w:t xml:space="preserve"> opgestelde technische </w:t>
      </w:r>
      <w:r>
        <w:rPr>
          <w:rFonts w:ascii="Verdana" w:hAnsi="Verdana"/>
          <w:bCs/>
          <w:sz w:val="18"/>
          <w:szCs w:val="18"/>
        </w:rPr>
        <w:t>uitvoeringsnormen</w:t>
      </w:r>
      <w:r w:rsidRPr="00C406E1">
        <w:rPr>
          <w:rFonts w:ascii="Verdana" w:hAnsi="Verdana"/>
          <w:bCs/>
          <w:sz w:val="18"/>
          <w:szCs w:val="18"/>
        </w:rPr>
        <w:t>.</w:t>
      </w:r>
      <w:r>
        <w:rPr>
          <w:rFonts w:ascii="Verdana" w:hAnsi="Verdana"/>
          <w:bCs/>
          <w:sz w:val="18"/>
          <w:szCs w:val="18"/>
        </w:rPr>
        <w:t xml:space="preserve"> Dit betreft de grondslag in </w:t>
      </w:r>
      <w:r w:rsidR="00FF5A82">
        <w:rPr>
          <w:rFonts w:ascii="Verdana" w:hAnsi="Verdana"/>
          <w:bCs/>
          <w:sz w:val="18"/>
          <w:szCs w:val="18"/>
        </w:rPr>
        <w:t xml:space="preserve">de </w:t>
      </w:r>
      <w:r>
        <w:rPr>
          <w:rFonts w:ascii="Verdana" w:hAnsi="Verdana"/>
          <w:bCs/>
          <w:sz w:val="18"/>
          <w:szCs w:val="18"/>
        </w:rPr>
        <w:t>artikel</w:t>
      </w:r>
      <w:r w:rsidR="00FF5A82">
        <w:rPr>
          <w:rFonts w:ascii="Verdana" w:hAnsi="Verdana"/>
          <w:bCs/>
          <w:sz w:val="18"/>
          <w:szCs w:val="18"/>
        </w:rPr>
        <w:t>en</w:t>
      </w:r>
      <w:r>
        <w:rPr>
          <w:rFonts w:ascii="Verdana" w:hAnsi="Verdana"/>
          <w:bCs/>
          <w:sz w:val="18"/>
          <w:szCs w:val="18"/>
        </w:rPr>
        <w:t xml:space="preserve"> 13(1</w:t>
      </w:r>
      <w:r w:rsidR="007003BE">
        <w:rPr>
          <w:rFonts w:ascii="Verdana" w:hAnsi="Verdana"/>
          <w:bCs/>
          <w:sz w:val="18"/>
          <w:szCs w:val="18"/>
        </w:rPr>
        <w:t>3</w:t>
      </w:r>
      <w:r>
        <w:rPr>
          <w:rFonts w:ascii="Verdana" w:hAnsi="Verdana"/>
          <w:bCs/>
          <w:sz w:val="18"/>
          <w:szCs w:val="18"/>
        </w:rPr>
        <w:t>) (voor ESMA) en 13(1</w:t>
      </w:r>
      <w:r w:rsidR="007003BE">
        <w:rPr>
          <w:rFonts w:ascii="Verdana" w:hAnsi="Verdana"/>
          <w:bCs/>
          <w:sz w:val="18"/>
          <w:szCs w:val="18"/>
        </w:rPr>
        <w:t>5</w:t>
      </w:r>
      <w:r>
        <w:rPr>
          <w:rFonts w:ascii="Verdana" w:hAnsi="Verdana"/>
          <w:bCs/>
          <w:sz w:val="18"/>
          <w:szCs w:val="18"/>
        </w:rPr>
        <w:t xml:space="preserve">) (voor EBA) </w:t>
      </w:r>
      <w:r w:rsidR="00404EF1">
        <w:rPr>
          <w:rFonts w:ascii="Verdana" w:hAnsi="Verdana"/>
          <w:bCs/>
          <w:sz w:val="18"/>
          <w:szCs w:val="18"/>
        </w:rPr>
        <w:t>over</w:t>
      </w:r>
      <w:r>
        <w:rPr>
          <w:rFonts w:ascii="Verdana" w:hAnsi="Verdana"/>
          <w:bCs/>
          <w:sz w:val="18"/>
          <w:szCs w:val="18"/>
        </w:rPr>
        <w:t xml:space="preserve"> de uniforme elektronische formats voor de informatie die systemen moeten aanleveren om aangemerkt te worden als aangewezen systeem.</w:t>
      </w:r>
    </w:p>
    <w:p w:rsidR="0015342E" w:rsidP="0015342E" w:rsidRDefault="0015342E" w14:paraId="5E982656" w14:textId="77777777">
      <w:pPr>
        <w:tabs>
          <w:tab w:val="left" w:pos="-426"/>
        </w:tabs>
        <w:suppressAutoHyphens/>
        <w:spacing w:after="0" w:line="360" w:lineRule="auto"/>
        <w:rPr>
          <w:rFonts w:ascii="Verdana" w:hAnsi="Verdana"/>
          <w:bCs/>
          <w:sz w:val="18"/>
          <w:szCs w:val="18"/>
        </w:rPr>
      </w:pPr>
    </w:p>
    <w:p w:rsidR="00445B22" w:rsidP="0015342E" w:rsidRDefault="00445B22" w14:paraId="7D8C0B06" w14:textId="7F1EC507">
      <w:pPr>
        <w:tabs>
          <w:tab w:val="left" w:pos="-426"/>
        </w:tabs>
        <w:suppressAutoHyphens/>
        <w:spacing w:after="0" w:line="360" w:lineRule="auto"/>
        <w:rPr>
          <w:rFonts w:ascii="Verdana" w:hAnsi="Verdana"/>
          <w:bCs/>
          <w:sz w:val="18"/>
          <w:szCs w:val="18"/>
        </w:rPr>
      </w:pPr>
      <w:r w:rsidRPr="00C406E1">
        <w:rPr>
          <w:rFonts w:ascii="Verdana" w:hAnsi="Verdana"/>
          <w:bCs/>
          <w:sz w:val="18"/>
          <w:szCs w:val="18"/>
        </w:rPr>
        <w:t xml:space="preserve">Het kabinet acht toekenning van deze bevoegdheden mogelijk, omdat het hier om niet-essentiële onderdelen van het voorstel gaat. De uit te werken </w:t>
      </w:r>
      <w:r w:rsidR="00404EF1">
        <w:rPr>
          <w:rFonts w:ascii="Verdana" w:hAnsi="Verdana"/>
          <w:bCs/>
          <w:sz w:val="18"/>
          <w:szCs w:val="18"/>
        </w:rPr>
        <w:t>uitvoeringshandeling</w:t>
      </w:r>
      <w:r w:rsidRPr="00C406E1">
        <w:rPr>
          <w:rFonts w:ascii="Verdana" w:hAnsi="Verdana"/>
          <w:bCs/>
          <w:sz w:val="18"/>
          <w:szCs w:val="18"/>
        </w:rPr>
        <w:t xml:space="preserve"> zie</w:t>
      </w:r>
      <w:r>
        <w:rPr>
          <w:rFonts w:ascii="Verdana" w:hAnsi="Verdana"/>
          <w:bCs/>
          <w:sz w:val="18"/>
          <w:szCs w:val="18"/>
        </w:rPr>
        <w:t xml:space="preserve">t op uniforme elektronische formats die ESMA/EBA dienen op te stellen zodat partijen op dezelfde geharmoniseerde wijze hun aanvragen voor aanwijzing als systeem invoeren in de centrale </w:t>
      </w:r>
      <w:r>
        <w:rPr>
          <w:rFonts w:ascii="Verdana" w:hAnsi="Verdana"/>
          <w:bCs/>
          <w:sz w:val="18"/>
          <w:szCs w:val="18"/>
        </w:rPr>
        <w:lastRenderedPageBreak/>
        <w:t xml:space="preserve">database. Hierdoor wordt ervoor gezorgd dat er uniforme uitvoering van de verordening plaatsvindt, waardoor de keuze voor uitvoering passend is. </w:t>
      </w:r>
      <w:r w:rsidRPr="00C406E1">
        <w:rPr>
          <w:rFonts w:ascii="Verdana" w:hAnsi="Verdana"/>
          <w:bCs/>
          <w:sz w:val="18"/>
          <w:szCs w:val="18"/>
        </w:rPr>
        <w:t xml:space="preserve">Het kabinet acht de toekenning van deze bevoegdheden tevens wenselijk, omdat de nadere uitwerking van </w:t>
      </w:r>
      <w:r>
        <w:rPr>
          <w:rFonts w:ascii="Verdana" w:hAnsi="Verdana"/>
          <w:bCs/>
          <w:sz w:val="18"/>
          <w:szCs w:val="18"/>
        </w:rPr>
        <w:t>de wijze waarop deze informatie aangeleverd moet worden</w:t>
      </w:r>
      <w:r w:rsidR="00404EF1">
        <w:rPr>
          <w:rFonts w:ascii="Verdana" w:hAnsi="Verdana"/>
          <w:bCs/>
          <w:sz w:val="18"/>
          <w:szCs w:val="18"/>
        </w:rPr>
        <w:t>,</w:t>
      </w:r>
      <w:r>
        <w:rPr>
          <w:rFonts w:ascii="Verdana" w:hAnsi="Verdana"/>
          <w:bCs/>
          <w:sz w:val="18"/>
          <w:szCs w:val="18"/>
        </w:rPr>
        <w:t xml:space="preserve"> </w:t>
      </w:r>
      <w:r w:rsidRPr="00C406E1">
        <w:rPr>
          <w:rFonts w:ascii="Verdana" w:hAnsi="Verdana"/>
          <w:bCs/>
          <w:sz w:val="18"/>
          <w:szCs w:val="18"/>
        </w:rPr>
        <w:t xml:space="preserve">de gewone wetgevingsprocedure minder belast en </w:t>
      </w:r>
      <w:r w:rsidR="00404EF1">
        <w:rPr>
          <w:rFonts w:ascii="Verdana" w:hAnsi="Verdana"/>
          <w:bCs/>
          <w:sz w:val="18"/>
          <w:szCs w:val="18"/>
        </w:rPr>
        <w:t>deze</w:t>
      </w:r>
      <w:r w:rsidRPr="00C406E1">
        <w:rPr>
          <w:rFonts w:ascii="Verdana" w:hAnsi="Verdana"/>
          <w:bCs/>
          <w:sz w:val="18"/>
          <w:szCs w:val="18"/>
        </w:rPr>
        <w:t xml:space="preserve"> flexibiliteit oplevert door de technische details in te laten vullen door EBA, ESMA en de nationale toezichthouders. De bevoegdheden zijn naar het oordeel van het kabinet goed afgebakend in de verordening</w:t>
      </w:r>
      <w:r w:rsidR="00434CBE">
        <w:rPr>
          <w:rFonts w:ascii="Verdana" w:hAnsi="Verdana"/>
          <w:bCs/>
          <w:sz w:val="18"/>
          <w:szCs w:val="18"/>
        </w:rPr>
        <w:t xml:space="preserve">. </w:t>
      </w:r>
      <w:r w:rsidRPr="00C406E1">
        <w:rPr>
          <w:rFonts w:ascii="Verdana" w:hAnsi="Verdana"/>
          <w:bCs/>
          <w:sz w:val="18"/>
          <w:szCs w:val="18"/>
        </w:rPr>
        <w:t xml:space="preserve">De vaststelling van deze </w:t>
      </w:r>
      <w:r w:rsidR="00434CBE">
        <w:rPr>
          <w:rFonts w:ascii="Verdana" w:hAnsi="Verdana"/>
          <w:bCs/>
          <w:sz w:val="18"/>
          <w:szCs w:val="18"/>
        </w:rPr>
        <w:t xml:space="preserve">technische uitvoeringsnormen </w:t>
      </w:r>
      <w:r w:rsidRPr="00C406E1">
        <w:rPr>
          <w:rFonts w:ascii="Verdana" w:hAnsi="Verdana"/>
          <w:bCs/>
          <w:sz w:val="18"/>
          <w:szCs w:val="18"/>
        </w:rPr>
        <w:t>vindt zoals gebruikelijk in het Europese financiële recht plaats volgens de bijzondere procedure uit de EBA- en ESMA-verordening (artikel 1</w:t>
      </w:r>
      <w:r w:rsidR="00434CBE">
        <w:rPr>
          <w:rFonts w:ascii="Verdana" w:hAnsi="Verdana"/>
          <w:bCs/>
          <w:sz w:val="18"/>
          <w:szCs w:val="18"/>
        </w:rPr>
        <w:t>5</w:t>
      </w:r>
      <w:r w:rsidRPr="00C406E1">
        <w:rPr>
          <w:rFonts w:ascii="Verdana" w:hAnsi="Verdana"/>
          <w:bCs/>
          <w:sz w:val="18"/>
          <w:szCs w:val="18"/>
        </w:rPr>
        <w:t xml:space="preserve"> van Verordeningen (EU) 1093/2010 en (EU) 1095/2010). Deze procedure houdt in essentie in dat EBA en ESMA ontwerpen van technische </w:t>
      </w:r>
      <w:r w:rsidR="00434CBE">
        <w:rPr>
          <w:rFonts w:ascii="Verdana" w:hAnsi="Verdana"/>
          <w:bCs/>
          <w:sz w:val="18"/>
          <w:szCs w:val="18"/>
        </w:rPr>
        <w:t>uitvoerings</w:t>
      </w:r>
      <w:r w:rsidRPr="00C406E1">
        <w:rPr>
          <w:rFonts w:ascii="Verdana" w:hAnsi="Verdana"/>
          <w:bCs/>
          <w:sz w:val="18"/>
          <w:szCs w:val="18"/>
        </w:rPr>
        <w:t>normen ter vaststelling aan de Commissie voorleg</w:t>
      </w:r>
      <w:r w:rsidR="00404EF1">
        <w:rPr>
          <w:rFonts w:ascii="Verdana" w:hAnsi="Verdana"/>
          <w:bCs/>
          <w:sz w:val="18"/>
          <w:szCs w:val="18"/>
        </w:rPr>
        <w:t>gen</w:t>
      </w:r>
      <w:r w:rsidRPr="00C406E1">
        <w:rPr>
          <w:rFonts w:ascii="Verdana" w:hAnsi="Verdana"/>
          <w:bCs/>
          <w:sz w:val="18"/>
          <w:szCs w:val="18"/>
        </w:rPr>
        <w:t>. De Commissie informeert in elke stap van het proces onmiddellijk het Europees Parlement en de Raad over de inhoud daarvan. De lidstaten worden via de Raad geïnformeerd.</w:t>
      </w:r>
    </w:p>
    <w:p w:rsidR="0015342E" w:rsidP="0015342E" w:rsidRDefault="0015342E" w14:paraId="19276E0A" w14:textId="77777777">
      <w:pPr>
        <w:tabs>
          <w:tab w:val="left" w:pos="-426"/>
        </w:tabs>
        <w:suppressAutoHyphens/>
        <w:spacing w:after="0" w:line="360" w:lineRule="auto"/>
        <w:rPr>
          <w:rFonts w:ascii="Verdana" w:hAnsi="Verdana"/>
          <w:bCs/>
          <w:sz w:val="18"/>
          <w:szCs w:val="18"/>
        </w:rPr>
      </w:pPr>
    </w:p>
    <w:p w:rsidRPr="00062717" w:rsidR="00BF35EA" w:rsidP="00171F0B" w:rsidRDefault="00BF35EA" w14:paraId="354B1261" w14:textId="77777777">
      <w:pPr>
        <w:numPr>
          <w:ilvl w:val="0"/>
          <w:numId w:val="9"/>
        </w:numPr>
        <w:spacing w:after="0" w:line="360" w:lineRule="auto"/>
        <w:rPr>
          <w:rFonts w:ascii="Verdana" w:hAnsi="Verdana"/>
          <w:bCs/>
          <w:i/>
          <w:iCs/>
          <w:sz w:val="18"/>
          <w:szCs w:val="18"/>
        </w:rPr>
      </w:pPr>
      <w:r w:rsidRPr="00062717">
        <w:rPr>
          <w:rFonts w:ascii="Verdana" w:hAnsi="Verdana"/>
          <w:bCs/>
          <w:i/>
          <w:iCs/>
          <w:sz w:val="18"/>
          <w:szCs w:val="18"/>
        </w:rPr>
        <w:t>Voorgestelde implementatietermijn (bij richtlijnen), dan wel voorgestelde datum inwerkingtreding (bij verordeningen en besluiten) met commentaar t.a.v. haalbaarheid</w:t>
      </w:r>
    </w:p>
    <w:p w:rsidRPr="00B517EC" w:rsidR="00875992" w:rsidP="00171F0B" w:rsidRDefault="002D3E24" w14:paraId="2F9BADDA" w14:textId="68C6D9D1">
      <w:pPr>
        <w:pStyle w:val="ListParagraph"/>
        <w:spacing w:line="360" w:lineRule="auto"/>
        <w:ind w:left="0"/>
        <w:rPr>
          <w:rFonts w:ascii="Verdana" w:hAnsi="Verdana"/>
          <w:bCs/>
          <w:sz w:val="18"/>
          <w:szCs w:val="18"/>
        </w:rPr>
      </w:pPr>
      <w:r>
        <w:rPr>
          <w:rFonts w:ascii="Verdana" w:hAnsi="Verdana"/>
          <w:bCs/>
          <w:sz w:val="18"/>
          <w:szCs w:val="18"/>
        </w:rPr>
        <w:t xml:space="preserve">De verordening werkt rechtstreeks en treedt twintig dagen na publicatie in het Publicatieblad van de Europese Unie in werking. De verordening bepaalt in artikel 30 dat de SFD wordt ingetrokken op de dag dat de verordening in werking treedt. </w:t>
      </w:r>
      <w:r w:rsidR="0027734B">
        <w:rPr>
          <w:rFonts w:ascii="Verdana" w:hAnsi="Verdana"/>
          <w:bCs/>
          <w:sz w:val="18"/>
          <w:szCs w:val="18"/>
        </w:rPr>
        <w:t xml:space="preserve">Daarnaast bevat de verordening aanpassing van de richtlijn </w:t>
      </w:r>
      <w:proofErr w:type="spellStart"/>
      <w:r w:rsidR="0027734B">
        <w:rPr>
          <w:rFonts w:ascii="Verdana" w:hAnsi="Verdana"/>
          <w:bCs/>
          <w:sz w:val="18"/>
          <w:szCs w:val="18"/>
        </w:rPr>
        <w:t>financiëlezekerheidsovereenkomsten</w:t>
      </w:r>
      <w:proofErr w:type="spellEnd"/>
      <w:r w:rsidR="0027734B">
        <w:rPr>
          <w:rFonts w:ascii="Verdana" w:hAnsi="Verdana"/>
          <w:bCs/>
          <w:sz w:val="18"/>
          <w:szCs w:val="18"/>
        </w:rPr>
        <w:t>. Achttien maanden na inwerkingtreding van deze verordening moet er wetgeving zijn vastgesteld om te voldoen aan de nieuwe vereisten in die richtlijn.</w:t>
      </w:r>
      <w:r w:rsidR="00FC711A">
        <w:rPr>
          <w:rFonts w:ascii="Verdana" w:hAnsi="Verdana"/>
          <w:bCs/>
          <w:sz w:val="18"/>
          <w:szCs w:val="18"/>
        </w:rPr>
        <w:t xml:space="preserve"> Dit is voor het Nederlandse wetgevingsproces een krappe termijn. Tijdens de onderhandelingen zal ingezet worden op vierentwintig maanden.</w:t>
      </w:r>
      <w:r>
        <w:rPr>
          <w:rFonts w:ascii="Verdana" w:hAnsi="Verdana"/>
          <w:bCs/>
          <w:sz w:val="18"/>
          <w:szCs w:val="18"/>
        </w:rPr>
        <w:t xml:space="preserve"> </w:t>
      </w:r>
    </w:p>
    <w:p w:rsidRPr="00062717" w:rsidR="00875992" w:rsidP="00171F0B" w:rsidRDefault="00875992" w14:paraId="1C47486E" w14:textId="77777777">
      <w:pPr>
        <w:spacing w:after="0" w:line="360" w:lineRule="auto"/>
        <w:rPr>
          <w:rFonts w:ascii="Verdana" w:hAnsi="Verdana"/>
          <w:bCs/>
          <w:i/>
          <w:iCs/>
          <w:sz w:val="18"/>
          <w:szCs w:val="18"/>
        </w:rPr>
      </w:pPr>
    </w:p>
    <w:p w:rsidRPr="00062717" w:rsidR="00BF35EA" w:rsidP="00171F0B" w:rsidRDefault="00BF35EA" w14:paraId="074A241D" w14:textId="77777777">
      <w:pPr>
        <w:numPr>
          <w:ilvl w:val="0"/>
          <w:numId w:val="9"/>
        </w:numPr>
        <w:spacing w:after="0" w:line="360" w:lineRule="auto"/>
        <w:rPr>
          <w:rFonts w:ascii="Verdana" w:hAnsi="Verdana"/>
          <w:bCs/>
          <w:i/>
          <w:iCs/>
          <w:sz w:val="18"/>
          <w:szCs w:val="18"/>
        </w:rPr>
      </w:pPr>
      <w:r w:rsidRPr="00062717">
        <w:rPr>
          <w:rFonts w:ascii="Verdana" w:hAnsi="Verdana"/>
          <w:bCs/>
          <w:i/>
          <w:iCs/>
          <w:sz w:val="18"/>
          <w:szCs w:val="18"/>
        </w:rPr>
        <w:t>Wenselijkheid evaluatie-/horizonbepaling</w:t>
      </w:r>
    </w:p>
    <w:p w:rsidR="00B8624A" w:rsidP="00171F0B" w:rsidRDefault="00FC711A" w14:paraId="65183993" w14:textId="0D95B879">
      <w:pPr>
        <w:spacing w:after="0" w:line="360" w:lineRule="auto"/>
        <w:rPr>
          <w:rFonts w:ascii="Verdana" w:hAnsi="Verdana"/>
          <w:bCs/>
          <w:sz w:val="18"/>
          <w:szCs w:val="18"/>
        </w:rPr>
      </w:pPr>
      <w:r>
        <w:rPr>
          <w:rFonts w:ascii="Verdana" w:hAnsi="Verdana"/>
          <w:bCs/>
          <w:sz w:val="18"/>
          <w:szCs w:val="18"/>
        </w:rPr>
        <w:t>In artikel 29 van de voorgestelde verordening is een evaluatiebepaling opgenomen</w:t>
      </w:r>
      <w:r w:rsidR="00404EF1">
        <w:rPr>
          <w:rFonts w:ascii="Verdana" w:hAnsi="Verdana"/>
          <w:bCs/>
          <w:sz w:val="18"/>
          <w:szCs w:val="18"/>
        </w:rPr>
        <w:t>,</w:t>
      </w:r>
      <w:r>
        <w:rPr>
          <w:rFonts w:ascii="Verdana" w:hAnsi="Verdana"/>
          <w:bCs/>
          <w:sz w:val="18"/>
          <w:szCs w:val="18"/>
        </w:rPr>
        <w:t xml:space="preserve"> zodat de Commissie vijf jaar na inwerkingtreding een rapport, met eventuele voorstellen voor aanpassing, opstelt over de toepassing van de verordening. Ook wordt in hetzelfde artikel voorgesteld dat ESMA, samen met EBA en het ESCB, een rapport schrijft over het functioneren van het regime van finaliteit van de afwikkeling van effecten. </w:t>
      </w:r>
    </w:p>
    <w:p w:rsidR="009A1DF9" w:rsidP="00171F0B" w:rsidRDefault="009A1DF9" w14:paraId="16BE6171" w14:textId="77777777">
      <w:pPr>
        <w:spacing w:after="0" w:line="360" w:lineRule="auto"/>
        <w:rPr>
          <w:rFonts w:ascii="Verdana" w:hAnsi="Verdana"/>
          <w:bCs/>
          <w:sz w:val="18"/>
          <w:szCs w:val="18"/>
        </w:rPr>
      </w:pPr>
    </w:p>
    <w:p w:rsidR="00287C1D" w:rsidP="00171F0B" w:rsidRDefault="00FC711A" w14:paraId="7D149613" w14:textId="4AE9FCD8">
      <w:pPr>
        <w:spacing w:after="0" w:line="360" w:lineRule="auto"/>
        <w:rPr>
          <w:rFonts w:ascii="Verdana" w:hAnsi="Verdana"/>
          <w:bCs/>
          <w:sz w:val="18"/>
          <w:szCs w:val="18"/>
        </w:rPr>
      </w:pPr>
      <w:r>
        <w:rPr>
          <w:rFonts w:ascii="Verdana" w:hAnsi="Verdana"/>
          <w:bCs/>
          <w:sz w:val="18"/>
          <w:szCs w:val="18"/>
        </w:rPr>
        <w:t>Het kabinet vindt een dergelijke evaluatie wenselijk, en vind</w:t>
      </w:r>
      <w:r w:rsidR="00404EF1">
        <w:rPr>
          <w:rFonts w:ascii="Verdana" w:hAnsi="Verdana"/>
          <w:bCs/>
          <w:sz w:val="18"/>
          <w:szCs w:val="18"/>
        </w:rPr>
        <w:t>t</w:t>
      </w:r>
      <w:r>
        <w:rPr>
          <w:rFonts w:ascii="Verdana" w:hAnsi="Verdana"/>
          <w:bCs/>
          <w:sz w:val="18"/>
          <w:szCs w:val="18"/>
        </w:rPr>
        <w:t xml:space="preserve"> vijf jaar een afdoende termijn voor een dergelijke evaluatie. Omdat de inhoud van de voorgestelde verordening niet wezenlijk anders is dan die van de SFD, is het niet noodzakelijk eerder een evaluatie uit te voeren (bijvoorbeeld na drie jaar) om te bezien of het regime wel werkt.</w:t>
      </w:r>
    </w:p>
    <w:p w:rsidR="009A1DF9" w:rsidP="00171F0B" w:rsidRDefault="009A1DF9" w14:paraId="22F6D07E" w14:textId="77777777">
      <w:pPr>
        <w:spacing w:after="0" w:line="360" w:lineRule="auto"/>
        <w:rPr>
          <w:rFonts w:ascii="Verdana" w:hAnsi="Verdana"/>
          <w:bCs/>
          <w:sz w:val="18"/>
          <w:szCs w:val="18"/>
        </w:rPr>
      </w:pPr>
    </w:p>
    <w:p w:rsidRPr="00062717" w:rsidR="00BF35EA" w:rsidP="00171F0B" w:rsidRDefault="00BF35EA" w14:paraId="38D74102" w14:textId="77777777">
      <w:pPr>
        <w:numPr>
          <w:ilvl w:val="0"/>
          <w:numId w:val="9"/>
        </w:numPr>
        <w:spacing w:after="0" w:line="360" w:lineRule="auto"/>
        <w:rPr>
          <w:rFonts w:ascii="Verdana" w:hAnsi="Verdana"/>
          <w:bCs/>
          <w:i/>
          <w:iCs/>
          <w:sz w:val="18"/>
          <w:szCs w:val="18"/>
        </w:rPr>
      </w:pPr>
      <w:r w:rsidRPr="00062717">
        <w:rPr>
          <w:rFonts w:ascii="Verdana" w:hAnsi="Verdana"/>
          <w:bCs/>
          <w:i/>
          <w:iCs/>
          <w:sz w:val="18"/>
          <w:szCs w:val="18"/>
        </w:rPr>
        <w:t>Constitutionele toets</w:t>
      </w:r>
    </w:p>
    <w:p w:rsidR="00BF35EA" w:rsidP="00171F0B" w:rsidRDefault="00BF35EA" w14:paraId="34E5C717" w14:textId="77777777">
      <w:pPr>
        <w:tabs>
          <w:tab w:val="left" w:pos="-284"/>
          <w:tab w:val="left" w:pos="340"/>
          <w:tab w:val="left" w:pos="426"/>
          <w:tab w:val="left" w:pos="680"/>
          <w:tab w:val="left" w:pos="1021"/>
          <w:tab w:val="left" w:pos="1361"/>
        </w:tabs>
        <w:spacing w:after="0" w:line="360" w:lineRule="auto"/>
        <w:rPr>
          <w:rFonts w:ascii="Verdana" w:hAnsi="Verdana"/>
          <w:sz w:val="18"/>
          <w:szCs w:val="18"/>
        </w:rPr>
      </w:pPr>
      <w:r w:rsidRPr="00062717">
        <w:rPr>
          <w:rFonts w:ascii="Verdana" w:hAnsi="Verdana"/>
          <w:sz w:val="18"/>
          <w:szCs w:val="18"/>
        </w:rPr>
        <w:t>Niet van toepassing.</w:t>
      </w:r>
      <w:r w:rsidRPr="00062717">
        <w:rPr>
          <w:rFonts w:ascii="Verdana" w:hAnsi="Verdana"/>
          <w:sz w:val="18"/>
          <w:szCs w:val="18"/>
        </w:rPr>
        <w:br/>
      </w:r>
    </w:p>
    <w:p w:rsidR="000B3D22" w:rsidP="00171F0B" w:rsidRDefault="000B3D22" w14:paraId="23925A5D" w14:textId="77777777">
      <w:pPr>
        <w:tabs>
          <w:tab w:val="left" w:pos="-284"/>
          <w:tab w:val="left" w:pos="340"/>
          <w:tab w:val="left" w:pos="426"/>
          <w:tab w:val="left" w:pos="680"/>
          <w:tab w:val="left" w:pos="1021"/>
          <w:tab w:val="left" w:pos="1361"/>
        </w:tabs>
        <w:spacing w:after="0" w:line="360" w:lineRule="auto"/>
        <w:rPr>
          <w:rFonts w:ascii="Verdana" w:hAnsi="Verdana"/>
          <w:sz w:val="18"/>
          <w:szCs w:val="18"/>
        </w:rPr>
      </w:pPr>
    </w:p>
    <w:p w:rsidR="000B3D22" w:rsidP="00171F0B" w:rsidRDefault="000B3D22" w14:paraId="0AB50178" w14:textId="77777777">
      <w:pPr>
        <w:tabs>
          <w:tab w:val="left" w:pos="-284"/>
          <w:tab w:val="left" w:pos="340"/>
          <w:tab w:val="left" w:pos="426"/>
          <w:tab w:val="left" w:pos="680"/>
          <w:tab w:val="left" w:pos="1021"/>
          <w:tab w:val="left" w:pos="1361"/>
        </w:tabs>
        <w:spacing w:after="0" w:line="360" w:lineRule="auto"/>
        <w:rPr>
          <w:rFonts w:ascii="Verdana" w:hAnsi="Verdana"/>
          <w:sz w:val="18"/>
          <w:szCs w:val="18"/>
        </w:rPr>
      </w:pPr>
    </w:p>
    <w:p w:rsidRPr="00062717" w:rsidR="000B3D22" w:rsidP="00171F0B" w:rsidRDefault="000B3D22" w14:paraId="4CA7F919" w14:textId="77777777">
      <w:pPr>
        <w:tabs>
          <w:tab w:val="left" w:pos="-284"/>
          <w:tab w:val="left" w:pos="340"/>
          <w:tab w:val="left" w:pos="426"/>
          <w:tab w:val="left" w:pos="680"/>
          <w:tab w:val="left" w:pos="1021"/>
          <w:tab w:val="left" w:pos="1361"/>
        </w:tabs>
        <w:spacing w:after="0" w:line="360" w:lineRule="auto"/>
        <w:rPr>
          <w:rFonts w:ascii="Verdana" w:hAnsi="Verdana"/>
          <w:sz w:val="18"/>
          <w:szCs w:val="18"/>
        </w:rPr>
      </w:pPr>
    </w:p>
    <w:p w:rsidRPr="00062717" w:rsidR="00BF35EA" w:rsidP="00171F0B" w:rsidRDefault="00BF35EA" w14:paraId="6E137D44" w14:textId="77777777">
      <w:pPr>
        <w:spacing w:after="0" w:line="360" w:lineRule="auto"/>
        <w:rPr>
          <w:rFonts w:ascii="Verdana" w:hAnsi="Verdana"/>
          <w:b/>
          <w:sz w:val="18"/>
          <w:szCs w:val="18"/>
        </w:rPr>
      </w:pPr>
      <w:r w:rsidRPr="00062717">
        <w:rPr>
          <w:rFonts w:ascii="Verdana" w:hAnsi="Verdana"/>
          <w:b/>
          <w:sz w:val="18"/>
          <w:szCs w:val="18"/>
        </w:rPr>
        <w:lastRenderedPageBreak/>
        <w:t>7. Implicaties voor uitvoering en/of handhaving</w:t>
      </w:r>
    </w:p>
    <w:p w:rsidR="00773B4A" w:rsidP="00171F0B" w:rsidRDefault="00773B4A" w14:paraId="5EB1F0B9" w14:textId="67684E2A">
      <w:pPr>
        <w:suppressAutoHyphens/>
        <w:spacing w:after="0" w:line="360" w:lineRule="auto"/>
        <w:rPr>
          <w:rFonts w:ascii="Verdana" w:hAnsi="Verdana"/>
          <w:bCs/>
          <w:sz w:val="18"/>
          <w:szCs w:val="18"/>
        </w:rPr>
      </w:pPr>
      <w:r>
        <w:rPr>
          <w:rFonts w:ascii="Verdana" w:hAnsi="Verdana"/>
          <w:bCs/>
          <w:sz w:val="18"/>
          <w:szCs w:val="18"/>
        </w:rPr>
        <w:t>a) Uitvoerbaarheid</w:t>
      </w:r>
    </w:p>
    <w:p w:rsidR="005A74EB" w:rsidP="00171F0B" w:rsidRDefault="00BA3743" w14:paraId="457DAC14" w14:textId="70383904">
      <w:pPr>
        <w:suppressAutoHyphens/>
        <w:spacing w:after="0" w:line="360" w:lineRule="auto"/>
        <w:rPr>
          <w:rFonts w:ascii="Verdana" w:hAnsi="Verdana"/>
          <w:bCs/>
          <w:sz w:val="18"/>
          <w:szCs w:val="18"/>
        </w:rPr>
      </w:pPr>
      <w:r>
        <w:rPr>
          <w:rFonts w:ascii="Verdana" w:hAnsi="Verdana"/>
          <w:bCs/>
          <w:sz w:val="18"/>
          <w:szCs w:val="18"/>
        </w:rPr>
        <w:t>De uitvoering en handhaving van de voorstellen ligt bij Europese en nationale toezichthouders.</w:t>
      </w:r>
      <w:r w:rsidR="00ED3EAC">
        <w:rPr>
          <w:rFonts w:ascii="Verdana" w:hAnsi="Verdana"/>
          <w:bCs/>
          <w:sz w:val="18"/>
          <w:szCs w:val="18"/>
        </w:rPr>
        <w:t xml:space="preserve"> Het kabinet is er voorstander van dat toezicht op grensoverschrijdende ondernemingen Europees wordt belegd bij de Europese toezichthouders.</w:t>
      </w:r>
      <w:r>
        <w:rPr>
          <w:rFonts w:ascii="Verdana" w:hAnsi="Verdana"/>
          <w:bCs/>
          <w:sz w:val="18"/>
          <w:szCs w:val="18"/>
        </w:rPr>
        <w:t xml:space="preserve"> </w:t>
      </w:r>
      <w:r w:rsidR="00ED3EAC">
        <w:rPr>
          <w:rFonts w:ascii="Verdana" w:hAnsi="Verdana"/>
          <w:bCs/>
          <w:sz w:val="18"/>
          <w:szCs w:val="18"/>
        </w:rPr>
        <w:t xml:space="preserve">Indien de voorstellen worden aangenomen, zal dat aanpassing van alle toezichthouders vergen om de nieuwe wijze van toezicht houden goed uit te voeren. </w:t>
      </w:r>
    </w:p>
    <w:p w:rsidR="009A1DF9" w:rsidP="00171F0B" w:rsidRDefault="009A1DF9" w14:paraId="5DC9B5E2" w14:textId="77777777">
      <w:pPr>
        <w:suppressAutoHyphens/>
        <w:spacing w:after="0" w:line="360" w:lineRule="auto"/>
        <w:rPr>
          <w:rFonts w:ascii="Verdana" w:hAnsi="Verdana"/>
          <w:bCs/>
          <w:sz w:val="18"/>
          <w:szCs w:val="18"/>
        </w:rPr>
      </w:pPr>
    </w:p>
    <w:p w:rsidRPr="005A74EB" w:rsidR="00053F1F" w:rsidP="00171F0B" w:rsidRDefault="00773B4A" w14:paraId="7DB7B755" w14:textId="5625304F">
      <w:pPr>
        <w:spacing w:after="0" w:line="360" w:lineRule="auto"/>
        <w:outlineLvl w:val="0"/>
        <w:rPr>
          <w:rFonts w:ascii="Verdana" w:hAnsi="Verdana"/>
          <w:bCs/>
          <w:sz w:val="18"/>
          <w:szCs w:val="18"/>
        </w:rPr>
      </w:pPr>
      <w:r w:rsidRPr="00053F1F">
        <w:rPr>
          <w:rFonts w:ascii="Verdana" w:hAnsi="Verdana"/>
          <w:bCs/>
          <w:sz w:val="18"/>
          <w:szCs w:val="18"/>
        </w:rPr>
        <w:t>b) Handhaafbaarheid</w:t>
      </w:r>
      <w:r w:rsidRPr="00053F1F" w:rsidR="00BF35EA">
        <w:rPr>
          <w:rFonts w:ascii="Verdana" w:hAnsi="Verdana"/>
          <w:bCs/>
          <w:sz w:val="18"/>
          <w:szCs w:val="18"/>
        </w:rPr>
        <w:br/>
      </w:r>
      <w:r w:rsidR="00FC711A">
        <w:rPr>
          <w:rFonts w:ascii="Verdana" w:hAnsi="Verdana"/>
          <w:bCs/>
          <w:iCs/>
          <w:sz w:val="18"/>
          <w:szCs w:val="18"/>
        </w:rPr>
        <w:t>Het toezicht vanuit SFD op systemen is belegd bij DNB.</w:t>
      </w:r>
      <w:r w:rsidR="00AF3803">
        <w:rPr>
          <w:rFonts w:ascii="Verdana" w:hAnsi="Verdana"/>
          <w:bCs/>
          <w:iCs/>
          <w:sz w:val="18"/>
          <w:szCs w:val="18"/>
        </w:rPr>
        <w:t xml:space="preserve"> Dit zal onveranderd blijven.</w:t>
      </w:r>
      <w:r w:rsidR="00FC711A">
        <w:rPr>
          <w:rFonts w:ascii="Verdana" w:hAnsi="Verdana"/>
          <w:bCs/>
          <w:iCs/>
          <w:sz w:val="18"/>
          <w:szCs w:val="18"/>
        </w:rPr>
        <w:t xml:space="preserve"> </w:t>
      </w:r>
      <w:r w:rsidRPr="00FE492F" w:rsidR="00E74FEE">
        <w:rPr>
          <w:rFonts w:ascii="Verdana" w:hAnsi="Verdana"/>
          <w:bCs/>
          <w:iCs/>
          <w:sz w:val="18"/>
          <w:szCs w:val="18"/>
        </w:rPr>
        <w:t>De voorgestelde wijzigingen worden als handhaafbaar</w:t>
      </w:r>
      <w:r w:rsidRPr="00FE492F" w:rsidR="00B04737">
        <w:rPr>
          <w:rFonts w:ascii="Verdana" w:hAnsi="Verdana"/>
          <w:bCs/>
          <w:iCs/>
          <w:sz w:val="18"/>
          <w:szCs w:val="18"/>
        </w:rPr>
        <w:t xml:space="preserve"> ingeschat. </w:t>
      </w:r>
    </w:p>
    <w:p w:rsidRPr="00062717" w:rsidR="00BF35EA" w:rsidP="00171F0B" w:rsidRDefault="00BF35EA" w14:paraId="7CB99794" w14:textId="0405C397">
      <w:pPr>
        <w:spacing w:after="0" w:line="360" w:lineRule="auto"/>
        <w:outlineLvl w:val="0"/>
        <w:rPr>
          <w:rFonts w:ascii="Verdana" w:hAnsi="Verdana"/>
          <w:bCs/>
          <w:sz w:val="18"/>
          <w:szCs w:val="18"/>
        </w:rPr>
      </w:pPr>
    </w:p>
    <w:p w:rsidRPr="00062717" w:rsidR="00BF35EA" w:rsidP="00171F0B" w:rsidRDefault="00BF35EA" w14:paraId="76F90EF6" w14:textId="77777777">
      <w:pPr>
        <w:spacing w:after="0" w:line="360" w:lineRule="auto"/>
        <w:rPr>
          <w:rFonts w:ascii="Verdana" w:hAnsi="Verdana"/>
          <w:b/>
          <w:sz w:val="18"/>
          <w:szCs w:val="18"/>
        </w:rPr>
      </w:pPr>
      <w:r w:rsidRPr="00062717">
        <w:rPr>
          <w:rFonts w:ascii="Verdana" w:hAnsi="Verdana"/>
          <w:b/>
          <w:sz w:val="18"/>
          <w:szCs w:val="18"/>
        </w:rPr>
        <w:t>8. Implicaties voor ontwikkelingslanden</w:t>
      </w:r>
    </w:p>
    <w:p w:rsidRPr="00062717" w:rsidR="00BF35EA" w:rsidP="5479577D" w:rsidRDefault="5479577D" w14:paraId="3296826D" w14:textId="5DEBE008">
      <w:pPr>
        <w:tabs>
          <w:tab w:val="left" w:pos="0"/>
          <w:tab w:val="left" w:pos="340"/>
          <w:tab w:val="left" w:pos="680"/>
          <w:tab w:val="left" w:pos="1021"/>
          <w:tab w:val="left" w:pos="1361"/>
          <w:tab w:val="left" w:pos="1701"/>
          <w:tab w:val="left" w:pos="3402"/>
        </w:tabs>
        <w:suppressAutoHyphens/>
        <w:spacing w:after="0" w:line="360" w:lineRule="auto"/>
        <w:rPr>
          <w:rFonts w:ascii="Verdana" w:hAnsi="Verdana" w:eastAsia="MS Mincho"/>
          <w:sz w:val="18"/>
          <w:szCs w:val="18"/>
          <w:lang w:eastAsia="nl-NL"/>
        </w:rPr>
      </w:pPr>
      <w:r w:rsidRPr="5479577D">
        <w:rPr>
          <w:rFonts w:ascii="Verdana" w:hAnsi="Verdana" w:eastAsia="MS Mincho"/>
          <w:sz w:val="18"/>
          <w:szCs w:val="18"/>
          <w:lang w:eastAsia="nl-NL"/>
        </w:rPr>
        <w:t>Het commissievoorstel zal naar Nederlandse verwachting geen gevolgen hebben voor (de belangen van) ontwikkelingslanden.</w:t>
      </w:r>
    </w:p>
    <w:bookmarkEnd w:id="0"/>
    <w:bookmarkEnd w:id="1"/>
    <w:sectPr w:rsidRPr="00062717" w:rsidR="00BF35EA" w:rsidSect="00BF35E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BED5" w14:textId="77777777" w:rsidR="00F431EF" w:rsidRDefault="00F431EF" w:rsidP="00BF35EA">
      <w:pPr>
        <w:spacing w:after="0" w:line="240" w:lineRule="auto"/>
      </w:pPr>
      <w:r>
        <w:separator/>
      </w:r>
    </w:p>
  </w:endnote>
  <w:endnote w:type="continuationSeparator" w:id="0">
    <w:p w14:paraId="49AA28BF" w14:textId="77777777" w:rsidR="00F431EF" w:rsidRDefault="00F431EF" w:rsidP="00BF35EA">
      <w:pPr>
        <w:spacing w:after="0" w:line="240" w:lineRule="auto"/>
      </w:pPr>
      <w:r>
        <w:continuationSeparator/>
      </w:r>
    </w:p>
  </w:endnote>
  <w:endnote w:type="continuationNotice" w:id="1">
    <w:p w14:paraId="6F046253" w14:textId="77777777" w:rsidR="00F431EF" w:rsidRDefault="00F43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85A0" w14:textId="77777777" w:rsidR="00D707F3" w:rsidRDefault="00D86D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1F49E8" w14:textId="77777777" w:rsidR="00D707F3" w:rsidRDefault="00D70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D9E8" w14:textId="77777777" w:rsidR="00D707F3" w:rsidRDefault="00D86D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356EC7" w14:textId="77777777" w:rsidR="00D707F3" w:rsidRDefault="00D707F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8CA3" w14:textId="77777777" w:rsidR="004D7460" w:rsidRDefault="004D7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0F09" w14:textId="77777777" w:rsidR="00F431EF" w:rsidRDefault="00F431EF" w:rsidP="00BF35EA">
      <w:pPr>
        <w:spacing w:after="0" w:line="240" w:lineRule="auto"/>
      </w:pPr>
      <w:r>
        <w:separator/>
      </w:r>
    </w:p>
  </w:footnote>
  <w:footnote w:type="continuationSeparator" w:id="0">
    <w:p w14:paraId="0E1B53EB" w14:textId="77777777" w:rsidR="00F431EF" w:rsidRDefault="00F431EF" w:rsidP="00BF35EA">
      <w:pPr>
        <w:spacing w:after="0" w:line="240" w:lineRule="auto"/>
      </w:pPr>
      <w:r>
        <w:continuationSeparator/>
      </w:r>
    </w:p>
  </w:footnote>
  <w:footnote w:type="continuationNotice" w:id="1">
    <w:p w14:paraId="436316A5" w14:textId="77777777" w:rsidR="00F431EF" w:rsidRDefault="00F431EF">
      <w:pPr>
        <w:spacing w:after="0" w:line="240" w:lineRule="auto"/>
      </w:pPr>
    </w:p>
  </w:footnote>
  <w:footnote w:id="2">
    <w:p w14:paraId="2851BEB1" w14:textId="2F87CA3D" w:rsidR="00551612" w:rsidRPr="00E506A0" w:rsidRDefault="00551612" w:rsidP="00C73F93">
      <w:pPr>
        <w:pStyle w:val="FootnoteText"/>
        <w:ind w:left="0" w:firstLine="0"/>
        <w:rPr>
          <w:rFonts w:ascii="Verdana" w:hAnsi="Verdana"/>
          <w:sz w:val="14"/>
          <w:szCs w:val="14"/>
        </w:rPr>
      </w:pPr>
      <w:r w:rsidRPr="00E506A0">
        <w:rPr>
          <w:rStyle w:val="FootnoteReference"/>
          <w:rFonts w:ascii="Verdana" w:hAnsi="Verdana"/>
          <w:sz w:val="14"/>
          <w:szCs w:val="14"/>
        </w:rPr>
        <w:footnoteRef/>
      </w:r>
      <w:r w:rsidRPr="00E506A0">
        <w:rPr>
          <w:rFonts w:ascii="Verdana" w:hAnsi="Verdana"/>
          <w:sz w:val="14"/>
          <w:szCs w:val="14"/>
        </w:rPr>
        <w:t xml:space="preserve"> </w:t>
      </w:r>
      <w:r w:rsidR="001601D4" w:rsidRPr="00E506A0">
        <w:rPr>
          <w:rFonts w:ascii="Verdana" w:hAnsi="Verdana"/>
          <w:sz w:val="14"/>
          <w:szCs w:val="14"/>
        </w:rPr>
        <w:t>Richtlijn 98/26/EG van het Europees Parlement en de Raad van 19 mei 1998 betreffende het definitieve karakter van de afwikkeling van betalingen en effectentransacties in betalings- en afwikkelingssystemen</w:t>
      </w:r>
      <w:r w:rsidR="00D31D24" w:rsidRPr="00E506A0">
        <w:rPr>
          <w:rFonts w:ascii="Verdana" w:hAnsi="Verdana"/>
          <w:sz w:val="14"/>
          <w:szCs w:val="14"/>
        </w:rPr>
        <w:t>.</w:t>
      </w:r>
    </w:p>
  </w:footnote>
  <w:footnote w:id="3">
    <w:p w14:paraId="408E6B01" w14:textId="77777777" w:rsidR="006E586A" w:rsidRPr="00E506A0" w:rsidRDefault="006E586A" w:rsidP="006E586A">
      <w:pPr>
        <w:pStyle w:val="FootnoteText"/>
        <w:ind w:left="0" w:firstLine="0"/>
        <w:rPr>
          <w:rFonts w:ascii="Verdana" w:hAnsi="Verdana"/>
          <w:sz w:val="14"/>
          <w:szCs w:val="14"/>
        </w:rPr>
      </w:pPr>
      <w:r w:rsidRPr="00E506A0">
        <w:rPr>
          <w:rStyle w:val="FootnoteReference"/>
          <w:rFonts w:ascii="Verdana" w:hAnsi="Verdana"/>
          <w:sz w:val="14"/>
          <w:szCs w:val="14"/>
        </w:rPr>
        <w:footnoteRef/>
      </w:r>
      <w:r w:rsidRPr="00E506A0">
        <w:rPr>
          <w:rFonts w:ascii="Verdana" w:hAnsi="Verdana"/>
          <w:sz w:val="14"/>
          <w:szCs w:val="14"/>
        </w:rPr>
        <w:t xml:space="preserve"> Dit zijn financiële marktpartijen zoals banken, centrale </w:t>
      </w:r>
      <w:proofErr w:type="spellStart"/>
      <w:r w:rsidRPr="00E506A0">
        <w:rPr>
          <w:rFonts w:ascii="Verdana" w:hAnsi="Verdana"/>
          <w:sz w:val="14"/>
          <w:szCs w:val="14"/>
        </w:rPr>
        <w:t>effectenbewaarinstellingen</w:t>
      </w:r>
      <w:proofErr w:type="spellEnd"/>
      <w:r w:rsidRPr="00E506A0">
        <w:rPr>
          <w:rFonts w:ascii="Verdana" w:hAnsi="Verdana"/>
          <w:sz w:val="14"/>
          <w:szCs w:val="14"/>
        </w:rPr>
        <w:t xml:space="preserve">, centrale tegenpartijen, beleggingsondernemingen en betaal- en </w:t>
      </w:r>
      <w:proofErr w:type="spellStart"/>
      <w:r w:rsidRPr="00E506A0">
        <w:rPr>
          <w:rFonts w:ascii="Verdana" w:hAnsi="Verdana"/>
          <w:sz w:val="14"/>
          <w:szCs w:val="14"/>
        </w:rPr>
        <w:t>elektronischgeldinstellingen</w:t>
      </w:r>
      <w:proofErr w:type="spellEnd"/>
      <w:r w:rsidRPr="00E506A0">
        <w:rPr>
          <w:rFonts w:ascii="Verdana" w:hAnsi="Verdana"/>
          <w:sz w:val="14"/>
          <w:szCs w:val="14"/>
        </w:rPr>
        <w:t xml:space="preserve">. </w:t>
      </w:r>
    </w:p>
  </w:footnote>
  <w:footnote w:id="4">
    <w:p w14:paraId="58373A66" w14:textId="066E1041" w:rsidR="001B15D0" w:rsidRPr="00E506A0" w:rsidRDefault="001B15D0" w:rsidP="00C73F93">
      <w:pPr>
        <w:pStyle w:val="FootnoteText"/>
        <w:ind w:left="0" w:firstLine="0"/>
        <w:rPr>
          <w:rFonts w:ascii="Verdana" w:hAnsi="Verdana"/>
          <w:sz w:val="14"/>
          <w:szCs w:val="14"/>
        </w:rPr>
      </w:pPr>
      <w:r w:rsidRPr="00E506A0">
        <w:rPr>
          <w:rStyle w:val="FootnoteReference"/>
          <w:rFonts w:ascii="Verdana" w:hAnsi="Verdana"/>
          <w:sz w:val="14"/>
          <w:szCs w:val="14"/>
        </w:rPr>
        <w:footnoteRef/>
      </w:r>
      <w:r w:rsidRPr="00E506A0">
        <w:rPr>
          <w:rFonts w:ascii="Verdana" w:hAnsi="Verdana"/>
          <w:sz w:val="14"/>
          <w:szCs w:val="14"/>
        </w:rPr>
        <w:t xml:space="preserve"> Zie </w:t>
      </w:r>
      <w:r w:rsidR="0083579F" w:rsidRPr="00E506A0">
        <w:rPr>
          <w:rFonts w:ascii="Verdana" w:hAnsi="Verdana"/>
          <w:sz w:val="14"/>
          <w:szCs w:val="14"/>
        </w:rPr>
        <w:t>Kamerstukken II 1998/99, 26 260, nr. 3, p. 4 e.v.</w:t>
      </w:r>
    </w:p>
  </w:footnote>
  <w:footnote w:id="5">
    <w:p w14:paraId="14355EAB" w14:textId="52469BCC" w:rsidR="0069448A" w:rsidRPr="00E506A0" w:rsidRDefault="0069448A" w:rsidP="00C73F93">
      <w:pPr>
        <w:pStyle w:val="FootnoteText"/>
        <w:ind w:left="0" w:firstLine="0"/>
        <w:rPr>
          <w:rFonts w:ascii="Verdana" w:hAnsi="Verdana"/>
          <w:sz w:val="14"/>
          <w:szCs w:val="14"/>
        </w:rPr>
      </w:pPr>
      <w:r w:rsidRPr="00E506A0">
        <w:rPr>
          <w:rStyle w:val="FootnoteReference"/>
          <w:rFonts w:ascii="Verdana" w:hAnsi="Verdana"/>
          <w:sz w:val="14"/>
          <w:szCs w:val="14"/>
        </w:rPr>
        <w:footnoteRef/>
      </w:r>
      <w:r w:rsidRPr="00E506A0">
        <w:rPr>
          <w:rFonts w:ascii="Verdana" w:hAnsi="Verdana"/>
          <w:sz w:val="14"/>
          <w:szCs w:val="14"/>
        </w:rPr>
        <w:t xml:space="preserve"> Dit betreft token-gebaseerde technologie die gebruik maakt van </w:t>
      </w:r>
      <w:proofErr w:type="spellStart"/>
      <w:r w:rsidRPr="00E506A0">
        <w:rPr>
          <w:rFonts w:ascii="Verdana" w:hAnsi="Verdana"/>
          <w:sz w:val="14"/>
          <w:szCs w:val="14"/>
        </w:rPr>
        <w:t>blockchains</w:t>
      </w:r>
      <w:proofErr w:type="spellEnd"/>
      <w:r w:rsidRPr="00E506A0">
        <w:rPr>
          <w:rFonts w:ascii="Verdana" w:hAnsi="Verdana"/>
          <w:sz w:val="14"/>
          <w:szCs w:val="14"/>
        </w:rPr>
        <w:t>, waarmee bijvoorbeeld de handel in crypto-valuta kan worden geregeld via zg., peer-to-peer netwerke</w:t>
      </w:r>
      <w:r w:rsidR="00951F93" w:rsidRPr="00E506A0">
        <w:rPr>
          <w:rFonts w:ascii="Verdana" w:hAnsi="Verdana"/>
          <w:sz w:val="14"/>
          <w:szCs w:val="14"/>
        </w:rPr>
        <w:t xml:space="preserve">n. </w:t>
      </w:r>
    </w:p>
  </w:footnote>
  <w:footnote w:id="6">
    <w:p w14:paraId="14650C32" w14:textId="77777777" w:rsidR="006E586A" w:rsidRPr="00E506A0" w:rsidRDefault="006E586A" w:rsidP="006E586A">
      <w:pPr>
        <w:pStyle w:val="FootnoteText"/>
        <w:rPr>
          <w:rFonts w:ascii="Verdana" w:hAnsi="Verdana"/>
          <w:sz w:val="14"/>
          <w:szCs w:val="14"/>
        </w:rPr>
      </w:pPr>
      <w:r w:rsidRPr="00E506A0">
        <w:rPr>
          <w:rStyle w:val="FootnoteReference"/>
          <w:rFonts w:ascii="Verdana" w:hAnsi="Verdana"/>
          <w:sz w:val="14"/>
          <w:szCs w:val="14"/>
        </w:rPr>
        <w:footnoteRef/>
      </w:r>
      <w:r w:rsidRPr="00E506A0">
        <w:rPr>
          <w:rFonts w:ascii="Verdana" w:hAnsi="Verdana"/>
          <w:sz w:val="14"/>
          <w:szCs w:val="14"/>
        </w:rPr>
        <w:t xml:space="preserve"> Kamerstukken II 2024/25, 21501-07, nr. 2099, p. 5.</w:t>
      </w:r>
    </w:p>
  </w:footnote>
  <w:footnote w:id="7">
    <w:p w14:paraId="43540214" w14:textId="77777777" w:rsidR="00FF5A82" w:rsidRPr="00E506A0" w:rsidRDefault="00FF5A82" w:rsidP="00FF5A82">
      <w:pPr>
        <w:pStyle w:val="FootnoteText"/>
        <w:ind w:left="0" w:firstLine="0"/>
        <w:rPr>
          <w:rFonts w:ascii="Verdana" w:hAnsi="Verdana"/>
          <w:sz w:val="14"/>
          <w:szCs w:val="14"/>
        </w:rPr>
      </w:pPr>
      <w:r w:rsidRPr="00E506A0">
        <w:rPr>
          <w:rStyle w:val="FootnoteReference"/>
          <w:rFonts w:ascii="Verdana" w:hAnsi="Verdana"/>
          <w:sz w:val="14"/>
          <w:szCs w:val="14"/>
        </w:rPr>
        <w:footnoteRef/>
      </w:r>
      <w:r w:rsidRPr="00E506A0">
        <w:rPr>
          <w:rFonts w:ascii="Verdana" w:hAnsi="Verdana"/>
          <w:sz w:val="14"/>
          <w:szCs w:val="14"/>
        </w:rPr>
        <w:t xml:space="preserve"> </w:t>
      </w:r>
      <w:proofErr w:type="spellStart"/>
      <w:r w:rsidRPr="00E506A0">
        <w:rPr>
          <w:rFonts w:ascii="Verdana" w:hAnsi="Verdana"/>
          <w:sz w:val="14"/>
          <w:szCs w:val="14"/>
        </w:rPr>
        <w:t>PbEU</w:t>
      </w:r>
      <w:proofErr w:type="spellEnd"/>
      <w:r w:rsidRPr="00E506A0">
        <w:rPr>
          <w:rFonts w:ascii="Verdana" w:hAnsi="Verdana"/>
          <w:sz w:val="14"/>
          <w:szCs w:val="14"/>
        </w:rPr>
        <w:t xml:space="preserve"> 2016, L 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A3D4" w14:textId="77777777" w:rsidR="004D7460" w:rsidRDefault="004D7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BEBE" w14:textId="77777777" w:rsidR="004D7460" w:rsidRDefault="004D7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272F" w14:textId="77777777" w:rsidR="004D7460" w:rsidRDefault="004D7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A9C"/>
    <w:multiLevelType w:val="hybridMultilevel"/>
    <w:tmpl w:val="8D0A35E4"/>
    <w:lvl w:ilvl="0" w:tplc="B2945A6C">
      <w:start w:val="1"/>
      <w:numFmt w:val="decimal"/>
      <w:lvlText w:val="%1."/>
      <w:lvlJc w:val="left"/>
      <w:pPr>
        <w:ind w:left="1920" w:hanging="360"/>
      </w:pPr>
    </w:lvl>
    <w:lvl w:ilvl="1" w:tplc="677A1BD2">
      <w:start w:val="1"/>
      <w:numFmt w:val="decimal"/>
      <w:lvlText w:val="%2."/>
      <w:lvlJc w:val="left"/>
      <w:pPr>
        <w:ind w:left="1920" w:hanging="360"/>
      </w:pPr>
    </w:lvl>
    <w:lvl w:ilvl="2" w:tplc="8E32BA92">
      <w:start w:val="1"/>
      <w:numFmt w:val="decimal"/>
      <w:lvlText w:val="%3."/>
      <w:lvlJc w:val="left"/>
      <w:pPr>
        <w:ind w:left="1920" w:hanging="360"/>
      </w:pPr>
    </w:lvl>
    <w:lvl w:ilvl="3" w:tplc="06C645A4">
      <w:start w:val="1"/>
      <w:numFmt w:val="decimal"/>
      <w:lvlText w:val="%4."/>
      <w:lvlJc w:val="left"/>
      <w:pPr>
        <w:ind w:left="1920" w:hanging="360"/>
      </w:pPr>
    </w:lvl>
    <w:lvl w:ilvl="4" w:tplc="1C1E0648">
      <w:start w:val="1"/>
      <w:numFmt w:val="decimal"/>
      <w:lvlText w:val="%5."/>
      <w:lvlJc w:val="left"/>
      <w:pPr>
        <w:ind w:left="1920" w:hanging="360"/>
      </w:pPr>
    </w:lvl>
    <w:lvl w:ilvl="5" w:tplc="34F63B8A">
      <w:start w:val="1"/>
      <w:numFmt w:val="decimal"/>
      <w:lvlText w:val="%6."/>
      <w:lvlJc w:val="left"/>
      <w:pPr>
        <w:ind w:left="1920" w:hanging="360"/>
      </w:pPr>
    </w:lvl>
    <w:lvl w:ilvl="6" w:tplc="AD9225B6">
      <w:start w:val="1"/>
      <w:numFmt w:val="decimal"/>
      <w:lvlText w:val="%7."/>
      <w:lvlJc w:val="left"/>
      <w:pPr>
        <w:ind w:left="1920" w:hanging="360"/>
      </w:pPr>
    </w:lvl>
    <w:lvl w:ilvl="7" w:tplc="4184ECE0">
      <w:start w:val="1"/>
      <w:numFmt w:val="decimal"/>
      <w:lvlText w:val="%8."/>
      <w:lvlJc w:val="left"/>
      <w:pPr>
        <w:ind w:left="1920" w:hanging="360"/>
      </w:pPr>
    </w:lvl>
    <w:lvl w:ilvl="8" w:tplc="EF7857E4">
      <w:start w:val="1"/>
      <w:numFmt w:val="decimal"/>
      <w:lvlText w:val="%9."/>
      <w:lvlJc w:val="left"/>
      <w:pPr>
        <w:ind w:left="1920" w:hanging="360"/>
      </w:pPr>
    </w:lvl>
  </w:abstractNum>
  <w:abstractNum w:abstractNumId="1" w15:restartNumberingAfterBreak="0">
    <w:nsid w:val="077952E6"/>
    <w:multiLevelType w:val="hybridMultilevel"/>
    <w:tmpl w:val="CD3024A0"/>
    <w:lvl w:ilvl="0" w:tplc="110C74A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A72C76"/>
    <w:multiLevelType w:val="hybridMultilevel"/>
    <w:tmpl w:val="D1AA02D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B274F76"/>
    <w:multiLevelType w:val="hybridMultilevel"/>
    <w:tmpl w:val="4BC4FC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C4586B"/>
    <w:multiLevelType w:val="hybridMultilevel"/>
    <w:tmpl w:val="A8649BA4"/>
    <w:lvl w:ilvl="0" w:tplc="5AD88512">
      <w:start w:val="1"/>
      <w:numFmt w:val="decimal"/>
      <w:lvlText w:val="%1."/>
      <w:lvlJc w:val="left"/>
      <w:pPr>
        <w:ind w:left="1920" w:hanging="360"/>
      </w:pPr>
    </w:lvl>
    <w:lvl w:ilvl="1" w:tplc="69C87F48">
      <w:start w:val="1"/>
      <w:numFmt w:val="decimal"/>
      <w:lvlText w:val="%2."/>
      <w:lvlJc w:val="left"/>
      <w:pPr>
        <w:ind w:left="1920" w:hanging="360"/>
      </w:pPr>
    </w:lvl>
    <w:lvl w:ilvl="2" w:tplc="57165108">
      <w:start w:val="1"/>
      <w:numFmt w:val="decimal"/>
      <w:lvlText w:val="%3."/>
      <w:lvlJc w:val="left"/>
      <w:pPr>
        <w:ind w:left="1920" w:hanging="360"/>
      </w:pPr>
    </w:lvl>
    <w:lvl w:ilvl="3" w:tplc="0178C5CC">
      <w:start w:val="1"/>
      <w:numFmt w:val="decimal"/>
      <w:lvlText w:val="%4."/>
      <w:lvlJc w:val="left"/>
      <w:pPr>
        <w:ind w:left="1920" w:hanging="360"/>
      </w:pPr>
    </w:lvl>
    <w:lvl w:ilvl="4" w:tplc="958809E6">
      <w:start w:val="1"/>
      <w:numFmt w:val="decimal"/>
      <w:lvlText w:val="%5."/>
      <w:lvlJc w:val="left"/>
      <w:pPr>
        <w:ind w:left="1920" w:hanging="360"/>
      </w:pPr>
    </w:lvl>
    <w:lvl w:ilvl="5" w:tplc="090C72CC">
      <w:start w:val="1"/>
      <w:numFmt w:val="decimal"/>
      <w:lvlText w:val="%6."/>
      <w:lvlJc w:val="left"/>
      <w:pPr>
        <w:ind w:left="1920" w:hanging="360"/>
      </w:pPr>
    </w:lvl>
    <w:lvl w:ilvl="6" w:tplc="79F87DAA">
      <w:start w:val="1"/>
      <w:numFmt w:val="decimal"/>
      <w:lvlText w:val="%7."/>
      <w:lvlJc w:val="left"/>
      <w:pPr>
        <w:ind w:left="1920" w:hanging="360"/>
      </w:pPr>
    </w:lvl>
    <w:lvl w:ilvl="7" w:tplc="73CCF1E4">
      <w:start w:val="1"/>
      <w:numFmt w:val="decimal"/>
      <w:lvlText w:val="%8."/>
      <w:lvlJc w:val="left"/>
      <w:pPr>
        <w:ind w:left="1920" w:hanging="360"/>
      </w:pPr>
    </w:lvl>
    <w:lvl w:ilvl="8" w:tplc="523C1F3C">
      <w:start w:val="1"/>
      <w:numFmt w:val="decimal"/>
      <w:lvlText w:val="%9."/>
      <w:lvlJc w:val="left"/>
      <w:pPr>
        <w:ind w:left="1920" w:hanging="360"/>
      </w:pPr>
    </w:lvl>
  </w:abstractNum>
  <w:abstractNum w:abstractNumId="7" w15:restartNumberingAfterBreak="0">
    <w:nsid w:val="1D0E6697"/>
    <w:multiLevelType w:val="hybridMultilevel"/>
    <w:tmpl w:val="F83E2F78"/>
    <w:lvl w:ilvl="0" w:tplc="6EDEABFC">
      <w:start w:val="1"/>
      <w:numFmt w:val="decimal"/>
      <w:lvlText w:val="%1."/>
      <w:lvlJc w:val="left"/>
      <w:pPr>
        <w:ind w:left="720" w:hanging="360"/>
      </w:pPr>
    </w:lvl>
    <w:lvl w:ilvl="1" w:tplc="5A70EB32">
      <w:start w:val="1"/>
      <w:numFmt w:val="decimal"/>
      <w:lvlText w:val="%2."/>
      <w:lvlJc w:val="left"/>
      <w:pPr>
        <w:ind w:left="720" w:hanging="360"/>
      </w:pPr>
    </w:lvl>
    <w:lvl w:ilvl="2" w:tplc="5B8EF1FE">
      <w:start w:val="1"/>
      <w:numFmt w:val="decimal"/>
      <w:lvlText w:val="%3."/>
      <w:lvlJc w:val="left"/>
      <w:pPr>
        <w:ind w:left="720" w:hanging="360"/>
      </w:pPr>
    </w:lvl>
    <w:lvl w:ilvl="3" w:tplc="55C038D0">
      <w:start w:val="1"/>
      <w:numFmt w:val="decimal"/>
      <w:lvlText w:val="%4."/>
      <w:lvlJc w:val="left"/>
      <w:pPr>
        <w:ind w:left="720" w:hanging="360"/>
      </w:pPr>
    </w:lvl>
    <w:lvl w:ilvl="4" w:tplc="CD98E75C">
      <w:start w:val="1"/>
      <w:numFmt w:val="decimal"/>
      <w:lvlText w:val="%5."/>
      <w:lvlJc w:val="left"/>
      <w:pPr>
        <w:ind w:left="720" w:hanging="360"/>
      </w:pPr>
    </w:lvl>
    <w:lvl w:ilvl="5" w:tplc="6B78602A">
      <w:start w:val="1"/>
      <w:numFmt w:val="decimal"/>
      <w:lvlText w:val="%6."/>
      <w:lvlJc w:val="left"/>
      <w:pPr>
        <w:ind w:left="720" w:hanging="360"/>
      </w:pPr>
    </w:lvl>
    <w:lvl w:ilvl="6" w:tplc="9306DD20">
      <w:start w:val="1"/>
      <w:numFmt w:val="decimal"/>
      <w:lvlText w:val="%7."/>
      <w:lvlJc w:val="left"/>
      <w:pPr>
        <w:ind w:left="720" w:hanging="360"/>
      </w:pPr>
    </w:lvl>
    <w:lvl w:ilvl="7" w:tplc="C2BE867A">
      <w:start w:val="1"/>
      <w:numFmt w:val="decimal"/>
      <w:lvlText w:val="%8."/>
      <w:lvlJc w:val="left"/>
      <w:pPr>
        <w:ind w:left="720" w:hanging="360"/>
      </w:pPr>
    </w:lvl>
    <w:lvl w:ilvl="8" w:tplc="5E1E0742">
      <w:start w:val="1"/>
      <w:numFmt w:val="decimal"/>
      <w:lvlText w:val="%9."/>
      <w:lvlJc w:val="left"/>
      <w:pPr>
        <w:ind w:left="720" w:hanging="360"/>
      </w:pPr>
    </w:lvl>
  </w:abstractNum>
  <w:abstractNum w:abstractNumId="8" w15:restartNumberingAfterBreak="0">
    <w:nsid w:val="1D322D39"/>
    <w:multiLevelType w:val="hybridMultilevel"/>
    <w:tmpl w:val="3242831A"/>
    <w:lvl w:ilvl="0" w:tplc="F5B83CD4">
      <w:start w:val="1"/>
      <w:numFmt w:val="decimal"/>
      <w:lvlText w:val="%1."/>
      <w:lvlJc w:val="left"/>
      <w:pPr>
        <w:ind w:left="1920" w:hanging="360"/>
      </w:pPr>
    </w:lvl>
    <w:lvl w:ilvl="1" w:tplc="F0FA5C4A">
      <w:start w:val="1"/>
      <w:numFmt w:val="decimal"/>
      <w:lvlText w:val="%2."/>
      <w:lvlJc w:val="left"/>
      <w:pPr>
        <w:ind w:left="1920" w:hanging="360"/>
      </w:pPr>
    </w:lvl>
    <w:lvl w:ilvl="2" w:tplc="0E80AD6C">
      <w:start w:val="1"/>
      <w:numFmt w:val="decimal"/>
      <w:lvlText w:val="%3."/>
      <w:lvlJc w:val="left"/>
      <w:pPr>
        <w:ind w:left="1920" w:hanging="360"/>
      </w:pPr>
    </w:lvl>
    <w:lvl w:ilvl="3" w:tplc="75F018BA">
      <w:start w:val="1"/>
      <w:numFmt w:val="decimal"/>
      <w:lvlText w:val="%4."/>
      <w:lvlJc w:val="left"/>
      <w:pPr>
        <w:ind w:left="1920" w:hanging="360"/>
      </w:pPr>
    </w:lvl>
    <w:lvl w:ilvl="4" w:tplc="1EFAA228">
      <w:start w:val="1"/>
      <w:numFmt w:val="decimal"/>
      <w:lvlText w:val="%5."/>
      <w:lvlJc w:val="left"/>
      <w:pPr>
        <w:ind w:left="1920" w:hanging="360"/>
      </w:pPr>
    </w:lvl>
    <w:lvl w:ilvl="5" w:tplc="7530214E">
      <w:start w:val="1"/>
      <w:numFmt w:val="decimal"/>
      <w:lvlText w:val="%6."/>
      <w:lvlJc w:val="left"/>
      <w:pPr>
        <w:ind w:left="1920" w:hanging="360"/>
      </w:pPr>
    </w:lvl>
    <w:lvl w:ilvl="6" w:tplc="059A4BF0">
      <w:start w:val="1"/>
      <w:numFmt w:val="decimal"/>
      <w:lvlText w:val="%7."/>
      <w:lvlJc w:val="left"/>
      <w:pPr>
        <w:ind w:left="1920" w:hanging="360"/>
      </w:pPr>
    </w:lvl>
    <w:lvl w:ilvl="7" w:tplc="A4B64524">
      <w:start w:val="1"/>
      <w:numFmt w:val="decimal"/>
      <w:lvlText w:val="%8."/>
      <w:lvlJc w:val="left"/>
      <w:pPr>
        <w:ind w:left="1920" w:hanging="360"/>
      </w:pPr>
    </w:lvl>
    <w:lvl w:ilvl="8" w:tplc="0268C1C8">
      <w:start w:val="1"/>
      <w:numFmt w:val="decimal"/>
      <w:lvlText w:val="%9."/>
      <w:lvlJc w:val="left"/>
      <w:pPr>
        <w:ind w:left="1920" w:hanging="360"/>
      </w:pPr>
    </w:lvl>
  </w:abstractNum>
  <w:abstractNum w:abstractNumId="9"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61911"/>
    <w:multiLevelType w:val="hybridMultilevel"/>
    <w:tmpl w:val="CDDADD3E"/>
    <w:lvl w:ilvl="0" w:tplc="118804C6">
      <w:start w:val="1"/>
      <w:numFmt w:val="decimal"/>
      <w:lvlText w:val="%1."/>
      <w:lvlJc w:val="left"/>
      <w:pPr>
        <w:ind w:left="1920" w:hanging="360"/>
      </w:pPr>
    </w:lvl>
    <w:lvl w:ilvl="1" w:tplc="A14EA71A">
      <w:start w:val="1"/>
      <w:numFmt w:val="decimal"/>
      <w:lvlText w:val="%2."/>
      <w:lvlJc w:val="left"/>
      <w:pPr>
        <w:ind w:left="1920" w:hanging="360"/>
      </w:pPr>
    </w:lvl>
    <w:lvl w:ilvl="2" w:tplc="0026FFCC">
      <w:start w:val="1"/>
      <w:numFmt w:val="decimal"/>
      <w:lvlText w:val="%3."/>
      <w:lvlJc w:val="left"/>
      <w:pPr>
        <w:ind w:left="1920" w:hanging="360"/>
      </w:pPr>
    </w:lvl>
    <w:lvl w:ilvl="3" w:tplc="CFDA57D2">
      <w:start w:val="1"/>
      <w:numFmt w:val="decimal"/>
      <w:lvlText w:val="%4."/>
      <w:lvlJc w:val="left"/>
      <w:pPr>
        <w:ind w:left="1920" w:hanging="360"/>
      </w:pPr>
    </w:lvl>
    <w:lvl w:ilvl="4" w:tplc="796487BE">
      <w:start w:val="1"/>
      <w:numFmt w:val="decimal"/>
      <w:lvlText w:val="%5."/>
      <w:lvlJc w:val="left"/>
      <w:pPr>
        <w:ind w:left="1920" w:hanging="360"/>
      </w:pPr>
    </w:lvl>
    <w:lvl w:ilvl="5" w:tplc="0B2297E2">
      <w:start w:val="1"/>
      <w:numFmt w:val="decimal"/>
      <w:lvlText w:val="%6."/>
      <w:lvlJc w:val="left"/>
      <w:pPr>
        <w:ind w:left="1920" w:hanging="360"/>
      </w:pPr>
    </w:lvl>
    <w:lvl w:ilvl="6" w:tplc="39780438">
      <w:start w:val="1"/>
      <w:numFmt w:val="decimal"/>
      <w:lvlText w:val="%7."/>
      <w:lvlJc w:val="left"/>
      <w:pPr>
        <w:ind w:left="1920" w:hanging="360"/>
      </w:pPr>
    </w:lvl>
    <w:lvl w:ilvl="7" w:tplc="2290411A">
      <w:start w:val="1"/>
      <w:numFmt w:val="decimal"/>
      <w:lvlText w:val="%8."/>
      <w:lvlJc w:val="left"/>
      <w:pPr>
        <w:ind w:left="1920" w:hanging="360"/>
      </w:pPr>
    </w:lvl>
    <w:lvl w:ilvl="8" w:tplc="FDEE52A8">
      <w:start w:val="1"/>
      <w:numFmt w:val="decimal"/>
      <w:lvlText w:val="%9."/>
      <w:lvlJc w:val="left"/>
      <w:pPr>
        <w:ind w:left="1920" w:hanging="360"/>
      </w:pPr>
    </w:lvl>
  </w:abstractNum>
  <w:abstractNum w:abstractNumId="11" w15:restartNumberingAfterBreak="0">
    <w:nsid w:val="232217ED"/>
    <w:multiLevelType w:val="hybridMultilevel"/>
    <w:tmpl w:val="1CF8A21C"/>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4877F88"/>
    <w:multiLevelType w:val="hybridMultilevel"/>
    <w:tmpl w:val="A24CB76E"/>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80C0F9E"/>
    <w:multiLevelType w:val="hybridMultilevel"/>
    <w:tmpl w:val="4112A90E"/>
    <w:lvl w:ilvl="0" w:tplc="09D2068C">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322A5B"/>
    <w:multiLevelType w:val="hybridMultilevel"/>
    <w:tmpl w:val="D74054A8"/>
    <w:lvl w:ilvl="0" w:tplc="C96A78AC">
      <w:numFmt w:val="bullet"/>
      <w:lvlText w:val="-"/>
      <w:lvlJc w:val="left"/>
      <w:pPr>
        <w:ind w:left="720" w:hanging="360"/>
      </w:pPr>
      <w:rPr>
        <w:rFonts w:ascii="Roboto" w:eastAsia="Times New Roman" w:hAnsi="Roboto" w:cs="Times New Roman" w:hint="default"/>
        <w:b/>
        <w:color w:val="333333"/>
        <w:sz w:val="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510DF2"/>
    <w:multiLevelType w:val="hybridMultilevel"/>
    <w:tmpl w:val="674415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0918B7"/>
    <w:multiLevelType w:val="hybridMultilevel"/>
    <w:tmpl w:val="A3847A6E"/>
    <w:lvl w:ilvl="0" w:tplc="09D2068C">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7C5124"/>
    <w:multiLevelType w:val="hybridMultilevel"/>
    <w:tmpl w:val="366C4032"/>
    <w:lvl w:ilvl="0" w:tplc="3B627232">
      <w:start w:val="1"/>
      <w:numFmt w:val="decimal"/>
      <w:lvlText w:val="%1."/>
      <w:lvlJc w:val="left"/>
      <w:pPr>
        <w:ind w:left="720" w:hanging="360"/>
      </w:pPr>
    </w:lvl>
    <w:lvl w:ilvl="1" w:tplc="7B665550">
      <w:start w:val="1"/>
      <w:numFmt w:val="decimal"/>
      <w:lvlText w:val="%2."/>
      <w:lvlJc w:val="left"/>
      <w:pPr>
        <w:ind w:left="720" w:hanging="360"/>
      </w:pPr>
    </w:lvl>
    <w:lvl w:ilvl="2" w:tplc="58949630">
      <w:start w:val="1"/>
      <w:numFmt w:val="decimal"/>
      <w:lvlText w:val="%3."/>
      <w:lvlJc w:val="left"/>
      <w:pPr>
        <w:ind w:left="720" w:hanging="360"/>
      </w:pPr>
    </w:lvl>
    <w:lvl w:ilvl="3" w:tplc="463022EA">
      <w:start w:val="1"/>
      <w:numFmt w:val="decimal"/>
      <w:lvlText w:val="%4."/>
      <w:lvlJc w:val="left"/>
      <w:pPr>
        <w:ind w:left="720" w:hanging="360"/>
      </w:pPr>
    </w:lvl>
    <w:lvl w:ilvl="4" w:tplc="E1181534">
      <w:start w:val="1"/>
      <w:numFmt w:val="decimal"/>
      <w:lvlText w:val="%5."/>
      <w:lvlJc w:val="left"/>
      <w:pPr>
        <w:ind w:left="720" w:hanging="360"/>
      </w:pPr>
    </w:lvl>
    <w:lvl w:ilvl="5" w:tplc="D19AAD2A">
      <w:start w:val="1"/>
      <w:numFmt w:val="decimal"/>
      <w:lvlText w:val="%6."/>
      <w:lvlJc w:val="left"/>
      <w:pPr>
        <w:ind w:left="720" w:hanging="360"/>
      </w:pPr>
    </w:lvl>
    <w:lvl w:ilvl="6" w:tplc="B980FB5C">
      <w:start w:val="1"/>
      <w:numFmt w:val="decimal"/>
      <w:lvlText w:val="%7."/>
      <w:lvlJc w:val="left"/>
      <w:pPr>
        <w:ind w:left="720" w:hanging="360"/>
      </w:pPr>
    </w:lvl>
    <w:lvl w:ilvl="7" w:tplc="A1085B92">
      <w:start w:val="1"/>
      <w:numFmt w:val="decimal"/>
      <w:lvlText w:val="%8."/>
      <w:lvlJc w:val="left"/>
      <w:pPr>
        <w:ind w:left="720" w:hanging="360"/>
      </w:pPr>
    </w:lvl>
    <w:lvl w:ilvl="8" w:tplc="7716E48C">
      <w:start w:val="1"/>
      <w:numFmt w:val="decimal"/>
      <w:lvlText w:val="%9."/>
      <w:lvlJc w:val="left"/>
      <w:pPr>
        <w:ind w:left="720" w:hanging="360"/>
      </w:pPr>
    </w:lvl>
  </w:abstractNum>
  <w:abstractNum w:abstractNumId="18" w15:restartNumberingAfterBreak="0">
    <w:nsid w:val="324D6E7B"/>
    <w:multiLevelType w:val="hybridMultilevel"/>
    <w:tmpl w:val="8E500660"/>
    <w:lvl w:ilvl="0" w:tplc="DB32BE3C">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4C94207"/>
    <w:multiLevelType w:val="hybridMultilevel"/>
    <w:tmpl w:val="ED40632E"/>
    <w:lvl w:ilvl="0" w:tplc="005C0D8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C17712"/>
    <w:multiLevelType w:val="hybridMultilevel"/>
    <w:tmpl w:val="748A6DC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F402FAB"/>
    <w:multiLevelType w:val="hybridMultilevel"/>
    <w:tmpl w:val="D07CCC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F6D6802"/>
    <w:multiLevelType w:val="hybridMultilevel"/>
    <w:tmpl w:val="B2E483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1396276"/>
    <w:multiLevelType w:val="hybridMultilevel"/>
    <w:tmpl w:val="BD62F3E4"/>
    <w:lvl w:ilvl="0" w:tplc="CB480672">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5510307"/>
    <w:multiLevelType w:val="hybridMultilevel"/>
    <w:tmpl w:val="D26ACDF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6AA2732"/>
    <w:multiLevelType w:val="hybridMultilevel"/>
    <w:tmpl w:val="CAE2B7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30"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E3A534B"/>
    <w:multiLevelType w:val="hybridMultilevel"/>
    <w:tmpl w:val="65C48694"/>
    <w:lvl w:ilvl="0" w:tplc="6BD66FC2">
      <w:start w:val="1"/>
      <w:numFmt w:val="decimal"/>
      <w:lvlText w:val="%1."/>
      <w:lvlJc w:val="left"/>
      <w:pPr>
        <w:ind w:left="1020" w:hanging="360"/>
      </w:pPr>
    </w:lvl>
    <w:lvl w:ilvl="1" w:tplc="CE3ED3F4">
      <w:start w:val="1"/>
      <w:numFmt w:val="decimal"/>
      <w:lvlText w:val="%2."/>
      <w:lvlJc w:val="left"/>
      <w:pPr>
        <w:ind w:left="1020" w:hanging="360"/>
      </w:pPr>
    </w:lvl>
    <w:lvl w:ilvl="2" w:tplc="F13669AC">
      <w:start w:val="1"/>
      <w:numFmt w:val="decimal"/>
      <w:lvlText w:val="%3."/>
      <w:lvlJc w:val="left"/>
      <w:pPr>
        <w:ind w:left="1020" w:hanging="360"/>
      </w:pPr>
    </w:lvl>
    <w:lvl w:ilvl="3" w:tplc="75CED5AE">
      <w:start w:val="1"/>
      <w:numFmt w:val="decimal"/>
      <w:lvlText w:val="%4."/>
      <w:lvlJc w:val="left"/>
      <w:pPr>
        <w:ind w:left="1020" w:hanging="360"/>
      </w:pPr>
    </w:lvl>
    <w:lvl w:ilvl="4" w:tplc="1980BA1A">
      <w:start w:val="1"/>
      <w:numFmt w:val="decimal"/>
      <w:lvlText w:val="%5."/>
      <w:lvlJc w:val="left"/>
      <w:pPr>
        <w:ind w:left="1020" w:hanging="360"/>
      </w:pPr>
    </w:lvl>
    <w:lvl w:ilvl="5" w:tplc="FDD802FE">
      <w:start w:val="1"/>
      <w:numFmt w:val="decimal"/>
      <w:lvlText w:val="%6."/>
      <w:lvlJc w:val="left"/>
      <w:pPr>
        <w:ind w:left="1020" w:hanging="360"/>
      </w:pPr>
    </w:lvl>
    <w:lvl w:ilvl="6" w:tplc="103AC72A">
      <w:start w:val="1"/>
      <w:numFmt w:val="decimal"/>
      <w:lvlText w:val="%7."/>
      <w:lvlJc w:val="left"/>
      <w:pPr>
        <w:ind w:left="1020" w:hanging="360"/>
      </w:pPr>
    </w:lvl>
    <w:lvl w:ilvl="7" w:tplc="291220DC">
      <w:start w:val="1"/>
      <w:numFmt w:val="decimal"/>
      <w:lvlText w:val="%8."/>
      <w:lvlJc w:val="left"/>
      <w:pPr>
        <w:ind w:left="1020" w:hanging="360"/>
      </w:pPr>
    </w:lvl>
    <w:lvl w:ilvl="8" w:tplc="EE02694E">
      <w:start w:val="1"/>
      <w:numFmt w:val="decimal"/>
      <w:lvlText w:val="%9."/>
      <w:lvlJc w:val="left"/>
      <w:pPr>
        <w:ind w:left="1020" w:hanging="360"/>
      </w:pPr>
    </w:lvl>
  </w:abstractNum>
  <w:abstractNum w:abstractNumId="32" w15:restartNumberingAfterBreak="0">
    <w:nsid w:val="547B2F35"/>
    <w:multiLevelType w:val="hybridMultilevel"/>
    <w:tmpl w:val="D680903C"/>
    <w:lvl w:ilvl="0" w:tplc="E31433D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DA7EB6"/>
    <w:multiLevelType w:val="hybridMultilevel"/>
    <w:tmpl w:val="450A253E"/>
    <w:lvl w:ilvl="0" w:tplc="A418C4E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ABF13DC"/>
    <w:multiLevelType w:val="hybridMultilevel"/>
    <w:tmpl w:val="2F1CD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D13662F"/>
    <w:multiLevelType w:val="hybridMultilevel"/>
    <w:tmpl w:val="B33216FE"/>
    <w:lvl w:ilvl="0" w:tplc="A6C8E09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E860A1D"/>
    <w:multiLevelType w:val="multilevel"/>
    <w:tmpl w:val="5060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004AE0"/>
    <w:multiLevelType w:val="hybridMultilevel"/>
    <w:tmpl w:val="66123396"/>
    <w:lvl w:ilvl="0" w:tplc="818667DC">
      <w:start w:val="1"/>
      <w:numFmt w:val="decimal"/>
      <w:lvlText w:val="%1."/>
      <w:lvlJc w:val="left"/>
      <w:pPr>
        <w:ind w:left="1920" w:hanging="360"/>
      </w:pPr>
    </w:lvl>
    <w:lvl w:ilvl="1" w:tplc="C55600D6">
      <w:start w:val="1"/>
      <w:numFmt w:val="decimal"/>
      <w:lvlText w:val="%2."/>
      <w:lvlJc w:val="left"/>
      <w:pPr>
        <w:ind w:left="1920" w:hanging="360"/>
      </w:pPr>
    </w:lvl>
    <w:lvl w:ilvl="2" w:tplc="4D58A1CE">
      <w:start w:val="1"/>
      <w:numFmt w:val="decimal"/>
      <w:lvlText w:val="%3."/>
      <w:lvlJc w:val="left"/>
      <w:pPr>
        <w:ind w:left="1920" w:hanging="360"/>
      </w:pPr>
    </w:lvl>
    <w:lvl w:ilvl="3" w:tplc="DF7C217C">
      <w:start w:val="1"/>
      <w:numFmt w:val="decimal"/>
      <w:lvlText w:val="%4."/>
      <w:lvlJc w:val="left"/>
      <w:pPr>
        <w:ind w:left="1920" w:hanging="360"/>
      </w:pPr>
    </w:lvl>
    <w:lvl w:ilvl="4" w:tplc="F3F80BB2">
      <w:start w:val="1"/>
      <w:numFmt w:val="decimal"/>
      <w:lvlText w:val="%5."/>
      <w:lvlJc w:val="left"/>
      <w:pPr>
        <w:ind w:left="1920" w:hanging="360"/>
      </w:pPr>
    </w:lvl>
    <w:lvl w:ilvl="5" w:tplc="F480845A">
      <w:start w:val="1"/>
      <w:numFmt w:val="decimal"/>
      <w:lvlText w:val="%6."/>
      <w:lvlJc w:val="left"/>
      <w:pPr>
        <w:ind w:left="1920" w:hanging="360"/>
      </w:pPr>
    </w:lvl>
    <w:lvl w:ilvl="6" w:tplc="119AA2C4">
      <w:start w:val="1"/>
      <w:numFmt w:val="decimal"/>
      <w:lvlText w:val="%7."/>
      <w:lvlJc w:val="left"/>
      <w:pPr>
        <w:ind w:left="1920" w:hanging="360"/>
      </w:pPr>
    </w:lvl>
    <w:lvl w:ilvl="7" w:tplc="E60055B2">
      <w:start w:val="1"/>
      <w:numFmt w:val="decimal"/>
      <w:lvlText w:val="%8."/>
      <w:lvlJc w:val="left"/>
      <w:pPr>
        <w:ind w:left="1920" w:hanging="360"/>
      </w:pPr>
    </w:lvl>
    <w:lvl w:ilvl="8" w:tplc="139CA76C">
      <w:start w:val="1"/>
      <w:numFmt w:val="decimal"/>
      <w:lvlText w:val="%9."/>
      <w:lvlJc w:val="left"/>
      <w:pPr>
        <w:ind w:left="1920" w:hanging="360"/>
      </w:pPr>
    </w:lvl>
  </w:abstractNum>
  <w:abstractNum w:abstractNumId="38"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23B3789"/>
    <w:multiLevelType w:val="hybridMultilevel"/>
    <w:tmpl w:val="A094F8AE"/>
    <w:lvl w:ilvl="0" w:tplc="DE02B6CE">
      <w:start w:val="1"/>
      <w:numFmt w:val="decimal"/>
      <w:lvlText w:val="%1."/>
      <w:lvlJc w:val="left"/>
      <w:pPr>
        <w:ind w:left="1920" w:hanging="360"/>
      </w:pPr>
    </w:lvl>
    <w:lvl w:ilvl="1" w:tplc="841A5E22">
      <w:start w:val="1"/>
      <w:numFmt w:val="decimal"/>
      <w:lvlText w:val="%2."/>
      <w:lvlJc w:val="left"/>
      <w:pPr>
        <w:ind w:left="1920" w:hanging="360"/>
      </w:pPr>
    </w:lvl>
    <w:lvl w:ilvl="2" w:tplc="AC6C4FF2">
      <w:start w:val="1"/>
      <w:numFmt w:val="decimal"/>
      <w:lvlText w:val="%3."/>
      <w:lvlJc w:val="left"/>
      <w:pPr>
        <w:ind w:left="1920" w:hanging="360"/>
      </w:pPr>
    </w:lvl>
    <w:lvl w:ilvl="3" w:tplc="80F47D0C">
      <w:start w:val="1"/>
      <w:numFmt w:val="decimal"/>
      <w:lvlText w:val="%4."/>
      <w:lvlJc w:val="left"/>
      <w:pPr>
        <w:ind w:left="1920" w:hanging="360"/>
      </w:pPr>
    </w:lvl>
    <w:lvl w:ilvl="4" w:tplc="BBD2D9BC">
      <w:start w:val="1"/>
      <w:numFmt w:val="decimal"/>
      <w:lvlText w:val="%5."/>
      <w:lvlJc w:val="left"/>
      <w:pPr>
        <w:ind w:left="1920" w:hanging="360"/>
      </w:pPr>
    </w:lvl>
    <w:lvl w:ilvl="5" w:tplc="90F6BA8E">
      <w:start w:val="1"/>
      <w:numFmt w:val="decimal"/>
      <w:lvlText w:val="%6."/>
      <w:lvlJc w:val="left"/>
      <w:pPr>
        <w:ind w:left="1920" w:hanging="360"/>
      </w:pPr>
    </w:lvl>
    <w:lvl w:ilvl="6" w:tplc="6398321E">
      <w:start w:val="1"/>
      <w:numFmt w:val="decimal"/>
      <w:lvlText w:val="%7."/>
      <w:lvlJc w:val="left"/>
      <w:pPr>
        <w:ind w:left="1920" w:hanging="360"/>
      </w:pPr>
    </w:lvl>
    <w:lvl w:ilvl="7" w:tplc="FE4A1BFE">
      <w:start w:val="1"/>
      <w:numFmt w:val="decimal"/>
      <w:lvlText w:val="%8."/>
      <w:lvlJc w:val="left"/>
      <w:pPr>
        <w:ind w:left="1920" w:hanging="360"/>
      </w:pPr>
    </w:lvl>
    <w:lvl w:ilvl="8" w:tplc="658077DA">
      <w:start w:val="1"/>
      <w:numFmt w:val="decimal"/>
      <w:lvlText w:val="%9."/>
      <w:lvlJc w:val="left"/>
      <w:pPr>
        <w:ind w:left="1920" w:hanging="360"/>
      </w:pPr>
    </w:lvl>
  </w:abstractNum>
  <w:abstractNum w:abstractNumId="40"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74813B5"/>
    <w:multiLevelType w:val="hybridMultilevel"/>
    <w:tmpl w:val="9336E8F4"/>
    <w:lvl w:ilvl="0" w:tplc="840AFEF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2F43DFB"/>
    <w:multiLevelType w:val="hybridMultilevel"/>
    <w:tmpl w:val="114E33F6"/>
    <w:lvl w:ilvl="0" w:tplc="DCA08A02">
      <w:start w:val="1"/>
      <w:numFmt w:val="decimal"/>
      <w:lvlText w:val="%1."/>
      <w:lvlJc w:val="left"/>
      <w:pPr>
        <w:ind w:left="1920" w:hanging="360"/>
      </w:pPr>
    </w:lvl>
    <w:lvl w:ilvl="1" w:tplc="FE30109C">
      <w:start w:val="1"/>
      <w:numFmt w:val="decimal"/>
      <w:lvlText w:val="%2."/>
      <w:lvlJc w:val="left"/>
      <w:pPr>
        <w:ind w:left="1920" w:hanging="360"/>
      </w:pPr>
    </w:lvl>
    <w:lvl w:ilvl="2" w:tplc="AFA249B4">
      <w:start w:val="1"/>
      <w:numFmt w:val="decimal"/>
      <w:lvlText w:val="%3."/>
      <w:lvlJc w:val="left"/>
      <w:pPr>
        <w:ind w:left="1920" w:hanging="360"/>
      </w:pPr>
    </w:lvl>
    <w:lvl w:ilvl="3" w:tplc="E8C20402">
      <w:start w:val="1"/>
      <w:numFmt w:val="decimal"/>
      <w:lvlText w:val="%4."/>
      <w:lvlJc w:val="left"/>
      <w:pPr>
        <w:ind w:left="1920" w:hanging="360"/>
      </w:pPr>
    </w:lvl>
    <w:lvl w:ilvl="4" w:tplc="389C35E8">
      <w:start w:val="1"/>
      <w:numFmt w:val="decimal"/>
      <w:lvlText w:val="%5."/>
      <w:lvlJc w:val="left"/>
      <w:pPr>
        <w:ind w:left="1920" w:hanging="360"/>
      </w:pPr>
    </w:lvl>
    <w:lvl w:ilvl="5" w:tplc="6BE0D0A0">
      <w:start w:val="1"/>
      <w:numFmt w:val="decimal"/>
      <w:lvlText w:val="%6."/>
      <w:lvlJc w:val="left"/>
      <w:pPr>
        <w:ind w:left="1920" w:hanging="360"/>
      </w:pPr>
    </w:lvl>
    <w:lvl w:ilvl="6" w:tplc="22F0B8F6">
      <w:start w:val="1"/>
      <w:numFmt w:val="decimal"/>
      <w:lvlText w:val="%7."/>
      <w:lvlJc w:val="left"/>
      <w:pPr>
        <w:ind w:left="1920" w:hanging="360"/>
      </w:pPr>
    </w:lvl>
    <w:lvl w:ilvl="7" w:tplc="4532E906">
      <w:start w:val="1"/>
      <w:numFmt w:val="decimal"/>
      <w:lvlText w:val="%8."/>
      <w:lvlJc w:val="left"/>
      <w:pPr>
        <w:ind w:left="1920" w:hanging="360"/>
      </w:pPr>
    </w:lvl>
    <w:lvl w:ilvl="8" w:tplc="17C2B996">
      <w:start w:val="1"/>
      <w:numFmt w:val="decimal"/>
      <w:lvlText w:val="%9."/>
      <w:lvlJc w:val="left"/>
      <w:pPr>
        <w:ind w:left="1920" w:hanging="360"/>
      </w:pPr>
    </w:lvl>
  </w:abstractNum>
  <w:abstractNum w:abstractNumId="45" w15:restartNumberingAfterBreak="0">
    <w:nsid w:val="74884A08"/>
    <w:multiLevelType w:val="hybridMultilevel"/>
    <w:tmpl w:val="748A6D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8FF33D9"/>
    <w:multiLevelType w:val="hybridMultilevel"/>
    <w:tmpl w:val="7F92A9D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7" w15:restartNumberingAfterBreak="0">
    <w:nsid w:val="7B257CF8"/>
    <w:multiLevelType w:val="hybridMultilevel"/>
    <w:tmpl w:val="3460A57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C202DB9"/>
    <w:multiLevelType w:val="hybridMultilevel"/>
    <w:tmpl w:val="991C74EE"/>
    <w:lvl w:ilvl="0" w:tplc="64324134">
      <w:start w:val="1"/>
      <w:numFmt w:val="decimal"/>
      <w:lvlText w:val="%1."/>
      <w:lvlJc w:val="left"/>
      <w:pPr>
        <w:ind w:left="1920" w:hanging="360"/>
      </w:pPr>
    </w:lvl>
    <w:lvl w:ilvl="1" w:tplc="F7FE93D8">
      <w:start w:val="1"/>
      <w:numFmt w:val="decimal"/>
      <w:lvlText w:val="%2."/>
      <w:lvlJc w:val="left"/>
      <w:pPr>
        <w:ind w:left="1920" w:hanging="360"/>
      </w:pPr>
    </w:lvl>
    <w:lvl w:ilvl="2" w:tplc="6348196A">
      <w:start w:val="1"/>
      <w:numFmt w:val="decimal"/>
      <w:lvlText w:val="%3."/>
      <w:lvlJc w:val="left"/>
      <w:pPr>
        <w:ind w:left="1920" w:hanging="360"/>
      </w:pPr>
    </w:lvl>
    <w:lvl w:ilvl="3" w:tplc="414C6FBE">
      <w:start w:val="1"/>
      <w:numFmt w:val="decimal"/>
      <w:lvlText w:val="%4."/>
      <w:lvlJc w:val="left"/>
      <w:pPr>
        <w:ind w:left="1920" w:hanging="360"/>
      </w:pPr>
    </w:lvl>
    <w:lvl w:ilvl="4" w:tplc="2DFC64B4">
      <w:start w:val="1"/>
      <w:numFmt w:val="decimal"/>
      <w:lvlText w:val="%5."/>
      <w:lvlJc w:val="left"/>
      <w:pPr>
        <w:ind w:left="1920" w:hanging="360"/>
      </w:pPr>
    </w:lvl>
    <w:lvl w:ilvl="5" w:tplc="CDD28A64">
      <w:start w:val="1"/>
      <w:numFmt w:val="decimal"/>
      <w:lvlText w:val="%6."/>
      <w:lvlJc w:val="left"/>
      <w:pPr>
        <w:ind w:left="1920" w:hanging="360"/>
      </w:pPr>
    </w:lvl>
    <w:lvl w:ilvl="6" w:tplc="C8C0F50C">
      <w:start w:val="1"/>
      <w:numFmt w:val="decimal"/>
      <w:lvlText w:val="%7."/>
      <w:lvlJc w:val="left"/>
      <w:pPr>
        <w:ind w:left="1920" w:hanging="360"/>
      </w:pPr>
    </w:lvl>
    <w:lvl w:ilvl="7" w:tplc="721610EA">
      <w:start w:val="1"/>
      <w:numFmt w:val="decimal"/>
      <w:lvlText w:val="%8."/>
      <w:lvlJc w:val="left"/>
      <w:pPr>
        <w:ind w:left="1920" w:hanging="360"/>
      </w:pPr>
    </w:lvl>
    <w:lvl w:ilvl="8" w:tplc="38F443FE">
      <w:start w:val="1"/>
      <w:numFmt w:val="decimal"/>
      <w:lvlText w:val="%9."/>
      <w:lvlJc w:val="left"/>
      <w:pPr>
        <w:ind w:left="1920" w:hanging="360"/>
      </w:pPr>
    </w:lvl>
  </w:abstractNum>
  <w:num w:numId="1" w16cid:durableId="1744520907">
    <w:abstractNumId w:val="29"/>
  </w:num>
  <w:num w:numId="2" w16cid:durableId="461726297">
    <w:abstractNumId w:val="9"/>
  </w:num>
  <w:num w:numId="3" w16cid:durableId="1234925543">
    <w:abstractNumId w:val="43"/>
  </w:num>
  <w:num w:numId="4" w16cid:durableId="1023557809">
    <w:abstractNumId w:val="30"/>
  </w:num>
  <w:num w:numId="5" w16cid:durableId="1985238766">
    <w:abstractNumId w:val="40"/>
  </w:num>
  <w:num w:numId="6" w16cid:durableId="497968726">
    <w:abstractNumId w:val="24"/>
  </w:num>
  <w:num w:numId="7" w16cid:durableId="1205173048">
    <w:abstractNumId w:val="19"/>
  </w:num>
  <w:num w:numId="8" w16cid:durableId="1654872442">
    <w:abstractNumId w:val="41"/>
  </w:num>
  <w:num w:numId="9" w16cid:durableId="2018993066">
    <w:abstractNumId w:val="26"/>
  </w:num>
  <w:num w:numId="10" w16cid:durableId="895361123">
    <w:abstractNumId w:val="2"/>
  </w:num>
  <w:num w:numId="11" w16cid:durableId="556168138">
    <w:abstractNumId w:val="38"/>
  </w:num>
  <w:num w:numId="12" w16cid:durableId="1862082493">
    <w:abstractNumId w:val="32"/>
  </w:num>
  <w:num w:numId="13" w16cid:durableId="1091513471">
    <w:abstractNumId w:val="4"/>
  </w:num>
  <w:num w:numId="14" w16cid:durableId="1287809658">
    <w:abstractNumId w:val="47"/>
  </w:num>
  <w:num w:numId="15" w16cid:durableId="627318501">
    <w:abstractNumId w:val="5"/>
  </w:num>
  <w:num w:numId="16" w16cid:durableId="2031373522">
    <w:abstractNumId w:val="18"/>
  </w:num>
  <w:num w:numId="17" w16cid:durableId="1759671566">
    <w:abstractNumId w:val="22"/>
  </w:num>
  <w:num w:numId="18" w16cid:durableId="1947301293">
    <w:abstractNumId w:val="34"/>
  </w:num>
  <w:num w:numId="19" w16cid:durableId="1223171596">
    <w:abstractNumId w:val="33"/>
  </w:num>
  <w:num w:numId="20" w16cid:durableId="2059276951">
    <w:abstractNumId w:val="13"/>
  </w:num>
  <w:num w:numId="21" w16cid:durableId="1371884645">
    <w:abstractNumId w:val="16"/>
  </w:num>
  <w:num w:numId="22" w16cid:durableId="285238785">
    <w:abstractNumId w:val="46"/>
  </w:num>
  <w:num w:numId="23" w16cid:durableId="205146000">
    <w:abstractNumId w:val="3"/>
  </w:num>
  <w:num w:numId="24" w16cid:durableId="486635073">
    <w:abstractNumId w:val="39"/>
  </w:num>
  <w:num w:numId="25" w16cid:durableId="1730491996">
    <w:abstractNumId w:val="48"/>
  </w:num>
  <w:num w:numId="26" w16cid:durableId="766462318">
    <w:abstractNumId w:val="37"/>
  </w:num>
  <w:num w:numId="27" w16cid:durableId="1130631953">
    <w:abstractNumId w:val="8"/>
  </w:num>
  <w:num w:numId="28" w16cid:durableId="610936650">
    <w:abstractNumId w:val="10"/>
  </w:num>
  <w:num w:numId="29" w16cid:durableId="123929921">
    <w:abstractNumId w:val="44"/>
  </w:num>
  <w:num w:numId="30" w16cid:durableId="1313634936">
    <w:abstractNumId w:val="6"/>
  </w:num>
  <w:num w:numId="31" w16cid:durableId="349989069">
    <w:abstractNumId w:val="0"/>
  </w:num>
  <w:num w:numId="32" w16cid:durableId="1520192929">
    <w:abstractNumId w:val="17"/>
  </w:num>
  <w:num w:numId="33" w16cid:durableId="1832524328">
    <w:abstractNumId w:val="7"/>
  </w:num>
  <w:num w:numId="34" w16cid:durableId="488835211">
    <w:abstractNumId w:val="1"/>
  </w:num>
  <w:num w:numId="35" w16cid:durableId="1977294453">
    <w:abstractNumId w:val="45"/>
  </w:num>
  <w:num w:numId="36" w16cid:durableId="589852136">
    <w:abstractNumId w:val="21"/>
  </w:num>
  <w:num w:numId="37" w16cid:durableId="592209385">
    <w:abstractNumId w:val="42"/>
  </w:num>
  <w:num w:numId="38" w16cid:durableId="1541674471">
    <w:abstractNumId w:val="20"/>
  </w:num>
  <w:num w:numId="39" w16cid:durableId="1917979694">
    <w:abstractNumId w:val="23"/>
  </w:num>
  <w:num w:numId="40" w16cid:durableId="1940596705">
    <w:abstractNumId w:val="12"/>
  </w:num>
  <w:num w:numId="41" w16cid:durableId="654721853">
    <w:abstractNumId w:val="14"/>
  </w:num>
  <w:num w:numId="42" w16cid:durableId="997542440">
    <w:abstractNumId w:val="35"/>
  </w:num>
  <w:num w:numId="43" w16cid:durableId="888566530">
    <w:abstractNumId w:val="25"/>
  </w:num>
  <w:num w:numId="44" w16cid:durableId="42409061">
    <w:abstractNumId w:val="36"/>
  </w:num>
  <w:num w:numId="45" w16cid:durableId="922374327">
    <w:abstractNumId w:val="28"/>
  </w:num>
  <w:num w:numId="46" w16cid:durableId="627054303">
    <w:abstractNumId w:val="11"/>
  </w:num>
  <w:num w:numId="47" w16cid:durableId="418258642">
    <w:abstractNumId w:val="9"/>
  </w:num>
  <w:num w:numId="48" w16cid:durableId="647975926">
    <w:abstractNumId w:val="31"/>
  </w:num>
  <w:num w:numId="49" w16cid:durableId="1342928010">
    <w:abstractNumId w:val="15"/>
  </w:num>
  <w:num w:numId="50" w16cid:durableId="8023834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EA"/>
    <w:rsid w:val="000043E5"/>
    <w:rsid w:val="0002090F"/>
    <w:rsid w:val="000309B4"/>
    <w:rsid w:val="00040BC4"/>
    <w:rsid w:val="00041472"/>
    <w:rsid w:val="00041C67"/>
    <w:rsid w:val="00043926"/>
    <w:rsid w:val="00046C75"/>
    <w:rsid w:val="00053F1F"/>
    <w:rsid w:val="0006173C"/>
    <w:rsid w:val="00061C72"/>
    <w:rsid w:val="00072734"/>
    <w:rsid w:val="00080CC1"/>
    <w:rsid w:val="000852AC"/>
    <w:rsid w:val="0008575E"/>
    <w:rsid w:val="000946CF"/>
    <w:rsid w:val="000A7374"/>
    <w:rsid w:val="000B3D22"/>
    <w:rsid w:val="000B4D05"/>
    <w:rsid w:val="000C000F"/>
    <w:rsid w:val="000C0010"/>
    <w:rsid w:val="000C1081"/>
    <w:rsid w:val="000C77A1"/>
    <w:rsid w:val="000D2B12"/>
    <w:rsid w:val="000D47EE"/>
    <w:rsid w:val="000E2108"/>
    <w:rsid w:val="000E4D60"/>
    <w:rsid w:val="000F1298"/>
    <w:rsid w:val="000F462E"/>
    <w:rsid w:val="000F4C84"/>
    <w:rsid w:val="0010319D"/>
    <w:rsid w:val="00120F89"/>
    <w:rsid w:val="00126314"/>
    <w:rsid w:val="00134E1A"/>
    <w:rsid w:val="00135121"/>
    <w:rsid w:val="00147891"/>
    <w:rsid w:val="0015342E"/>
    <w:rsid w:val="00155FF0"/>
    <w:rsid w:val="001601D4"/>
    <w:rsid w:val="00171CE1"/>
    <w:rsid w:val="00171F0B"/>
    <w:rsid w:val="001754F0"/>
    <w:rsid w:val="00180613"/>
    <w:rsid w:val="0018165B"/>
    <w:rsid w:val="00181D22"/>
    <w:rsid w:val="00195049"/>
    <w:rsid w:val="001A0ED5"/>
    <w:rsid w:val="001A216C"/>
    <w:rsid w:val="001A509C"/>
    <w:rsid w:val="001B15D0"/>
    <w:rsid w:val="001D1AF2"/>
    <w:rsid w:val="001D24E2"/>
    <w:rsid w:val="001D2B80"/>
    <w:rsid w:val="001D56F0"/>
    <w:rsid w:val="001E05C5"/>
    <w:rsid w:val="001E14AE"/>
    <w:rsid w:val="001E6B42"/>
    <w:rsid w:val="001F1AB3"/>
    <w:rsid w:val="001F4AB9"/>
    <w:rsid w:val="00201316"/>
    <w:rsid w:val="00210724"/>
    <w:rsid w:val="002171A2"/>
    <w:rsid w:val="002177A5"/>
    <w:rsid w:val="00217CD8"/>
    <w:rsid w:val="00240CD0"/>
    <w:rsid w:val="0024193C"/>
    <w:rsid w:val="00247F61"/>
    <w:rsid w:val="00252B35"/>
    <w:rsid w:val="0025492A"/>
    <w:rsid w:val="0026025B"/>
    <w:rsid w:val="00261ECB"/>
    <w:rsid w:val="002629D5"/>
    <w:rsid w:val="00262B2C"/>
    <w:rsid w:val="0027734B"/>
    <w:rsid w:val="00283665"/>
    <w:rsid w:val="00287C1D"/>
    <w:rsid w:val="00290726"/>
    <w:rsid w:val="002A2A4D"/>
    <w:rsid w:val="002B56EF"/>
    <w:rsid w:val="002C12F4"/>
    <w:rsid w:val="002C7762"/>
    <w:rsid w:val="002D3E24"/>
    <w:rsid w:val="002D6A9F"/>
    <w:rsid w:val="002E388A"/>
    <w:rsid w:val="002F0520"/>
    <w:rsid w:val="002F58CC"/>
    <w:rsid w:val="002F6055"/>
    <w:rsid w:val="002F6C76"/>
    <w:rsid w:val="00304399"/>
    <w:rsid w:val="00304EEB"/>
    <w:rsid w:val="00313E2E"/>
    <w:rsid w:val="00316949"/>
    <w:rsid w:val="00316CFB"/>
    <w:rsid w:val="00321DB6"/>
    <w:rsid w:val="00323174"/>
    <w:rsid w:val="00324EA1"/>
    <w:rsid w:val="00335E8E"/>
    <w:rsid w:val="00342D84"/>
    <w:rsid w:val="00344598"/>
    <w:rsid w:val="00344D3D"/>
    <w:rsid w:val="00350FD0"/>
    <w:rsid w:val="0035205D"/>
    <w:rsid w:val="00363218"/>
    <w:rsid w:val="00364EB9"/>
    <w:rsid w:val="00381588"/>
    <w:rsid w:val="00382C28"/>
    <w:rsid w:val="00393648"/>
    <w:rsid w:val="00395085"/>
    <w:rsid w:val="003A171D"/>
    <w:rsid w:val="003B162B"/>
    <w:rsid w:val="003C134E"/>
    <w:rsid w:val="003C2F63"/>
    <w:rsid w:val="003C6EA4"/>
    <w:rsid w:val="003D5643"/>
    <w:rsid w:val="003E253E"/>
    <w:rsid w:val="003E4219"/>
    <w:rsid w:val="003F00FB"/>
    <w:rsid w:val="00404EF1"/>
    <w:rsid w:val="004060F8"/>
    <w:rsid w:val="00410EEB"/>
    <w:rsid w:val="00423593"/>
    <w:rsid w:val="00426C2D"/>
    <w:rsid w:val="00434CBE"/>
    <w:rsid w:val="00440C62"/>
    <w:rsid w:val="00442397"/>
    <w:rsid w:val="00442CCE"/>
    <w:rsid w:val="00445B22"/>
    <w:rsid w:val="004553D1"/>
    <w:rsid w:val="004822BD"/>
    <w:rsid w:val="00487F2E"/>
    <w:rsid w:val="004947F0"/>
    <w:rsid w:val="00497D15"/>
    <w:rsid w:val="004A2895"/>
    <w:rsid w:val="004A2916"/>
    <w:rsid w:val="004A396E"/>
    <w:rsid w:val="004B59FA"/>
    <w:rsid w:val="004C0C2A"/>
    <w:rsid w:val="004C11B8"/>
    <w:rsid w:val="004C3F43"/>
    <w:rsid w:val="004D7460"/>
    <w:rsid w:val="004D7F13"/>
    <w:rsid w:val="004E2A2F"/>
    <w:rsid w:val="004E2E6D"/>
    <w:rsid w:val="004E39F7"/>
    <w:rsid w:val="004F0E3C"/>
    <w:rsid w:val="004F2097"/>
    <w:rsid w:val="004F2BFA"/>
    <w:rsid w:val="004F4F15"/>
    <w:rsid w:val="004F5832"/>
    <w:rsid w:val="004F64A7"/>
    <w:rsid w:val="005006BD"/>
    <w:rsid w:val="0050111D"/>
    <w:rsid w:val="005025BE"/>
    <w:rsid w:val="00511FC4"/>
    <w:rsid w:val="0051422A"/>
    <w:rsid w:val="0052085A"/>
    <w:rsid w:val="00525F36"/>
    <w:rsid w:val="00527C82"/>
    <w:rsid w:val="00537147"/>
    <w:rsid w:val="00542534"/>
    <w:rsid w:val="0054458E"/>
    <w:rsid w:val="00551038"/>
    <w:rsid w:val="00551612"/>
    <w:rsid w:val="00553194"/>
    <w:rsid w:val="0055513A"/>
    <w:rsid w:val="00560130"/>
    <w:rsid w:val="00570283"/>
    <w:rsid w:val="005716E2"/>
    <w:rsid w:val="00573B68"/>
    <w:rsid w:val="0058055C"/>
    <w:rsid w:val="00580BC4"/>
    <w:rsid w:val="00592F0E"/>
    <w:rsid w:val="005A0534"/>
    <w:rsid w:val="005A13C4"/>
    <w:rsid w:val="005A55FA"/>
    <w:rsid w:val="005A74EB"/>
    <w:rsid w:val="005B033A"/>
    <w:rsid w:val="005B36D3"/>
    <w:rsid w:val="005B63B7"/>
    <w:rsid w:val="005B6BAC"/>
    <w:rsid w:val="005B7968"/>
    <w:rsid w:val="005C6583"/>
    <w:rsid w:val="005D113E"/>
    <w:rsid w:val="005D3909"/>
    <w:rsid w:val="005D4C59"/>
    <w:rsid w:val="005D7BBF"/>
    <w:rsid w:val="005E10A9"/>
    <w:rsid w:val="005F4FFB"/>
    <w:rsid w:val="005F6EC8"/>
    <w:rsid w:val="00607E31"/>
    <w:rsid w:val="00627409"/>
    <w:rsid w:val="00633DC9"/>
    <w:rsid w:val="0063495B"/>
    <w:rsid w:val="00650C67"/>
    <w:rsid w:val="006511FD"/>
    <w:rsid w:val="00651A11"/>
    <w:rsid w:val="00657E14"/>
    <w:rsid w:val="00660315"/>
    <w:rsid w:val="00661D7C"/>
    <w:rsid w:val="00664B61"/>
    <w:rsid w:val="006702C0"/>
    <w:rsid w:val="00672271"/>
    <w:rsid w:val="00672455"/>
    <w:rsid w:val="006750B5"/>
    <w:rsid w:val="006809F6"/>
    <w:rsid w:val="00682198"/>
    <w:rsid w:val="0069448A"/>
    <w:rsid w:val="006A0B60"/>
    <w:rsid w:val="006A5383"/>
    <w:rsid w:val="006A5F8C"/>
    <w:rsid w:val="006A7AF4"/>
    <w:rsid w:val="006B0013"/>
    <w:rsid w:val="006B13B5"/>
    <w:rsid w:val="006B5F3D"/>
    <w:rsid w:val="006C30E1"/>
    <w:rsid w:val="006D0676"/>
    <w:rsid w:val="006D42F9"/>
    <w:rsid w:val="006E586A"/>
    <w:rsid w:val="006F6CB4"/>
    <w:rsid w:val="007003BE"/>
    <w:rsid w:val="00706145"/>
    <w:rsid w:val="007110BB"/>
    <w:rsid w:val="007133A9"/>
    <w:rsid w:val="00717344"/>
    <w:rsid w:val="007324A2"/>
    <w:rsid w:val="00742376"/>
    <w:rsid w:val="007533EE"/>
    <w:rsid w:val="00760CBA"/>
    <w:rsid w:val="00773B4A"/>
    <w:rsid w:val="00775A5C"/>
    <w:rsid w:val="0078042A"/>
    <w:rsid w:val="007830EE"/>
    <w:rsid w:val="00784EC7"/>
    <w:rsid w:val="007855A2"/>
    <w:rsid w:val="007858B2"/>
    <w:rsid w:val="00791684"/>
    <w:rsid w:val="00795329"/>
    <w:rsid w:val="00795A79"/>
    <w:rsid w:val="00796663"/>
    <w:rsid w:val="007A35B2"/>
    <w:rsid w:val="007A5447"/>
    <w:rsid w:val="007B006F"/>
    <w:rsid w:val="007B0A48"/>
    <w:rsid w:val="007B19EE"/>
    <w:rsid w:val="007B4317"/>
    <w:rsid w:val="007D2977"/>
    <w:rsid w:val="007D38E7"/>
    <w:rsid w:val="007E0196"/>
    <w:rsid w:val="007E0DD6"/>
    <w:rsid w:val="007E1B9C"/>
    <w:rsid w:val="007F01E0"/>
    <w:rsid w:val="007F04E1"/>
    <w:rsid w:val="007F3938"/>
    <w:rsid w:val="007F69DF"/>
    <w:rsid w:val="00802AAB"/>
    <w:rsid w:val="008047A6"/>
    <w:rsid w:val="008140B2"/>
    <w:rsid w:val="00814818"/>
    <w:rsid w:val="0082095F"/>
    <w:rsid w:val="008256FD"/>
    <w:rsid w:val="008277EC"/>
    <w:rsid w:val="00827CCA"/>
    <w:rsid w:val="00832F70"/>
    <w:rsid w:val="00834D6F"/>
    <w:rsid w:val="0083579F"/>
    <w:rsid w:val="00842416"/>
    <w:rsid w:val="00844835"/>
    <w:rsid w:val="00850A90"/>
    <w:rsid w:val="008570F8"/>
    <w:rsid w:val="0086385F"/>
    <w:rsid w:val="00875992"/>
    <w:rsid w:val="0087729C"/>
    <w:rsid w:val="008872B3"/>
    <w:rsid w:val="00887D4A"/>
    <w:rsid w:val="00897207"/>
    <w:rsid w:val="008A0BBF"/>
    <w:rsid w:val="008A6AFA"/>
    <w:rsid w:val="008A7B2D"/>
    <w:rsid w:val="008B0B95"/>
    <w:rsid w:val="008B659B"/>
    <w:rsid w:val="008C112E"/>
    <w:rsid w:val="008D0547"/>
    <w:rsid w:val="008D31DC"/>
    <w:rsid w:val="008D70AF"/>
    <w:rsid w:val="008E18EE"/>
    <w:rsid w:val="008E7A97"/>
    <w:rsid w:val="008F745F"/>
    <w:rsid w:val="0090140E"/>
    <w:rsid w:val="00904771"/>
    <w:rsid w:val="00910ECE"/>
    <w:rsid w:val="009115EF"/>
    <w:rsid w:val="00914A5C"/>
    <w:rsid w:val="00915AA3"/>
    <w:rsid w:val="009179B7"/>
    <w:rsid w:val="009213D6"/>
    <w:rsid w:val="009233DF"/>
    <w:rsid w:val="009369FE"/>
    <w:rsid w:val="00943446"/>
    <w:rsid w:val="0094505D"/>
    <w:rsid w:val="00951F93"/>
    <w:rsid w:val="00953BC0"/>
    <w:rsid w:val="00954F98"/>
    <w:rsid w:val="00956020"/>
    <w:rsid w:val="009726C3"/>
    <w:rsid w:val="00972A82"/>
    <w:rsid w:val="0097781A"/>
    <w:rsid w:val="00980A8E"/>
    <w:rsid w:val="009814C2"/>
    <w:rsid w:val="00983112"/>
    <w:rsid w:val="00983991"/>
    <w:rsid w:val="0099370A"/>
    <w:rsid w:val="009A1DF9"/>
    <w:rsid w:val="009A7886"/>
    <w:rsid w:val="009B0640"/>
    <w:rsid w:val="009B334E"/>
    <w:rsid w:val="009B35EC"/>
    <w:rsid w:val="009C1BCF"/>
    <w:rsid w:val="009D66D1"/>
    <w:rsid w:val="009E08AF"/>
    <w:rsid w:val="009E132D"/>
    <w:rsid w:val="009F02E0"/>
    <w:rsid w:val="009F147F"/>
    <w:rsid w:val="009F2389"/>
    <w:rsid w:val="009F6F90"/>
    <w:rsid w:val="009F75C1"/>
    <w:rsid w:val="00A00D33"/>
    <w:rsid w:val="00A068EC"/>
    <w:rsid w:val="00A14065"/>
    <w:rsid w:val="00A1591E"/>
    <w:rsid w:val="00A300EE"/>
    <w:rsid w:val="00A36D64"/>
    <w:rsid w:val="00A42871"/>
    <w:rsid w:val="00A5606C"/>
    <w:rsid w:val="00A621A2"/>
    <w:rsid w:val="00A6270B"/>
    <w:rsid w:val="00A65FB7"/>
    <w:rsid w:val="00A72DEB"/>
    <w:rsid w:val="00A74DCB"/>
    <w:rsid w:val="00A77EA4"/>
    <w:rsid w:val="00A83686"/>
    <w:rsid w:val="00A90170"/>
    <w:rsid w:val="00A92023"/>
    <w:rsid w:val="00A939DC"/>
    <w:rsid w:val="00A96385"/>
    <w:rsid w:val="00AA11CD"/>
    <w:rsid w:val="00AA3A24"/>
    <w:rsid w:val="00AB28B6"/>
    <w:rsid w:val="00AB32BD"/>
    <w:rsid w:val="00AB3667"/>
    <w:rsid w:val="00AC3BD8"/>
    <w:rsid w:val="00AC4FCF"/>
    <w:rsid w:val="00AC5CFD"/>
    <w:rsid w:val="00AC5E41"/>
    <w:rsid w:val="00AC6D15"/>
    <w:rsid w:val="00AD6A37"/>
    <w:rsid w:val="00AE229C"/>
    <w:rsid w:val="00AE6558"/>
    <w:rsid w:val="00AF2338"/>
    <w:rsid w:val="00AF3803"/>
    <w:rsid w:val="00AF38F8"/>
    <w:rsid w:val="00AF3BFC"/>
    <w:rsid w:val="00AF50F4"/>
    <w:rsid w:val="00AF62C6"/>
    <w:rsid w:val="00B01BA4"/>
    <w:rsid w:val="00B04737"/>
    <w:rsid w:val="00B20EEB"/>
    <w:rsid w:val="00B24E82"/>
    <w:rsid w:val="00B33783"/>
    <w:rsid w:val="00B3542B"/>
    <w:rsid w:val="00B36461"/>
    <w:rsid w:val="00B431CC"/>
    <w:rsid w:val="00B47DBD"/>
    <w:rsid w:val="00B53513"/>
    <w:rsid w:val="00B602D1"/>
    <w:rsid w:val="00B604E0"/>
    <w:rsid w:val="00B616F7"/>
    <w:rsid w:val="00B61B05"/>
    <w:rsid w:val="00B64734"/>
    <w:rsid w:val="00B71F67"/>
    <w:rsid w:val="00B81DF0"/>
    <w:rsid w:val="00B82B11"/>
    <w:rsid w:val="00B85203"/>
    <w:rsid w:val="00B8624A"/>
    <w:rsid w:val="00BA110E"/>
    <w:rsid w:val="00BA3743"/>
    <w:rsid w:val="00BB18AE"/>
    <w:rsid w:val="00BB5FBA"/>
    <w:rsid w:val="00BE3BEB"/>
    <w:rsid w:val="00BE558E"/>
    <w:rsid w:val="00BE65FE"/>
    <w:rsid w:val="00BF35EA"/>
    <w:rsid w:val="00BF47BA"/>
    <w:rsid w:val="00BF4BA7"/>
    <w:rsid w:val="00BF69B3"/>
    <w:rsid w:val="00C01613"/>
    <w:rsid w:val="00C039BB"/>
    <w:rsid w:val="00C04050"/>
    <w:rsid w:val="00C10ADB"/>
    <w:rsid w:val="00C240F2"/>
    <w:rsid w:val="00C249C5"/>
    <w:rsid w:val="00C317A8"/>
    <w:rsid w:val="00C43CC8"/>
    <w:rsid w:val="00C5113F"/>
    <w:rsid w:val="00C55B21"/>
    <w:rsid w:val="00C6202D"/>
    <w:rsid w:val="00C67D3D"/>
    <w:rsid w:val="00C70B30"/>
    <w:rsid w:val="00C73041"/>
    <w:rsid w:val="00C73F93"/>
    <w:rsid w:val="00C80BF2"/>
    <w:rsid w:val="00C8346D"/>
    <w:rsid w:val="00C869D5"/>
    <w:rsid w:val="00C90752"/>
    <w:rsid w:val="00C9264F"/>
    <w:rsid w:val="00CA0232"/>
    <w:rsid w:val="00CA57F8"/>
    <w:rsid w:val="00CB20FB"/>
    <w:rsid w:val="00CB501C"/>
    <w:rsid w:val="00CC14AC"/>
    <w:rsid w:val="00CC26F4"/>
    <w:rsid w:val="00CC73BB"/>
    <w:rsid w:val="00CD50B9"/>
    <w:rsid w:val="00CE2415"/>
    <w:rsid w:val="00CE24B9"/>
    <w:rsid w:val="00CE501F"/>
    <w:rsid w:val="00CE77B9"/>
    <w:rsid w:val="00CF1FDC"/>
    <w:rsid w:val="00D0731D"/>
    <w:rsid w:val="00D14D2F"/>
    <w:rsid w:val="00D2703F"/>
    <w:rsid w:val="00D31D24"/>
    <w:rsid w:val="00D3546D"/>
    <w:rsid w:val="00D37AA3"/>
    <w:rsid w:val="00D37C0F"/>
    <w:rsid w:val="00D42281"/>
    <w:rsid w:val="00D43476"/>
    <w:rsid w:val="00D53A74"/>
    <w:rsid w:val="00D57170"/>
    <w:rsid w:val="00D6418B"/>
    <w:rsid w:val="00D670CE"/>
    <w:rsid w:val="00D670D8"/>
    <w:rsid w:val="00D707F3"/>
    <w:rsid w:val="00D72F62"/>
    <w:rsid w:val="00D7371E"/>
    <w:rsid w:val="00D740E4"/>
    <w:rsid w:val="00D746BF"/>
    <w:rsid w:val="00D86D86"/>
    <w:rsid w:val="00D9050D"/>
    <w:rsid w:val="00DA42D2"/>
    <w:rsid w:val="00DB15D8"/>
    <w:rsid w:val="00DC6839"/>
    <w:rsid w:val="00DC6C1F"/>
    <w:rsid w:val="00DC6D73"/>
    <w:rsid w:val="00DD037B"/>
    <w:rsid w:val="00DE2E25"/>
    <w:rsid w:val="00DF049B"/>
    <w:rsid w:val="00DF7990"/>
    <w:rsid w:val="00E102A0"/>
    <w:rsid w:val="00E1156D"/>
    <w:rsid w:val="00E20879"/>
    <w:rsid w:val="00E23D8C"/>
    <w:rsid w:val="00E26DF3"/>
    <w:rsid w:val="00E37517"/>
    <w:rsid w:val="00E462F0"/>
    <w:rsid w:val="00E506A0"/>
    <w:rsid w:val="00E65343"/>
    <w:rsid w:val="00E70DAC"/>
    <w:rsid w:val="00E72154"/>
    <w:rsid w:val="00E741E9"/>
    <w:rsid w:val="00E74FEE"/>
    <w:rsid w:val="00E7665F"/>
    <w:rsid w:val="00E85AF2"/>
    <w:rsid w:val="00EA4249"/>
    <w:rsid w:val="00EA67BE"/>
    <w:rsid w:val="00EB4E52"/>
    <w:rsid w:val="00EC0871"/>
    <w:rsid w:val="00EC108B"/>
    <w:rsid w:val="00EC364D"/>
    <w:rsid w:val="00EC4356"/>
    <w:rsid w:val="00EC465C"/>
    <w:rsid w:val="00EC6555"/>
    <w:rsid w:val="00ED21B0"/>
    <w:rsid w:val="00ED3489"/>
    <w:rsid w:val="00ED3CFD"/>
    <w:rsid w:val="00ED3EAC"/>
    <w:rsid w:val="00ED7428"/>
    <w:rsid w:val="00EE2471"/>
    <w:rsid w:val="00EE7B2E"/>
    <w:rsid w:val="00EF0A49"/>
    <w:rsid w:val="00EF0BC6"/>
    <w:rsid w:val="00EF579E"/>
    <w:rsid w:val="00EF68AD"/>
    <w:rsid w:val="00F0173A"/>
    <w:rsid w:val="00F017EB"/>
    <w:rsid w:val="00F02197"/>
    <w:rsid w:val="00F02DD6"/>
    <w:rsid w:val="00F02F3F"/>
    <w:rsid w:val="00F112B8"/>
    <w:rsid w:val="00F13AF3"/>
    <w:rsid w:val="00F14E8D"/>
    <w:rsid w:val="00F16792"/>
    <w:rsid w:val="00F2220A"/>
    <w:rsid w:val="00F25DD5"/>
    <w:rsid w:val="00F302E6"/>
    <w:rsid w:val="00F306E3"/>
    <w:rsid w:val="00F33871"/>
    <w:rsid w:val="00F36753"/>
    <w:rsid w:val="00F375F3"/>
    <w:rsid w:val="00F37DC0"/>
    <w:rsid w:val="00F401C8"/>
    <w:rsid w:val="00F431EF"/>
    <w:rsid w:val="00F5361D"/>
    <w:rsid w:val="00F714CB"/>
    <w:rsid w:val="00F73804"/>
    <w:rsid w:val="00F73C95"/>
    <w:rsid w:val="00F82182"/>
    <w:rsid w:val="00F8370E"/>
    <w:rsid w:val="00F93F0A"/>
    <w:rsid w:val="00FA4247"/>
    <w:rsid w:val="00FA4CB1"/>
    <w:rsid w:val="00FA5BF5"/>
    <w:rsid w:val="00FB0A32"/>
    <w:rsid w:val="00FB3E41"/>
    <w:rsid w:val="00FB5509"/>
    <w:rsid w:val="00FC2D8E"/>
    <w:rsid w:val="00FC63D8"/>
    <w:rsid w:val="00FC711A"/>
    <w:rsid w:val="00FC75DA"/>
    <w:rsid w:val="00FD1D59"/>
    <w:rsid w:val="00FE15EC"/>
    <w:rsid w:val="00FE492F"/>
    <w:rsid w:val="00FF5A82"/>
    <w:rsid w:val="00FF7812"/>
    <w:rsid w:val="3546B35C"/>
    <w:rsid w:val="54795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9CF6"/>
  <w15:chartTrackingRefBased/>
  <w15:docId w15:val="{A0EBFA23-5455-4EA4-9036-2D150577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F35EA"/>
    <w:pPr>
      <w:keepNext/>
      <w:numPr>
        <w:numId w:val="1"/>
      </w:numPr>
      <w:tabs>
        <w:tab w:val="left" w:pos="0"/>
      </w:tabs>
      <w:spacing w:before="240" w:after="60" w:line="280" w:lineRule="atLeast"/>
      <w:outlineLvl w:val="0"/>
    </w:pPr>
    <w:rPr>
      <w:rFonts w:ascii="Times New Roman" w:eastAsia="Times New Roman" w:hAnsi="Times New Roman" w:cs="Times New Roman"/>
      <w:b/>
      <w:kern w:val="28"/>
      <w:sz w:val="27"/>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5EA"/>
    <w:rPr>
      <w:rFonts w:ascii="Times New Roman" w:eastAsia="Times New Roman" w:hAnsi="Times New Roman" w:cs="Times New Roman"/>
      <w:b/>
      <w:kern w:val="28"/>
      <w:sz w:val="27"/>
      <w:szCs w:val="20"/>
      <w:lang w:eastAsia="zh-CN"/>
    </w:rPr>
  </w:style>
  <w:style w:type="paragraph" w:customStyle="1" w:styleId="Spreekpunten">
    <w:name w:val="Spreekpunten"/>
    <w:basedOn w:val="Normal"/>
    <w:rsid w:val="00BF35EA"/>
    <w:pPr>
      <w:numPr>
        <w:numId w:val="2"/>
      </w:numPr>
      <w:spacing w:after="0" w:line="360" w:lineRule="auto"/>
    </w:pPr>
    <w:rPr>
      <w:rFonts w:ascii="Times New Roman" w:eastAsia="Times New Roman" w:hAnsi="Times New Roman" w:cs="Times New Roman"/>
      <w:bCs/>
      <w:sz w:val="28"/>
      <w:szCs w:val="20"/>
      <w:lang w:val="en-GB" w:eastAsia="nl-NL"/>
    </w:rPr>
  </w:style>
  <w:style w:type="paragraph" w:styleId="Header">
    <w:name w:val="header"/>
    <w:basedOn w:val="Normal"/>
    <w:link w:val="HeaderChar"/>
    <w:rsid w:val="00BF35EA"/>
    <w:pPr>
      <w:tabs>
        <w:tab w:val="center" w:pos="4536"/>
        <w:tab w:val="right" w:pos="9072"/>
      </w:tabs>
      <w:spacing w:after="0" w:line="280" w:lineRule="atLeast"/>
    </w:pPr>
    <w:rPr>
      <w:rFonts w:ascii="Times New Roman" w:eastAsia="Times New Roman" w:hAnsi="Times New Roman" w:cs="Times New Roman"/>
      <w:szCs w:val="20"/>
      <w:lang w:eastAsia="zh-CN"/>
    </w:rPr>
  </w:style>
  <w:style w:type="character" w:customStyle="1" w:styleId="HeaderChar">
    <w:name w:val="Header Char"/>
    <w:basedOn w:val="DefaultParagraphFont"/>
    <w:link w:val="Header"/>
    <w:rsid w:val="00BF35EA"/>
    <w:rPr>
      <w:rFonts w:ascii="Times New Roman" w:eastAsia="Times New Roman" w:hAnsi="Times New Roman" w:cs="Times New Roman"/>
      <w:szCs w:val="20"/>
      <w:lang w:eastAsia="zh-CN"/>
    </w:rPr>
  </w:style>
  <w:style w:type="paragraph" w:styleId="FootnoteText">
    <w:name w:val="footnote text"/>
    <w:basedOn w:val="Normal"/>
    <w:link w:val="FootnoteTextChar"/>
    <w:uiPriority w:val="99"/>
    <w:rsid w:val="00BF35EA"/>
    <w:pPr>
      <w:spacing w:after="0" w:line="240" w:lineRule="atLeast"/>
      <w:ind w:left="1298" w:hanging="1298"/>
    </w:pPr>
    <w:rPr>
      <w:rFonts w:ascii="Times New Roman" w:eastAsia="Times New Roman" w:hAnsi="Times New Roman" w:cs="Times New Roman"/>
      <w:sz w:val="16"/>
      <w:szCs w:val="20"/>
      <w:lang w:eastAsia="zh-CN"/>
    </w:rPr>
  </w:style>
  <w:style w:type="character" w:customStyle="1" w:styleId="FootnoteTextChar">
    <w:name w:val="Footnote Text Char"/>
    <w:basedOn w:val="DefaultParagraphFont"/>
    <w:link w:val="FootnoteText"/>
    <w:uiPriority w:val="99"/>
    <w:rsid w:val="00BF35EA"/>
    <w:rPr>
      <w:rFonts w:ascii="Times New Roman" w:eastAsia="Times New Roman" w:hAnsi="Times New Roman" w:cs="Times New Roman"/>
      <w:sz w:val="16"/>
      <w:szCs w:val="20"/>
      <w:lang w:eastAsia="zh-CN"/>
    </w:rPr>
  </w:style>
  <w:style w:type="character" w:styleId="FootnoteReference">
    <w:name w:val="footnote reference"/>
    <w:uiPriority w:val="99"/>
    <w:semiHidden/>
    <w:rsid w:val="00BF35EA"/>
    <w:rPr>
      <w:vertAlign w:val="superscript"/>
    </w:rPr>
  </w:style>
  <w:style w:type="paragraph" w:styleId="BodyText">
    <w:name w:val="Body Text"/>
    <w:basedOn w:val="Normal"/>
    <w:link w:val="BodyTextChar"/>
    <w:rsid w:val="00BF35EA"/>
    <w:pPr>
      <w:spacing w:after="0" w:line="280" w:lineRule="exact"/>
      <w:jc w:val="both"/>
    </w:pPr>
    <w:rPr>
      <w:rFonts w:ascii="Times New Roman" w:eastAsia="Times New Roman" w:hAnsi="Times New Roman" w:cs="Times New Roman"/>
      <w:snapToGrid w:val="0"/>
      <w:szCs w:val="20"/>
      <w:lang w:val="en-US"/>
    </w:rPr>
  </w:style>
  <w:style w:type="character" w:customStyle="1" w:styleId="BodyTextChar">
    <w:name w:val="Body Text Char"/>
    <w:basedOn w:val="DefaultParagraphFont"/>
    <w:link w:val="BodyText"/>
    <w:rsid w:val="00BF35EA"/>
    <w:rPr>
      <w:rFonts w:ascii="Times New Roman" w:eastAsia="Times New Roman" w:hAnsi="Times New Roman" w:cs="Times New Roman"/>
      <w:snapToGrid w:val="0"/>
      <w:szCs w:val="20"/>
      <w:lang w:val="en-US"/>
    </w:rPr>
  </w:style>
  <w:style w:type="paragraph" w:styleId="BodyText2">
    <w:name w:val="Body Text 2"/>
    <w:basedOn w:val="Normal"/>
    <w:link w:val="BodyText2Char"/>
    <w:rsid w:val="00BF35EA"/>
    <w:pPr>
      <w:spacing w:after="0" w:line="240" w:lineRule="auto"/>
      <w:jc w:val="both"/>
    </w:pPr>
    <w:rPr>
      <w:rFonts w:ascii="Times New Roman" w:eastAsia="Times New Roman" w:hAnsi="Times New Roman" w:cs="Times New Roman"/>
      <w:snapToGrid w:val="0"/>
      <w:color w:val="000000"/>
      <w:sz w:val="24"/>
      <w:szCs w:val="20"/>
      <w:lang w:eastAsia="nl-NL"/>
    </w:rPr>
  </w:style>
  <w:style w:type="character" w:customStyle="1" w:styleId="BodyText2Char">
    <w:name w:val="Body Text 2 Char"/>
    <w:basedOn w:val="DefaultParagraphFont"/>
    <w:link w:val="BodyText2"/>
    <w:rsid w:val="00BF35EA"/>
    <w:rPr>
      <w:rFonts w:ascii="Times New Roman" w:eastAsia="Times New Roman" w:hAnsi="Times New Roman" w:cs="Times New Roman"/>
      <w:snapToGrid w:val="0"/>
      <w:color w:val="000000"/>
      <w:sz w:val="24"/>
      <w:szCs w:val="20"/>
      <w:lang w:eastAsia="nl-NL"/>
    </w:rPr>
  </w:style>
  <w:style w:type="character" w:styleId="Hyperlink">
    <w:name w:val="Hyperlink"/>
    <w:rsid w:val="00BF35EA"/>
    <w:rPr>
      <w:color w:val="0000FF"/>
      <w:u w:val="single"/>
    </w:rPr>
  </w:style>
  <w:style w:type="paragraph" w:styleId="BalloonText">
    <w:name w:val="Balloon Text"/>
    <w:basedOn w:val="Normal"/>
    <w:link w:val="BalloonTextChar"/>
    <w:semiHidden/>
    <w:rsid w:val="00BF35EA"/>
    <w:pPr>
      <w:spacing w:after="0" w:line="280" w:lineRule="atLeast"/>
    </w:pPr>
    <w:rPr>
      <w:rFonts w:ascii="Tahoma" w:eastAsia="Times New Roman" w:hAnsi="Tahoma" w:cs="Tahoma"/>
      <w:sz w:val="16"/>
      <w:szCs w:val="16"/>
      <w:lang w:eastAsia="zh-CN"/>
    </w:rPr>
  </w:style>
  <w:style w:type="character" w:customStyle="1" w:styleId="BalloonTextChar">
    <w:name w:val="Balloon Text Char"/>
    <w:basedOn w:val="DefaultParagraphFont"/>
    <w:link w:val="BalloonText"/>
    <w:semiHidden/>
    <w:rsid w:val="00BF35EA"/>
    <w:rPr>
      <w:rFonts w:ascii="Tahoma" w:eastAsia="Times New Roman" w:hAnsi="Tahoma" w:cs="Tahoma"/>
      <w:sz w:val="16"/>
      <w:szCs w:val="16"/>
      <w:lang w:eastAsia="zh-CN"/>
    </w:rPr>
  </w:style>
  <w:style w:type="paragraph" w:styleId="Footer">
    <w:name w:val="footer"/>
    <w:basedOn w:val="Normal"/>
    <w:link w:val="FooterChar"/>
    <w:rsid w:val="00BF35EA"/>
    <w:pPr>
      <w:tabs>
        <w:tab w:val="center" w:pos="4536"/>
        <w:tab w:val="right" w:pos="9072"/>
      </w:tabs>
      <w:spacing w:after="0" w:line="280" w:lineRule="atLeast"/>
    </w:pPr>
    <w:rPr>
      <w:rFonts w:ascii="Times New Roman" w:eastAsia="Times New Roman" w:hAnsi="Times New Roman" w:cs="Times New Roman"/>
      <w:szCs w:val="20"/>
      <w:lang w:eastAsia="zh-CN"/>
    </w:rPr>
  </w:style>
  <w:style w:type="character" w:customStyle="1" w:styleId="FooterChar">
    <w:name w:val="Footer Char"/>
    <w:basedOn w:val="DefaultParagraphFont"/>
    <w:link w:val="Footer"/>
    <w:rsid w:val="00BF35EA"/>
    <w:rPr>
      <w:rFonts w:ascii="Times New Roman" w:eastAsia="Times New Roman" w:hAnsi="Times New Roman" w:cs="Times New Roman"/>
      <w:szCs w:val="20"/>
      <w:lang w:eastAsia="zh-CN"/>
    </w:rPr>
  </w:style>
  <w:style w:type="character" w:styleId="PageNumber">
    <w:name w:val="page number"/>
    <w:basedOn w:val="DefaultParagraphFont"/>
    <w:rsid w:val="00BF35EA"/>
  </w:style>
  <w:style w:type="character" w:styleId="CommentReference">
    <w:name w:val="annotation reference"/>
    <w:uiPriority w:val="99"/>
    <w:semiHidden/>
    <w:rsid w:val="00BF35EA"/>
    <w:rPr>
      <w:sz w:val="16"/>
      <w:szCs w:val="16"/>
    </w:rPr>
  </w:style>
  <w:style w:type="paragraph" w:styleId="CommentText">
    <w:name w:val="annotation text"/>
    <w:basedOn w:val="Normal"/>
    <w:link w:val="CommentTextChar"/>
    <w:semiHidden/>
    <w:rsid w:val="00BF35EA"/>
    <w:pPr>
      <w:spacing w:after="0" w:line="280" w:lineRule="atLeast"/>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semiHidden/>
    <w:rsid w:val="00BF35EA"/>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semiHidden/>
    <w:rsid w:val="00BF35EA"/>
    <w:rPr>
      <w:b/>
      <w:bCs/>
    </w:rPr>
  </w:style>
  <w:style w:type="character" w:customStyle="1" w:styleId="CommentSubjectChar">
    <w:name w:val="Comment Subject Char"/>
    <w:basedOn w:val="CommentTextChar"/>
    <w:link w:val="CommentSubject"/>
    <w:semiHidden/>
    <w:rsid w:val="00BF35EA"/>
    <w:rPr>
      <w:rFonts w:ascii="Times New Roman" w:eastAsia="Times New Roman" w:hAnsi="Times New Roman" w:cs="Times New Roman"/>
      <w:b/>
      <w:bCs/>
      <w:sz w:val="20"/>
      <w:szCs w:val="20"/>
      <w:lang w:eastAsia="zh-CN"/>
    </w:rPr>
  </w:style>
  <w:style w:type="character" w:styleId="Strong">
    <w:name w:val="Strong"/>
    <w:qFormat/>
    <w:rsid w:val="00BF35EA"/>
    <w:rPr>
      <w:b/>
      <w:bCs/>
    </w:rPr>
  </w:style>
  <w:style w:type="paragraph" w:styleId="DocumentMap">
    <w:name w:val="Document Map"/>
    <w:basedOn w:val="Normal"/>
    <w:link w:val="DocumentMapChar"/>
    <w:semiHidden/>
    <w:rsid w:val="00BF35EA"/>
    <w:pPr>
      <w:shd w:val="clear" w:color="auto" w:fill="000080"/>
      <w:spacing w:after="0" w:line="280" w:lineRule="atLeast"/>
    </w:pPr>
    <w:rPr>
      <w:rFonts w:ascii="Tahoma" w:eastAsia="Times New Roman" w:hAnsi="Tahoma" w:cs="Tahoma"/>
      <w:sz w:val="20"/>
      <w:szCs w:val="20"/>
      <w:lang w:eastAsia="zh-CN"/>
    </w:rPr>
  </w:style>
  <w:style w:type="character" w:customStyle="1" w:styleId="DocumentMapChar">
    <w:name w:val="Document Map Char"/>
    <w:basedOn w:val="DefaultParagraphFont"/>
    <w:link w:val="DocumentMap"/>
    <w:semiHidden/>
    <w:rsid w:val="00BF35EA"/>
    <w:rPr>
      <w:rFonts w:ascii="Tahoma" w:eastAsia="Times New Roman" w:hAnsi="Tahoma" w:cs="Tahoma"/>
      <w:sz w:val="20"/>
      <w:szCs w:val="20"/>
      <w:shd w:val="clear" w:color="auto" w:fill="000080"/>
      <w:lang w:eastAsia="zh-CN"/>
    </w:rPr>
  </w:style>
  <w:style w:type="character" w:styleId="FollowedHyperlink">
    <w:name w:val="FollowedHyperlink"/>
    <w:rsid w:val="00BF35EA"/>
    <w:rPr>
      <w:color w:val="800080"/>
      <w:u w:val="single"/>
    </w:rPr>
  </w:style>
  <w:style w:type="paragraph" w:styleId="ListParagraph">
    <w:name w:val="List Paragraph"/>
    <w:aliases w:val="List bullets,Dot pt,List Paragraph1,Colorful List - Accent 11,No Spacing1,List Paragraph Char Char Char,Indicator Text,Numbered Para 1,Bullet 1,Bullet Points,List Paragraph12,F5 List Paragraph,List Paragraph2,MAIN CONTENT,Normal numbered"/>
    <w:basedOn w:val="Normal"/>
    <w:link w:val="ListParagraphChar"/>
    <w:uiPriority w:val="34"/>
    <w:qFormat/>
    <w:rsid w:val="00BF35EA"/>
    <w:pPr>
      <w:spacing w:after="0" w:line="280" w:lineRule="atLeast"/>
      <w:ind w:left="720"/>
    </w:pPr>
    <w:rPr>
      <w:rFonts w:ascii="Times New Roman" w:eastAsia="Times New Roman" w:hAnsi="Times New Roman" w:cs="Times New Roman"/>
      <w:szCs w:val="20"/>
      <w:lang w:eastAsia="zh-CN"/>
    </w:rPr>
  </w:style>
  <w:style w:type="paragraph" w:styleId="NoSpacing">
    <w:name w:val="No Spacing"/>
    <w:uiPriority w:val="1"/>
    <w:qFormat/>
    <w:rsid w:val="00BF35EA"/>
    <w:pPr>
      <w:autoSpaceDN w:val="0"/>
      <w:spacing w:after="0" w:line="240" w:lineRule="auto"/>
      <w:textAlignment w:val="baseline"/>
    </w:pPr>
    <w:rPr>
      <w:rFonts w:ascii="Verdana" w:eastAsia="DejaVu Sans" w:hAnsi="Verdana" w:cs="Lohit Hindi"/>
      <w:color w:val="000000"/>
      <w:sz w:val="18"/>
      <w:szCs w:val="18"/>
      <w:lang w:eastAsia="nl-NL"/>
    </w:rPr>
  </w:style>
  <w:style w:type="paragraph" w:styleId="Revision">
    <w:name w:val="Revision"/>
    <w:hidden/>
    <w:uiPriority w:val="99"/>
    <w:semiHidden/>
    <w:rsid w:val="00BF35EA"/>
    <w:pPr>
      <w:spacing w:after="0" w:line="240" w:lineRule="auto"/>
    </w:pPr>
    <w:rPr>
      <w:rFonts w:ascii="Times New Roman" w:eastAsia="Times New Roman" w:hAnsi="Times New Roman" w:cs="Times New Roman"/>
      <w:szCs w:val="20"/>
      <w:lang w:eastAsia="zh-CN"/>
    </w:rPr>
  </w:style>
  <w:style w:type="character" w:styleId="UnresolvedMention">
    <w:name w:val="Unresolved Mention"/>
    <w:basedOn w:val="DefaultParagraphFont"/>
    <w:uiPriority w:val="99"/>
    <w:semiHidden/>
    <w:unhideWhenUsed/>
    <w:rsid w:val="00BF35EA"/>
    <w:rPr>
      <w:color w:val="605E5C"/>
      <w:shd w:val="clear" w:color="auto" w:fill="E1DFDD"/>
    </w:rPr>
  </w:style>
  <w:style w:type="character" w:customStyle="1" w:styleId="Onopgelostemelding1">
    <w:name w:val="Onopgeloste melding1"/>
    <w:basedOn w:val="DefaultParagraphFont"/>
    <w:uiPriority w:val="99"/>
    <w:semiHidden/>
    <w:unhideWhenUsed/>
    <w:rsid w:val="00BF35EA"/>
    <w:rPr>
      <w:color w:val="605E5C"/>
      <w:shd w:val="clear" w:color="auto" w:fill="E1DFDD"/>
    </w:rPr>
  </w:style>
  <w:style w:type="paragraph" w:customStyle="1" w:styleId="li">
    <w:name w:val="li"/>
    <w:basedOn w:val="Normal"/>
    <w:rsid w:val="00BF35E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um">
    <w:name w:val="num"/>
    <w:basedOn w:val="DefaultParagraphFont"/>
    <w:rsid w:val="00BF35EA"/>
  </w:style>
  <w:style w:type="paragraph" w:customStyle="1" w:styleId="text2">
    <w:name w:val="text2"/>
    <w:basedOn w:val="Normal"/>
    <w:rsid w:val="00BF35E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BF35EA"/>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customStyle="1" w:styleId="ListParagraphChar">
    <w:name w:val="List Paragraph Char"/>
    <w:aliases w:val="List bullets Char,Dot pt Char,List Paragraph1 Char,Colorful List - Accent 11 Char,No Spacing1 Char,List Paragraph Char Char Char Char,Indicator Text Char,Numbered Para 1 Char,Bullet 1 Char,Bullet Points Char,List Paragraph12 Char"/>
    <w:link w:val="ListParagraph"/>
    <w:uiPriority w:val="34"/>
    <w:qFormat/>
    <w:locked/>
    <w:rsid w:val="005A74EB"/>
    <w:rPr>
      <w:rFonts w:ascii="Times New Roman" w:eastAsia="Times New Roman" w:hAnsi="Times New Roman" w:cs="Times New Roman"/>
      <w:szCs w:val="20"/>
      <w:lang w:eastAsia="zh-CN"/>
    </w:rPr>
  </w:style>
  <w:style w:type="paragraph" w:styleId="NormalWeb">
    <w:name w:val="Normal (Web)"/>
    <w:basedOn w:val="Normal"/>
    <w:uiPriority w:val="99"/>
    <w:semiHidden/>
    <w:unhideWhenUsed/>
    <w:rsid w:val="006724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1916">
      <w:bodyDiv w:val="1"/>
      <w:marLeft w:val="0"/>
      <w:marRight w:val="0"/>
      <w:marTop w:val="0"/>
      <w:marBottom w:val="0"/>
      <w:divBdr>
        <w:top w:val="none" w:sz="0" w:space="0" w:color="auto"/>
        <w:left w:val="none" w:sz="0" w:space="0" w:color="auto"/>
        <w:bottom w:val="none" w:sz="0" w:space="0" w:color="auto"/>
        <w:right w:val="none" w:sz="0" w:space="0" w:color="auto"/>
      </w:divBdr>
    </w:div>
    <w:div w:id="173300910">
      <w:bodyDiv w:val="1"/>
      <w:marLeft w:val="0"/>
      <w:marRight w:val="0"/>
      <w:marTop w:val="0"/>
      <w:marBottom w:val="0"/>
      <w:divBdr>
        <w:top w:val="none" w:sz="0" w:space="0" w:color="auto"/>
        <w:left w:val="none" w:sz="0" w:space="0" w:color="auto"/>
        <w:bottom w:val="none" w:sz="0" w:space="0" w:color="auto"/>
        <w:right w:val="none" w:sz="0" w:space="0" w:color="auto"/>
      </w:divBdr>
    </w:div>
    <w:div w:id="336464668">
      <w:bodyDiv w:val="1"/>
      <w:marLeft w:val="0"/>
      <w:marRight w:val="0"/>
      <w:marTop w:val="0"/>
      <w:marBottom w:val="0"/>
      <w:divBdr>
        <w:top w:val="none" w:sz="0" w:space="0" w:color="auto"/>
        <w:left w:val="none" w:sz="0" w:space="0" w:color="auto"/>
        <w:bottom w:val="none" w:sz="0" w:space="0" w:color="auto"/>
        <w:right w:val="none" w:sz="0" w:space="0" w:color="auto"/>
      </w:divBdr>
    </w:div>
    <w:div w:id="453913105">
      <w:bodyDiv w:val="1"/>
      <w:marLeft w:val="0"/>
      <w:marRight w:val="0"/>
      <w:marTop w:val="0"/>
      <w:marBottom w:val="0"/>
      <w:divBdr>
        <w:top w:val="none" w:sz="0" w:space="0" w:color="auto"/>
        <w:left w:val="none" w:sz="0" w:space="0" w:color="auto"/>
        <w:bottom w:val="none" w:sz="0" w:space="0" w:color="auto"/>
        <w:right w:val="none" w:sz="0" w:space="0" w:color="auto"/>
      </w:divBdr>
    </w:div>
    <w:div w:id="510218263">
      <w:bodyDiv w:val="1"/>
      <w:marLeft w:val="0"/>
      <w:marRight w:val="0"/>
      <w:marTop w:val="0"/>
      <w:marBottom w:val="0"/>
      <w:divBdr>
        <w:top w:val="none" w:sz="0" w:space="0" w:color="auto"/>
        <w:left w:val="none" w:sz="0" w:space="0" w:color="auto"/>
        <w:bottom w:val="none" w:sz="0" w:space="0" w:color="auto"/>
        <w:right w:val="none" w:sz="0" w:space="0" w:color="auto"/>
      </w:divBdr>
    </w:div>
    <w:div w:id="530916031">
      <w:bodyDiv w:val="1"/>
      <w:marLeft w:val="0"/>
      <w:marRight w:val="0"/>
      <w:marTop w:val="0"/>
      <w:marBottom w:val="0"/>
      <w:divBdr>
        <w:top w:val="none" w:sz="0" w:space="0" w:color="auto"/>
        <w:left w:val="none" w:sz="0" w:space="0" w:color="auto"/>
        <w:bottom w:val="none" w:sz="0" w:space="0" w:color="auto"/>
        <w:right w:val="none" w:sz="0" w:space="0" w:color="auto"/>
      </w:divBdr>
    </w:div>
    <w:div w:id="604926109">
      <w:bodyDiv w:val="1"/>
      <w:marLeft w:val="0"/>
      <w:marRight w:val="0"/>
      <w:marTop w:val="0"/>
      <w:marBottom w:val="0"/>
      <w:divBdr>
        <w:top w:val="none" w:sz="0" w:space="0" w:color="auto"/>
        <w:left w:val="none" w:sz="0" w:space="0" w:color="auto"/>
        <w:bottom w:val="none" w:sz="0" w:space="0" w:color="auto"/>
        <w:right w:val="none" w:sz="0" w:space="0" w:color="auto"/>
      </w:divBdr>
    </w:div>
    <w:div w:id="699474867">
      <w:bodyDiv w:val="1"/>
      <w:marLeft w:val="0"/>
      <w:marRight w:val="0"/>
      <w:marTop w:val="0"/>
      <w:marBottom w:val="0"/>
      <w:divBdr>
        <w:top w:val="none" w:sz="0" w:space="0" w:color="auto"/>
        <w:left w:val="none" w:sz="0" w:space="0" w:color="auto"/>
        <w:bottom w:val="none" w:sz="0" w:space="0" w:color="auto"/>
        <w:right w:val="none" w:sz="0" w:space="0" w:color="auto"/>
      </w:divBdr>
    </w:div>
    <w:div w:id="722366813">
      <w:bodyDiv w:val="1"/>
      <w:marLeft w:val="0"/>
      <w:marRight w:val="0"/>
      <w:marTop w:val="0"/>
      <w:marBottom w:val="0"/>
      <w:divBdr>
        <w:top w:val="none" w:sz="0" w:space="0" w:color="auto"/>
        <w:left w:val="none" w:sz="0" w:space="0" w:color="auto"/>
        <w:bottom w:val="none" w:sz="0" w:space="0" w:color="auto"/>
        <w:right w:val="none" w:sz="0" w:space="0" w:color="auto"/>
      </w:divBdr>
    </w:div>
    <w:div w:id="938681397">
      <w:bodyDiv w:val="1"/>
      <w:marLeft w:val="0"/>
      <w:marRight w:val="0"/>
      <w:marTop w:val="0"/>
      <w:marBottom w:val="0"/>
      <w:divBdr>
        <w:top w:val="none" w:sz="0" w:space="0" w:color="auto"/>
        <w:left w:val="none" w:sz="0" w:space="0" w:color="auto"/>
        <w:bottom w:val="none" w:sz="0" w:space="0" w:color="auto"/>
        <w:right w:val="none" w:sz="0" w:space="0" w:color="auto"/>
      </w:divBdr>
    </w:div>
    <w:div w:id="1158231814">
      <w:bodyDiv w:val="1"/>
      <w:marLeft w:val="0"/>
      <w:marRight w:val="0"/>
      <w:marTop w:val="0"/>
      <w:marBottom w:val="0"/>
      <w:divBdr>
        <w:top w:val="none" w:sz="0" w:space="0" w:color="auto"/>
        <w:left w:val="none" w:sz="0" w:space="0" w:color="auto"/>
        <w:bottom w:val="none" w:sz="0" w:space="0" w:color="auto"/>
        <w:right w:val="none" w:sz="0" w:space="0" w:color="auto"/>
      </w:divBdr>
    </w:div>
    <w:div w:id="1182471405">
      <w:bodyDiv w:val="1"/>
      <w:marLeft w:val="0"/>
      <w:marRight w:val="0"/>
      <w:marTop w:val="0"/>
      <w:marBottom w:val="0"/>
      <w:divBdr>
        <w:top w:val="none" w:sz="0" w:space="0" w:color="auto"/>
        <w:left w:val="none" w:sz="0" w:space="0" w:color="auto"/>
        <w:bottom w:val="none" w:sz="0" w:space="0" w:color="auto"/>
        <w:right w:val="none" w:sz="0" w:space="0" w:color="auto"/>
      </w:divBdr>
    </w:div>
    <w:div w:id="1227449160">
      <w:bodyDiv w:val="1"/>
      <w:marLeft w:val="0"/>
      <w:marRight w:val="0"/>
      <w:marTop w:val="0"/>
      <w:marBottom w:val="0"/>
      <w:divBdr>
        <w:top w:val="none" w:sz="0" w:space="0" w:color="auto"/>
        <w:left w:val="none" w:sz="0" w:space="0" w:color="auto"/>
        <w:bottom w:val="none" w:sz="0" w:space="0" w:color="auto"/>
        <w:right w:val="none" w:sz="0" w:space="0" w:color="auto"/>
      </w:divBdr>
    </w:div>
    <w:div w:id="1351492774">
      <w:bodyDiv w:val="1"/>
      <w:marLeft w:val="0"/>
      <w:marRight w:val="0"/>
      <w:marTop w:val="0"/>
      <w:marBottom w:val="0"/>
      <w:divBdr>
        <w:top w:val="none" w:sz="0" w:space="0" w:color="auto"/>
        <w:left w:val="none" w:sz="0" w:space="0" w:color="auto"/>
        <w:bottom w:val="none" w:sz="0" w:space="0" w:color="auto"/>
        <w:right w:val="none" w:sz="0" w:space="0" w:color="auto"/>
      </w:divBdr>
    </w:div>
    <w:div w:id="1515263302">
      <w:bodyDiv w:val="1"/>
      <w:marLeft w:val="0"/>
      <w:marRight w:val="0"/>
      <w:marTop w:val="0"/>
      <w:marBottom w:val="0"/>
      <w:divBdr>
        <w:top w:val="none" w:sz="0" w:space="0" w:color="auto"/>
        <w:left w:val="none" w:sz="0" w:space="0" w:color="auto"/>
        <w:bottom w:val="none" w:sz="0" w:space="0" w:color="auto"/>
        <w:right w:val="none" w:sz="0" w:space="0" w:color="auto"/>
      </w:divBdr>
    </w:div>
    <w:div w:id="1522430008">
      <w:bodyDiv w:val="1"/>
      <w:marLeft w:val="0"/>
      <w:marRight w:val="0"/>
      <w:marTop w:val="0"/>
      <w:marBottom w:val="0"/>
      <w:divBdr>
        <w:top w:val="none" w:sz="0" w:space="0" w:color="auto"/>
        <w:left w:val="none" w:sz="0" w:space="0" w:color="auto"/>
        <w:bottom w:val="none" w:sz="0" w:space="0" w:color="auto"/>
        <w:right w:val="none" w:sz="0" w:space="0" w:color="auto"/>
      </w:divBdr>
    </w:div>
    <w:div w:id="1534152825">
      <w:bodyDiv w:val="1"/>
      <w:marLeft w:val="0"/>
      <w:marRight w:val="0"/>
      <w:marTop w:val="0"/>
      <w:marBottom w:val="0"/>
      <w:divBdr>
        <w:top w:val="none" w:sz="0" w:space="0" w:color="auto"/>
        <w:left w:val="none" w:sz="0" w:space="0" w:color="auto"/>
        <w:bottom w:val="none" w:sz="0" w:space="0" w:color="auto"/>
        <w:right w:val="none" w:sz="0" w:space="0" w:color="auto"/>
      </w:divBdr>
    </w:div>
    <w:div w:id="1630628113">
      <w:bodyDiv w:val="1"/>
      <w:marLeft w:val="0"/>
      <w:marRight w:val="0"/>
      <w:marTop w:val="0"/>
      <w:marBottom w:val="0"/>
      <w:divBdr>
        <w:top w:val="none" w:sz="0" w:space="0" w:color="auto"/>
        <w:left w:val="none" w:sz="0" w:space="0" w:color="auto"/>
        <w:bottom w:val="none" w:sz="0" w:space="0" w:color="auto"/>
        <w:right w:val="none" w:sz="0" w:space="0" w:color="auto"/>
      </w:divBdr>
    </w:div>
    <w:div w:id="1642418185">
      <w:bodyDiv w:val="1"/>
      <w:marLeft w:val="0"/>
      <w:marRight w:val="0"/>
      <w:marTop w:val="0"/>
      <w:marBottom w:val="0"/>
      <w:divBdr>
        <w:top w:val="none" w:sz="0" w:space="0" w:color="auto"/>
        <w:left w:val="none" w:sz="0" w:space="0" w:color="auto"/>
        <w:bottom w:val="none" w:sz="0" w:space="0" w:color="auto"/>
        <w:right w:val="none" w:sz="0" w:space="0" w:color="auto"/>
      </w:divBdr>
    </w:div>
    <w:div w:id="1716466618">
      <w:bodyDiv w:val="1"/>
      <w:marLeft w:val="0"/>
      <w:marRight w:val="0"/>
      <w:marTop w:val="0"/>
      <w:marBottom w:val="0"/>
      <w:divBdr>
        <w:top w:val="none" w:sz="0" w:space="0" w:color="auto"/>
        <w:left w:val="none" w:sz="0" w:space="0" w:color="auto"/>
        <w:bottom w:val="none" w:sz="0" w:space="0" w:color="auto"/>
        <w:right w:val="none" w:sz="0" w:space="0" w:color="auto"/>
      </w:divBdr>
    </w:div>
    <w:div w:id="185495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EN/TXT/PDF/?uri=CELEX:52025PC0941"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4077</ap:Words>
  <ap:Characters>22427</ap:Characters>
  <ap:DocSecurity>0</ap:DocSecurity>
  <ap:Lines>186</ap:Lines>
  <ap:Paragraphs>52</ap:Paragraphs>
  <ap:ScaleCrop>false</ap:ScaleCrop>
  <ap:LinksUpToDate>false</ap:LinksUpToDate>
  <ap:CharactersWithSpaces>26452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2026-01-27T16:17:00.0000000Z</lastPrinted>
  <dcterms:created xsi:type="dcterms:W3CDTF">2026-01-30T12:27:00.0000000Z</dcterms:created>
  <dcterms:modified xsi:type="dcterms:W3CDTF">2026-01-30T12:27:00.0000000Z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2025-04-22T11:52:46Z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1ad88c48-13c2-42ca-b549-63cd7e4c2e3d</vt:lpwstr>
  </property>
  <property fmtid="{D5CDD505-2E9C-101B-9397-08002B2CF9AE}" pid="8" name="MSIP_Label_6800fede-0e59-47ad-af95-4e63bbdb932d_ContentBits">
    <vt:lpwstr>0</vt:lpwstr>
  </property>
  <property fmtid="{D5CDD505-2E9C-101B-9397-08002B2CF9AE}" pid="9" name="ContentTypeId">
    <vt:lpwstr>0x0101009C7CE436063D44E9BE7DC0259EF7C32F006EB9F9836A634AE58B6169785FD3936F00E118BE330E179A41AFB5E6BA82A01B95</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4389728e-9873-4865-a0f7-a283c9b354c5</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https://247.plaza.buzaservices.nl/subject/PV-RK2026012026/BZ2624656/Fiche%204%20-%20Finaliteitsverordening.docx, </vt:lpwstr>
  </property>
  <property fmtid="{D5CDD505-2E9C-101B-9397-08002B2CF9AE}" pid="31" name="BZDossierBudgetManager">
    <vt:lpwstr/>
  </property>
</Properties>
</file>