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905DE" w:rsidR="005905DE" w:rsidRDefault="006A6A1B" w14:paraId="0817EBC7" w14:textId="37463A9B">
      <w:pPr>
        <w:rPr>
          <w:rFonts w:ascii="Calibri" w:hAnsi="Calibri" w:cs="Calibri"/>
        </w:rPr>
      </w:pPr>
      <w:r w:rsidRPr="005905DE">
        <w:rPr>
          <w:rFonts w:ascii="Calibri" w:hAnsi="Calibri" w:eastAsia="Aptos" w:cs="Calibri"/>
          <w:bCs/>
          <w:kern w:val="2"/>
          <w:lang w:val="nl-NL" w:eastAsia="en-US"/>
          <w14:ligatures w14:val="standardContextual"/>
        </w:rPr>
        <w:t>22</w:t>
      </w:r>
      <w:r w:rsidRPr="005905DE" w:rsidR="005905DE">
        <w:rPr>
          <w:rFonts w:ascii="Calibri" w:hAnsi="Calibri" w:eastAsia="Aptos" w:cs="Calibri"/>
          <w:bCs/>
          <w:kern w:val="2"/>
          <w:lang w:val="nl-NL" w:eastAsia="en-US"/>
          <w14:ligatures w14:val="standardContextual"/>
        </w:rPr>
        <w:t xml:space="preserve"> </w:t>
      </w:r>
      <w:r w:rsidRPr="005905DE">
        <w:rPr>
          <w:rFonts w:ascii="Calibri" w:hAnsi="Calibri" w:eastAsia="Aptos" w:cs="Calibri"/>
          <w:bCs/>
          <w:kern w:val="2"/>
          <w:lang w:val="nl-NL" w:eastAsia="en-US"/>
          <w14:ligatures w14:val="standardContextual"/>
        </w:rPr>
        <w:t>112</w:t>
      </w:r>
      <w:r w:rsidRPr="005905DE" w:rsidR="005905DE">
        <w:rPr>
          <w:rFonts w:ascii="Calibri" w:hAnsi="Calibri" w:eastAsia="Aptos" w:cs="Calibri"/>
          <w:bCs/>
          <w:kern w:val="2"/>
          <w:lang w:val="nl-NL" w:eastAsia="en-US"/>
          <w14:ligatures w14:val="standardContextual"/>
        </w:rPr>
        <w:tab/>
      </w:r>
      <w:r w:rsidRPr="005905DE" w:rsidR="005905DE">
        <w:rPr>
          <w:rFonts w:ascii="Calibri" w:hAnsi="Calibri" w:eastAsia="Aptos" w:cs="Calibri"/>
          <w:bCs/>
          <w:kern w:val="2"/>
          <w:lang w:val="nl-NL" w:eastAsia="en-US"/>
          <w14:ligatures w14:val="standardContextual"/>
        </w:rPr>
        <w:tab/>
      </w:r>
      <w:r w:rsidRPr="005905DE" w:rsidR="005905DE">
        <w:rPr>
          <w:rFonts w:ascii="Calibri" w:hAnsi="Calibri" w:cs="Calibri"/>
        </w:rPr>
        <w:t>Nieuwe Commissievoorstellen en initiatieven van de lidstaten van de Europese Unie</w:t>
      </w:r>
    </w:p>
    <w:p w:rsidRPr="005905DE" w:rsidR="005905DE" w:rsidRDefault="005905DE" w14:paraId="18BCEEBD" w14:textId="77777777">
      <w:pPr>
        <w:rPr>
          <w:rFonts w:ascii="Calibri" w:hAnsi="Calibri" w:cs="Calibri"/>
        </w:rPr>
      </w:pPr>
    </w:p>
    <w:p w:rsidRPr="005905DE" w:rsidR="005905DE" w:rsidP="005905DE" w:rsidRDefault="005905DE" w14:paraId="34ED9F4F" w14:textId="77777777">
      <w:pPr>
        <w:spacing w:after="160"/>
        <w:rPr>
          <w:rFonts w:ascii="Calibri" w:hAnsi="Calibri" w:cs="Calibri"/>
          <w:sz w:val="24"/>
          <w:szCs w:val="24"/>
        </w:rPr>
      </w:pPr>
      <w:r w:rsidRPr="005905DE">
        <w:rPr>
          <w:rFonts w:ascii="Calibri" w:hAnsi="Calibri" w:eastAsia="Aptos" w:cs="Calibri"/>
          <w:bCs/>
          <w:kern w:val="2"/>
          <w:lang w:val="nl-NL" w:eastAsia="en-US"/>
          <w14:ligatures w14:val="standardContextual"/>
        </w:rPr>
        <w:t xml:space="preserve">Nr. </w:t>
      </w:r>
      <w:r w:rsidRPr="005905DE" w:rsidR="006A6A1B">
        <w:rPr>
          <w:rFonts w:ascii="Calibri" w:hAnsi="Calibri" w:eastAsia="Aptos" w:cs="Calibri"/>
          <w:bCs/>
          <w:kern w:val="2"/>
          <w:lang w:val="nl-NL" w:eastAsia="en-US"/>
          <w14:ligatures w14:val="standardContextual"/>
        </w:rPr>
        <w:t>4246</w:t>
      </w:r>
      <w:r w:rsidRPr="005905DE">
        <w:rPr>
          <w:rFonts w:ascii="Calibri" w:hAnsi="Calibri" w:eastAsia="Aptos" w:cs="Calibri"/>
          <w:bCs/>
          <w:kern w:val="2"/>
          <w:lang w:val="nl-NL" w:eastAsia="en-US"/>
          <w14:ligatures w14:val="standardContextual"/>
        </w:rPr>
        <w:tab/>
        <w:t xml:space="preserve">Brief van de </w:t>
      </w:r>
      <w:r w:rsidRPr="005905DE">
        <w:rPr>
          <w:rFonts w:ascii="Calibri" w:hAnsi="Calibri" w:cs="Calibri"/>
          <w:sz w:val="24"/>
          <w:szCs w:val="24"/>
        </w:rPr>
        <w:t>minister van Buitenlandse Zaken</w:t>
      </w:r>
    </w:p>
    <w:p w:rsidRPr="005905DE" w:rsidR="006A6A1B" w:rsidP="006A6A1B" w:rsidRDefault="005905DE" w14:paraId="112C2BCE" w14:textId="3497A9BE">
      <w:pPr>
        <w:spacing w:after="160" w:line="276" w:lineRule="auto"/>
        <w:rPr>
          <w:rFonts w:ascii="Calibri" w:hAnsi="Calibri" w:eastAsia="Aptos" w:cs="Calibri"/>
          <w:bCs/>
          <w:kern w:val="2"/>
          <w:lang w:eastAsia="en-US"/>
          <w14:ligatures w14:val="standardContextual"/>
        </w:rPr>
      </w:pPr>
      <w:r w:rsidRPr="005905DE">
        <w:rPr>
          <w:rFonts w:ascii="Calibri" w:hAnsi="Calibri" w:eastAsia="Aptos" w:cs="Calibri"/>
          <w:bCs/>
          <w:kern w:val="2"/>
          <w:sz w:val="24"/>
          <w:szCs w:val="24"/>
          <w:lang w:eastAsia="en-US"/>
          <w14:ligatures w14:val="standardContextual"/>
        </w:rPr>
        <w:t>Aan de Voorzitter van de Tweede Kamer der Staten-Generaal</w:t>
      </w:r>
    </w:p>
    <w:p w:rsidRPr="005905DE" w:rsidR="005905DE" w:rsidP="006A6A1B" w:rsidRDefault="005905DE" w14:paraId="716416ED" w14:textId="39D32539">
      <w:pPr>
        <w:spacing w:after="160" w:line="276" w:lineRule="auto"/>
        <w:rPr>
          <w:rFonts w:ascii="Calibri" w:hAnsi="Calibri" w:eastAsia="Aptos" w:cs="Calibri"/>
          <w:bCs/>
          <w:kern w:val="2"/>
          <w:lang w:eastAsia="en-US"/>
          <w14:ligatures w14:val="standardContextual"/>
        </w:rPr>
      </w:pPr>
      <w:r w:rsidRPr="005905DE">
        <w:rPr>
          <w:rFonts w:ascii="Calibri" w:hAnsi="Calibri" w:eastAsia="Aptos" w:cs="Calibri"/>
          <w:bCs/>
          <w:kern w:val="2"/>
          <w:lang w:eastAsia="en-US"/>
          <w14:ligatures w14:val="standardContextual"/>
        </w:rPr>
        <w:t>Den Haag, 30 januari 2026</w:t>
      </w:r>
    </w:p>
    <w:p w:rsidRPr="005905DE" w:rsidR="006A6A1B" w:rsidP="006A6A1B" w:rsidRDefault="006A6A1B" w14:paraId="669930DC" w14:textId="77777777">
      <w:pPr>
        <w:spacing w:after="160" w:line="276" w:lineRule="auto"/>
        <w:rPr>
          <w:rFonts w:ascii="Calibri" w:hAnsi="Calibri" w:eastAsia="Aptos" w:cs="Calibri"/>
          <w:bCs/>
          <w:kern w:val="2"/>
          <w:lang w:val="nl-NL" w:eastAsia="en-US"/>
          <w14:ligatures w14:val="standardContextual"/>
        </w:rPr>
      </w:pPr>
    </w:p>
    <w:p w:rsidRPr="005905DE" w:rsidR="006A6A1B" w:rsidP="006A6A1B" w:rsidRDefault="006A6A1B" w14:paraId="1DF45C83"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Overeenkomstig de bestaande afspraken ontvangt u hierbij 10 fiches die werden opgesteld door de werkgroep Beoordeling Nieuwe Commissie voorstellen (BNC).</w:t>
      </w:r>
    </w:p>
    <w:p w:rsidRPr="005905DE" w:rsidR="006A6A1B" w:rsidP="006A6A1B" w:rsidRDefault="006A6A1B" w14:paraId="428DD958" w14:textId="77777777">
      <w:pPr>
        <w:spacing w:after="160" w:line="276" w:lineRule="auto"/>
        <w:rPr>
          <w:rFonts w:ascii="Calibri" w:hAnsi="Calibri" w:eastAsia="Aptos" w:cs="Calibri"/>
          <w:bCs/>
          <w:kern w:val="2"/>
          <w:lang w:val="nl-NL" w:eastAsia="en-US"/>
          <w14:ligatures w14:val="standardContextual"/>
        </w:rPr>
      </w:pPr>
    </w:p>
    <w:p w:rsidRPr="005905DE" w:rsidR="006A6A1B" w:rsidP="006A6A1B" w:rsidRDefault="006A6A1B" w14:paraId="56D7D0F2"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Fiche - Mededeling Versterking van de economische veiligheid van de EU (Kamerstuk 22 112, nr. 4239).</w:t>
      </w:r>
    </w:p>
    <w:p w:rsidRPr="005905DE" w:rsidR="006A6A1B" w:rsidP="006A6A1B" w:rsidRDefault="006A6A1B" w14:paraId="3077B4CC"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Fiche - Mededeling EU-Agenda voor Steden (Kamerstuk 22 112, nr. 4240).</w:t>
      </w:r>
    </w:p>
    <w:p w:rsidRPr="005905DE" w:rsidR="006A6A1B" w:rsidP="006A6A1B" w:rsidRDefault="006A6A1B" w14:paraId="7B5FCAA0"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Fiche - Kapitaalmarktintegratie en Toezichtcentralisatie Pakket (KTP) (Kamerstuk 22 112, nr. 4241).</w:t>
      </w:r>
    </w:p>
    <w:p w:rsidRPr="005905DE" w:rsidR="006A6A1B" w:rsidP="006A6A1B" w:rsidRDefault="006A6A1B" w14:paraId="24ED5822"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Fiche – Finaliteitsverordening (Kamerstuk 22 112, nr. 4242).</w:t>
      </w:r>
    </w:p>
    <w:p w:rsidRPr="005905DE" w:rsidR="006A6A1B" w:rsidP="006A6A1B" w:rsidRDefault="006A6A1B" w14:paraId="405ADB81"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Fiche - Mededeling over het EU actieplan tegen drugshandel (Kamerstuk 22 112, nr. 4243).</w:t>
      </w:r>
    </w:p>
    <w:p w:rsidRPr="005905DE" w:rsidR="006A6A1B" w:rsidP="006A6A1B" w:rsidRDefault="006A6A1B" w14:paraId="78A3C4D1"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Fiche - RESourceEU actieplan en voorstel tot aanpassing van de verordening kritieke grondstoffen (Kamerstuk 22 112, nr. 4244).</w:t>
      </w:r>
    </w:p>
    <w:p w:rsidRPr="005905DE" w:rsidR="006A6A1B" w:rsidP="006A6A1B" w:rsidRDefault="006A6A1B" w14:paraId="3DC287C7"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Fiche - Wijzigingsvoorstel Verordening CO2-emissienormen zware bedrijfsvoertuigen (Kamerstuk 22 112, nr. 4245).</w:t>
      </w:r>
    </w:p>
    <w:p w:rsidRPr="005905DE" w:rsidR="006A6A1B" w:rsidP="006A6A1B" w:rsidRDefault="006A6A1B" w14:paraId="6ADFAEE3"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Fiche - Herziening EU-drugsstrategie.</w:t>
      </w:r>
    </w:p>
    <w:p w:rsidRPr="005905DE" w:rsidR="006A6A1B" w:rsidP="006A6A1B" w:rsidRDefault="006A6A1B" w14:paraId="22453340"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 xml:space="preserve">Fiche - Mededeling </w:t>
      </w:r>
      <w:r w:rsidRPr="005905DE">
        <w:rPr>
          <w:rFonts w:ascii="Calibri" w:hAnsi="Calibri" w:eastAsia="Aptos" w:cs="Calibri"/>
          <w:bCs/>
          <w:i/>
          <w:iCs/>
          <w:kern w:val="2"/>
          <w:lang w:val="nl-NL" w:eastAsia="en-US"/>
          <w14:ligatures w14:val="standardContextual"/>
        </w:rPr>
        <w:t xml:space="preserve">European Democracy Shield </w:t>
      </w:r>
      <w:r w:rsidRPr="005905DE">
        <w:rPr>
          <w:rFonts w:ascii="Calibri" w:hAnsi="Calibri" w:eastAsia="Aptos" w:cs="Calibri"/>
          <w:bCs/>
          <w:kern w:val="2"/>
          <w:lang w:val="nl-NL" w:eastAsia="en-US"/>
          <w14:ligatures w14:val="standardContextual"/>
        </w:rPr>
        <w:t>(Kamerstuk 22 112, nr. 4247).</w:t>
      </w:r>
    </w:p>
    <w:p w:rsidRPr="005905DE" w:rsidR="006A6A1B" w:rsidP="006A6A1B" w:rsidRDefault="006A6A1B" w14:paraId="53CBF098" w14:textId="77777777">
      <w:pPr>
        <w:spacing w:after="160" w:line="276" w:lineRule="auto"/>
        <w:rPr>
          <w:rFonts w:ascii="Calibri" w:hAnsi="Calibri" w:eastAsia="Aptos" w:cs="Calibri"/>
          <w:bCs/>
          <w:kern w:val="2"/>
          <w:lang w:val="nl-NL" w:eastAsia="en-US"/>
          <w14:ligatures w14:val="standardContextual"/>
        </w:rPr>
      </w:pPr>
      <w:r w:rsidRPr="005905DE">
        <w:rPr>
          <w:rFonts w:ascii="Calibri" w:hAnsi="Calibri" w:eastAsia="Aptos" w:cs="Calibri"/>
          <w:bCs/>
          <w:kern w:val="2"/>
          <w:lang w:val="nl-NL" w:eastAsia="en-US"/>
          <w14:ligatures w14:val="standardContextual"/>
        </w:rPr>
        <w:t>Fiche - Mededeling EU strategie Maatschappelijke Organisaties (Kamerstuk 22 112, nr. 4248).</w:t>
      </w:r>
    </w:p>
    <w:p w:rsidRPr="005905DE" w:rsidR="006A6A1B" w:rsidP="005905DE" w:rsidRDefault="006A6A1B" w14:paraId="51D9E8F6" w14:textId="77777777">
      <w:pPr>
        <w:pStyle w:val="Geenafstand"/>
        <w:rPr>
          <w:rFonts w:ascii="Calibri" w:hAnsi="Calibri" w:eastAsia="Aptos" w:cs="Calibri"/>
          <w:lang w:val="nl-NL" w:eastAsia="en-US"/>
        </w:rPr>
      </w:pPr>
    </w:p>
    <w:p w:rsidRPr="005905DE" w:rsidR="006A6A1B" w:rsidP="005905DE" w:rsidRDefault="006A6A1B" w14:paraId="2FCAF4DE" w14:textId="77777777">
      <w:pPr>
        <w:pStyle w:val="Geenafstand"/>
        <w:rPr>
          <w:rFonts w:ascii="Calibri" w:hAnsi="Calibri" w:eastAsia="Aptos" w:cs="Calibri"/>
          <w:lang w:val="nl-NL" w:eastAsia="en-US"/>
        </w:rPr>
      </w:pPr>
      <w:r w:rsidRPr="005905DE">
        <w:rPr>
          <w:rFonts w:ascii="Calibri" w:hAnsi="Calibri" w:eastAsia="Aptos" w:cs="Calibri"/>
          <w:lang w:val="nl-NL" w:eastAsia="en-US"/>
        </w:rPr>
        <w:t>De minister van Buitenlandse Zaken,</w:t>
      </w:r>
    </w:p>
    <w:p w:rsidRPr="005905DE" w:rsidR="006A6A1B" w:rsidP="005905DE" w:rsidRDefault="006A6A1B" w14:paraId="139B13FC" w14:textId="77777777">
      <w:pPr>
        <w:pStyle w:val="Geenafstand"/>
        <w:rPr>
          <w:rFonts w:ascii="Calibri" w:hAnsi="Calibri" w:eastAsia="Aptos" w:cs="Calibri"/>
          <w:lang w:val="nl-NL" w:eastAsia="en-US"/>
        </w:rPr>
      </w:pPr>
      <w:r w:rsidRPr="005905DE">
        <w:rPr>
          <w:rFonts w:ascii="Calibri" w:hAnsi="Calibri" w:eastAsia="Aptos" w:cs="Calibri"/>
          <w:lang w:val="nl-NL" w:eastAsia="en-US"/>
        </w:rPr>
        <w:t>D.M. van Weel</w:t>
      </w:r>
    </w:p>
    <w:p w:rsidRPr="005905DE" w:rsidR="006A6A1B" w:rsidP="005905DE" w:rsidRDefault="006A6A1B" w14:paraId="3F5A6F1B" w14:textId="77777777">
      <w:pPr>
        <w:pStyle w:val="Geenafstand"/>
        <w:rPr>
          <w:rFonts w:ascii="Calibri" w:hAnsi="Calibri" w:eastAsia="Aptos" w:cs="Calibri"/>
          <w:lang w:val="nl-NL" w:eastAsia="en-US"/>
        </w:rPr>
      </w:pPr>
    </w:p>
    <w:p w:rsidRPr="005905DE" w:rsidR="005905DE" w:rsidRDefault="005905DE" w14:paraId="110117B0" w14:textId="77777777">
      <w:pPr>
        <w:rPr>
          <w:rFonts w:ascii="Calibri" w:hAnsi="Calibri" w:eastAsia="Aptos" w:cs="Calibri"/>
          <w:kern w:val="2"/>
          <w:lang w:val="nl-NL" w:eastAsia="en-US"/>
          <w14:ligatures w14:val="standardContextual"/>
        </w:rPr>
      </w:pPr>
      <w:r w:rsidRPr="005905DE">
        <w:rPr>
          <w:rFonts w:ascii="Calibri" w:hAnsi="Calibri" w:eastAsia="Aptos" w:cs="Calibri"/>
          <w:kern w:val="2"/>
          <w:lang w:val="nl-NL" w:eastAsia="en-US"/>
          <w14:ligatures w14:val="standardContextual"/>
        </w:rPr>
        <w:br w:type="page"/>
      </w:r>
    </w:p>
    <w:p w:rsidRPr="005905DE" w:rsidR="00595056" w:rsidP="005905DE" w:rsidRDefault="00B74354" w14:paraId="5E97103A" w14:textId="28D51130">
      <w:pPr>
        <w:pStyle w:val="Kop1"/>
        <w:spacing w:after="160"/>
        <w:rPr>
          <w:rFonts w:ascii="Calibri" w:hAnsi="Calibri" w:eastAsia="Verdana" w:cs="Calibri"/>
          <w:color w:val="000000" w:themeColor="text1"/>
          <w:sz w:val="22"/>
          <w:szCs w:val="22"/>
        </w:rPr>
      </w:pPr>
      <w:r w:rsidRPr="005905DE">
        <w:rPr>
          <w:rFonts w:ascii="Calibri" w:hAnsi="Calibri" w:eastAsia="Verdana" w:cs="Calibri"/>
          <w:b/>
          <w:bCs/>
          <w:color w:val="000000" w:themeColor="text1"/>
          <w:sz w:val="22"/>
          <w:szCs w:val="22"/>
        </w:rPr>
        <w:lastRenderedPageBreak/>
        <w:t xml:space="preserve">Fiche: </w:t>
      </w:r>
      <w:r w:rsidRPr="005905DE" w:rsidR="00406C90">
        <w:rPr>
          <w:rFonts w:ascii="Calibri" w:hAnsi="Calibri" w:eastAsia="Verdana" w:cs="Calibri"/>
          <w:b/>
          <w:bCs/>
          <w:color w:val="000000" w:themeColor="text1"/>
          <w:sz w:val="22"/>
          <w:szCs w:val="22"/>
        </w:rPr>
        <w:t>EU-drugsstrategie</w:t>
      </w:r>
    </w:p>
    <w:p w:rsidRPr="005905DE" w:rsidR="00595056" w:rsidP="005905DE" w:rsidRDefault="00595056" w14:paraId="64566CBE" w14:textId="77777777">
      <w:pPr>
        <w:spacing w:after="160"/>
        <w:rPr>
          <w:rFonts w:ascii="Calibri" w:hAnsi="Calibri" w:eastAsia="Verdana" w:cs="Calibri"/>
          <w:b/>
          <w:bCs/>
          <w:color w:val="000000" w:themeColor="text1"/>
          <w:u w:val="single"/>
        </w:rPr>
      </w:pPr>
    </w:p>
    <w:p w:rsidRPr="005905DE" w:rsidR="00595056" w:rsidP="005905DE" w:rsidRDefault="00B74354" w14:paraId="62968F89" w14:textId="77777777">
      <w:pPr>
        <w:numPr>
          <w:ilvl w:val="0"/>
          <w:numId w:val="12"/>
        </w:numPr>
        <w:spacing w:after="160"/>
        <w:rPr>
          <w:rFonts w:ascii="Calibri" w:hAnsi="Calibri" w:eastAsia="Verdana" w:cs="Calibri"/>
          <w:b/>
          <w:bCs/>
          <w:color w:val="000000" w:themeColor="text1"/>
        </w:rPr>
      </w:pPr>
      <w:r w:rsidRPr="005905DE">
        <w:rPr>
          <w:rFonts w:ascii="Calibri" w:hAnsi="Calibri" w:eastAsia="Verdana" w:cs="Calibri"/>
          <w:b/>
          <w:bCs/>
          <w:color w:val="000000" w:themeColor="text1"/>
        </w:rPr>
        <w:t>Algemene gegevens</w:t>
      </w:r>
    </w:p>
    <w:p w:rsidRPr="005905DE" w:rsidR="00840053" w:rsidP="005905DE" w:rsidRDefault="00B74354" w14:paraId="074F89BE" w14:textId="11640549">
      <w:pPr>
        <w:numPr>
          <w:ilvl w:val="0"/>
          <w:numId w:val="13"/>
        </w:numPr>
        <w:spacing w:after="160"/>
        <w:rPr>
          <w:rFonts w:ascii="Calibri" w:hAnsi="Calibri" w:eastAsia="Verdana" w:cs="Calibri"/>
          <w:i/>
          <w:iCs/>
          <w:color w:val="000000" w:themeColor="text1"/>
          <w:lang w:val="en-US"/>
        </w:rPr>
      </w:pPr>
      <w:r w:rsidRPr="005905DE">
        <w:rPr>
          <w:rFonts w:ascii="Calibri" w:hAnsi="Calibri" w:eastAsia="Verdana" w:cs="Calibri"/>
          <w:i/>
          <w:iCs/>
          <w:color w:val="000000" w:themeColor="text1"/>
          <w:lang w:val="en-US"/>
        </w:rPr>
        <w:t>Titel voorstel</w:t>
      </w:r>
    </w:p>
    <w:p w:rsidRPr="005905DE" w:rsidR="00595056" w:rsidP="005905DE" w:rsidRDefault="00B74354" w14:paraId="450D64CB" w14:textId="14EDF152">
      <w:pPr>
        <w:spacing w:after="160"/>
        <w:rPr>
          <w:rFonts w:ascii="Calibri" w:hAnsi="Calibri" w:eastAsia="Verdana" w:cs="Calibri"/>
          <w:i/>
          <w:iCs/>
          <w:color w:val="000000" w:themeColor="text1"/>
          <w:lang w:val="en-US"/>
        </w:rPr>
      </w:pPr>
      <w:r w:rsidRPr="005905DE">
        <w:rPr>
          <w:rFonts w:ascii="Calibri" w:hAnsi="Calibri" w:eastAsia="Verdana" w:cs="Calibri"/>
          <w:color w:val="000000" w:themeColor="text1"/>
          <w:lang w:val="en-US"/>
        </w:rPr>
        <w:t>Communication from the Commission to the European Parliament and the Council on the EU Drugs Strategy</w:t>
      </w:r>
      <w:r w:rsidRPr="005905DE" w:rsidR="00E0729B">
        <w:rPr>
          <w:rFonts w:ascii="Calibri" w:hAnsi="Calibri" w:eastAsia="Verdana" w:cs="Calibri"/>
          <w:color w:val="000000" w:themeColor="text1"/>
          <w:lang w:val="en-US"/>
        </w:rPr>
        <w:br/>
      </w:r>
    </w:p>
    <w:p w:rsidRPr="005905DE" w:rsidR="00840053" w:rsidP="005905DE" w:rsidRDefault="00B74354" w14:paraId="2DB5DD83" w14:textId="1D96F59E">
      <w:pPr>
        <w:numPr>
          <w:ilvl w:val="0"/>
          <w:numId w:val="13"/>
        </w:numPr>
        <w:spacing w:after="160"/>
        <w:rPr>
          <w:rFonts w:ascii="Calibri" w:hAnsi="Calibri" w:eastAsia="Verdana" w:cs="Calibri"/>
          <w:i/>
          <w:iCs/>
          <w:color w:val="000000" w:themeColor="text1"/>
        </w:rPr>
      </w:pPr>
      <w:r w:rsidRPr="005905DE">
        <w:rPr>
          <w:rFonts w:ascii="Calibri" w:hAnsi="Calibri" w:eastAsia="Verdana" w:cs="Calibri"/>
          <w:i/>
          <w:iCs/>
          <w:color w:val="000000" w:themeColor="text1"/>
        </w:rPr>
        <w:t>Datum ontvangst Commissiedocument</w:t>
      </w:r>
    </w:p>
    <w:p w:rsidRPr="005905DE" w:rsidR="00595056" w:rsidP="005905DE" w:rsidRDefault="00B74354" w14:paraId="2DE09A69" w14:textId="452B6B08">
      <w:pPr>
        <w:spacing w:after="160"/>
        <w:rPr>
          <w:rFonts w:ascii="Calibri" w:hAnsi="Calibri" w:eastAsia="Verdana" w:cs="Calibri"/>
          <w:color w:val="000000" w:themeColor="text1"/>
        </w:rPr>
      </w:pPr>
      <w:r w:rsidRPr="005905DE">
        <w:rPr>
          <w:rFonts w:ascii="Calibri" w:hAnsi="Calibri" w:eastAsia="Verdana" w:cs="Calibri"/>
          <w:color w:val="000000" w:themeColor="text1"/>
        </w:rPr>
        <w:t>4 december 2025</w:t>
      </w:r>
      <w:r w:rsidRPr="005905DE" w:rsidR="00E0729B">
        <w:rPr>
          <w:rFonts w:ascii="Calibri" w:hAnsi="Calibri" w:eastAsia="Verdana" w:cs="Calibri"/>
          <w:color w:val="000000" w:themeColor="text1"/>
        </w:rPr>
        <w:br/>
      </w:r>
    </w:p>
    <w:p w:rsidRPr="005905DE" w:rsidR="00840053" w:rsidP="005905DE" w:rsidRDefault="00B74354" w14:paraId="58F54A0F" w14:textId="55271729">
      <w:pPr>
        <w:numPr>
          <w:ilvl w:val="0"/>
          <w:numId w:val="13"/>
        </w:numPr>
        <w:spacing w:after="160"/>
        <w:rPr>
          <w:rFonts w:ascii="Calibri" w:hAnsi="Calibri" w:eastAsia="Verdana" w:cs="Calibri"/>
          <w:i/>
          <w:iCs/>
          <w:color w:val="000000" w:themeColor="text1"/>
        </w:rPr>
      </w:pPr>
      <w:r w:rsidRPr="005905DE">
        <w:rPr>
          <w:rFonts w:ascii="Calibri" w:hAnsi="Calibri" w:eastAsia="Verdana" w:cs="Calibri"/>
          <w:i/>
          <w:iCs/>
          <w:color w:val="000000" w:themeColor="text1"/>
        </w:rPr>
        <w:t>Nr. Commissiedocument</w:t>
      </w:r>
    </w:p>
    <w:p w:rsidRPr="005905DE" w:rsidR="00595056" w:rsidP="005905DE" w:rsidRDefault="00B74354" w14:paraId="1C907FBE" w14:textId="43596E9D">
      <w:pPr>
        <w:spacing w:after="160"/>
        <w:rPr>
          <w:rFonts w:ascii="Calibri" w:hAnsi="Calibri" w:eastAsia="Verdana" w:cs="Calibri"/>
          <w:i/>
          <w:iCs/>
          <w:color w:val="000000" w:themeColor="text1"/>
        </w:rPr>
      </w:pPr>
      <w:r w:rsidRPr="005905DE">
        <w:rPr>
          <w:rFonts w:ascii="Calibri" w:hAnsi="Calibri" w:eastAsia="Verdana" w:cs="Calibri"/>
          <w:color w:val="000000" w:themeColor="text1"/>
        </w:rPr>
        <w:t>COM(2025) 743 final</w:t>
      </w:r>
      <w:r w:rsidRPr="005905DE" w:rsidR="00E0729B">
        <w:rPr>
          <w:rFonts w:ascii="Calibri" w:hAnsi="Calibri" w:eastAsia="Verdana" w:cs="Calibri"/>
          <w:color w:val="000000" w:themeColor="text1"/>
        </w:rPr>
        <w:br/>
      </w:r>
    </w:p>
    <w:p w:rsidRPr="005905DE" w:rsidR="00840053" w:rsidP="005905DE" w:rsidRDefault="00B74354" w14:paraId="257D5B4E" w14:textId="55247F79">
      <w:pPr>
        <w:numPr>
          <w:ilvl w:val="0"/>
          <w:numId w:val="13"/>
        </w:numPr>
        <w:spacing w:after="160"/>
        <w:rPr>
          <w:rFonts w:ascii="Calibri" w:hAnsi="Calibri" w:eastAsia="Verdana" w:cs="Calibri"/>
          <w:i/>
          <w:iCs/>
          <w:color w:val="000000" w:themeColor="text1"/>
          <w:lang w:val="fr-FR"/>
        </w:rPr>
      </w:pPr>
      <w:r w:rsidRPr="005905DE">
        <w:rPr>
          <w:rFonts w:ascii="Calibri" w:hAnsi="Calibri" w:eastAsia="Verdana" w:cs="Calibri"/>
          <w:i/>
          <w:iCs/>
          <w:color w:val="000000" w:themeColor="text1"/>
          <w:lang w:val="fr-FR"/>
        </w:rPr>
        <w:t>EUR-Lex</w:t>
      </w:r>
    </w:p>
    <w:p w:rsidRPr="005905DE" w:rsidR="00E0729B" w:rsidP="005905DE" w:rsidRDefault="0026183E" w14:paraId="6D848F29" w14:textId="431028AA">
      <w:pPr>
        <w:spacing w:after="160"/>
        <w:rPr>
          <w:rFonts w:ascii="Calibri" w:hAnsi="Calibri" w:cs="Calibri"/>
          <w:lang w:val="fr-FR"/>
        </w:rPr>
      </w:pPr>
      <w:hyperlink w:history="1" r:id="rId11">
        <w:r w:rsidRPr="005905DE">
          <w:rPr>
            <w:rStyle w:val="Hyperlink"/>
            <w:rFonts w:ascii="Calibri" w:hAnsi="Calibri" w:cs="Calibri"/>
            <w:lang w:val="fr-FR"/>
          </w:rPr>
          <w:t>EUR-Lex - 52025DC0743 - EN - EUR-Lex</w:t>
        </w:r>
      </w:hyperlink>
    </w:p>
    <w:p w:rsidRPr="005905DE" w:rsidR="0026183E" w:rsidP="005905DE" w:rsidRDefault="0026183E" w14:paraId="21CB8C9A" w14:textId="77777777">
      <w:pPr>
        <w:spacing w:after="160"/>
        <w:ind w:left="360"/>
        <w:rPr>
          <w:rFonts w:ascii="Calibri" w:hAnsi="Calibri" w:eastAsia="Verdana" w:cs="Calibri"/>
          <w:i/>
          <w:iCs/>
          <w:color w:val="000000" w:themeColor="text1"/>
          <w:lang w:val="fr-FR"/>
        </w:rPr>
      </w:pPr>
    </w:p>
    <w:p w:rsidRPr="005905DE" w:rsidR="00840053" w:rsidP="005905DE" w:rsidRDefault="00B74354" w14:paraId="1DE229B6" w14:textId="0866EC15">
      <w:pPr>
        <w:numPr>
          <w:ilvl w:val="0"/>
          <w:numId w:val="13"/>
        </w:numPr>
        <w:spacing w:after="160"/>
        <w:rPr>
          <w:rFonts w:ascii="Calibri" w:hAnsi="Calibri" w:eastAsia="Verdana" w:cs="Calibri"/>
          <w:i/>
          <w:iCs/>
          <w:color w:val="000000" w:themeColor="text1"/>
          <w:lang w:val="fr-FR"/>
        </w:rPr>
      </w:pPr>
      <w:r w:rsidRPr="005905DE">
        <w:rPr>
          <w:rFonts w:ascii="Calibri" w:hAnsi="Calibri" w:eastAsia="Verdana" w:cs="Calibri"/>
          <w:i/>
          <w:iCs/>
          <w:color w:val="000000" w:themeColor="text1"/>
          <w:lang w:val="fr-FR"/>
        </w:rPr>
        <w:t>Nr. impact assessment Commissie en Opinie</w:t>
      </w:r>
    </w:p>
    <w:p w:rsidRPr="005905DE" w:rsidR="00595056" w:rsidP="005905DE" w:rsidRDefault="00B74354" w14:paraId="7676DDC2" w14:textId="743B3160">
      <w:pPr>
        <w:spacing w:after="160"/>
        <w:rPr>
          <w:rFonts w:ascii="Calibri" w:hAnsi="Calibri" w:eastAsia="Verdana" w:cs="Calibri"/>
          <w:i/>
          <w:iCs/>
          <w:color w:val="000000" w:themeColor="text1"/>
        </w:rPr>
      </w:pPr>
      <w:r w:rsidRPr="005905DE">
        <w:rPr>
          <w:rFonts w:ascii="Calibri" w:hAnsi="Calibri" w:eastAsia="Verdana" w:cs="Calibri"/>
          <w:color w:val="000000" w:themeColor="text1"/>
        </w:rPr>
        <w:t>Niet opgesteld</w:t>
      </w:r>
      <w:r w:rsidRPr="005905DE" w:rsidR="00E0729B">
        <w:rPr>
          <w:rFonts w:ascii="Calibri" w:hAnsi="Calibri" w:eastAsia="Verdana" w:cs="Calibri"/>
          <w:color w:val="000000" w:themeColor="text1"/>
        </w:rPr>
        <w:t>.</w:t>
      </w:r>
      <w:r w:rsidRPr="005905DE" w:rsidR="00E0729B">
        <w:rPr>
          <w:rFonts w:ascii="Calibri" w:hAnsi="Calibri" w:eastAsia="Verdana" w:cs="Calibri"/>
          <w:color w:val="000000" w:themeColor="text1"/>
        </w:rPr>
        <w:br/>
      </w:r>
      <w:r w:rsidRPr="005905DE">
        <w:rPr>
          <w:rFonts w:ascii="Calibri" w:hAnsi="Calibri" w:eastAsia="Verdana" w:cs="Calibri"/>
          <w:i/>
          <w:iCs/>
          <w:color w:val="000000" w:themeColor="text1"/>
        </w:rPr>
        <w:t xml:space="preserve"> </w:t>
      </w:r>
    </w:p>
    <w:p w:rsidRPr="005905DE" w:rsidR="00840053" w:rsidP="005905DE" w:rsidRDefault="00B74354" w14:paraId="75D9FE89" w14:textId="4706B924">
      <w:pPr>
        <w:numPr>
          <w:ilvl w:val="0"/>
          <w:numId w:val="13"/>
        </w:numPr>
        <w:spacing w:after="160"/>
        <w:rPr>
          <w:rFonts w:ascii="Calibri" w:hAnsi="Calibri" w:eastAsia="Verdana" w:cs="Calibri"/>
          <w:i/>
          <w:iCs/>
          <w:color w:val="000000" w:themeColor="text1"/>
        </w:rPr>
      </w:pPr>
      <w:r w:rsidRPr="005905DE">
        <w:rPr>
          <w:rFonts w:ascii="Calibri" w:hAnsi="Calibri" w:eastAsia="Verdana" w:cs="Calibri"/>
          <w:i/>
          <w:iCs/>
          <w:color w:val="000000" w:themeColor="text1"/>
        </w:rPr>
        <w:t>Behandelingstraject Raad</w:t>
      </w:r>
    </w:p>
    <w:p w:rsidRPr="005905DE" w:rsidR="00595056" w:rsidP="005905DE" w:rsidRDefault="00B74354" w14:paraId="49264D4B" w14:textId="6F7BA79C">
      <w:pPr>
        <w:spacing w:after="160"/>
        <w:rPr>
          <w:rFonts w:ascii="Calibri" w:hAnsi="Calibri" w:eastAsia="Verdana" w:cs="Calibri"/>
          <w:i/>
          <w:iCs/>
          <w:color w:val="000000" w:themeColor="text1"/>
        </w:rPr>
      </w:pPr>
      <w:r w:rsidRPr="005905DE">
        <w:rPr>
          <w:rFonts w:ascii="Calibri" w:hAnsi="Calibri" w:eastAsia="Verdana" w:cs="Calibri"/>
          <w:color w:val="000000" w:themeColor="text1"/>
        </w:rPr>
        <w:t>Raad Justitie en Binnenlandse Zaken (JBZ)</w:t>
      </w:r>
      <w:r w:rsidRPr="005905DE" w:rsidR="00E0729B">
        <w:rPr>
          <w:rFonts w:ascii="Calibri" w:hAnsi="Calibri" w:eastAsia="Verdana" w:cs="Calibri"/>
          <w:color w:val="000000" w:themeColor="text1"/>
        </w:rPr>
        <w:br/>
      </w:r>
    </w:p>
    <w:p w:rsidRPr="005905DE" w:rsidR="00840053" w:rsidP="005905DE" w:rsidRDefault="00B74354" w14:paraId="698FFCA4" w14:textId="53DC1AFC">
      <w:pPr>
        <w:numPr>
          <w:ilvl w:val="0"/>
          <w:numId w:val="13"/>
        </w:numPr>
        <w:spacing w:after="160"/>
        <w:rPr>
          <w:rFonts w:ascii="Calibri" w:hAnsi="Calibri" w:eastAsia="Verdana" w:cs="Calibri"/>
          <w:color w:val="000000" w:themeColor="text1"/>
        </w:rPr>
      </w:pPr>
      <w:r w:rsidRPr="005905DE">
        <w:rPr>
          <w:rFonts w:ascii="Calibri" w:hAnsi="Calibri" w:eastAsia="Verdana" w:cs="Calibri"/>
          <w:i/>
          <w:iCs/>
          <w:color w:val="000000" w:themeColor="text1"/>
        </w:rPr>
        <w:t>Eerstverantwoordelijk ministerie</w:t>
      </w:r>
    </w:p>
    <w:p w:rsidRPr="005905DE" w:rsidR="00595056" w:rsidP="005905DE" w:rsidRDefault="00B74354" w14:paraId="5D700CC9" w14:textId="0F66F340">
      <w:pPr>
        <w:spacing w:after="160"/>
        <w:rPr>
          <w:rFonts w:ascii="Calibri" w:hAnsi="Calibri" w:eastAsia="Verdana" w:cs="Calibri"/>
          <w:color w:val="000000" w:themeColor="text1"/>
        </w:rPr>
      </w:pPr>
      <w:r w:rsidRPr="005905DE">
        <w:rPr>
          <w:rFonts w:ascii="Calibri" w:hAnsi="Calibri" w:eastAsia="Verdana" w:cs="Calibri"/>
          <w:color w:val="000000" w:themeColor="text1"/>
        </w:rPr>
        <w:t>Ministerie van Volksgezondheid, Welzijn en Sport (VWS)</w:t>
      </w:r>
      <w:r w:rsidRPr="005905DE" w:rsidR="00746E0C">
        <w:rPr>
          <w:rFonts w:ascii="Calibri" w:hAnsi="Calibri" w:eastAsia="Verdana" w:cs="Calibri"/>
          <w:color w:val="000000" w:themeColor="text1"/>
        </w:rPr>
        <w:t xml:space="preserve"> </w:t>
      </w:r>
      <w:r w:rsidRPr="005905DE">
        <w:rPr>
          <w:rFonts w:ascii="Calibri" w:hAnsi="Calibri" w:eastAsia="Verdana" w:cs="Calibri"/>
          <w:color w:val="000000" w:themeColor="text1"/>
        </w:rPr>
        <w:t>in nauwe samenwerking met Ministerie van Justitie en Veiligheid (JenV)</w:t>
      </w:r>
    </w:p>
    <w:p w:rsidRPr="005905DE" w:rsidR="00595056" w:rsidP="005905DE" w:rsidRDefault="00595056" w14:paraId="2EA7735B" w14:textId="77777777">
      <w:pPr>
        <w:spacing w:after="160"/>
        <w:rPr>
          <w:rFonts w:ascii="Calibri" w:hAnsi="Calibri" w:eastAsia="Verdana" w:cs="Calibri"/>
          <w:color w:val="000000" w:themeColor="text1"/>
        </w:rPr>
      </w:pPr>
    </w:p>
    <w:p w:rsidRPr="005905DE" w:rsidR="00840053" w:rsidP="005905DE" w:rsidRDefault="00B74354" w14:paraId="53DC98E4" w14:textId="706AEFBA">
      <w:pPr>
        <w:numPr>
          <w:ilvl w:val="0"/>
          <w:numId w:val="12"/>
        </w:numPr>
        <w:spacing w:after="160"/>
        <w:rPr>
          <w:rFonts w:ascii="Calibri" w:hAnsi="Calibri" w:eastAsia="Verdana" w:cs="Calibri"/>
          <w:b/>
          <w:bCs/>
          <w:color w:val="000000" w:themeColor="text1"/>
        </w:rPr>
      </w:pPr>
      <w:r w:rsidRPr="005905DE">
        <w:rPr>
          <w:rFonts w:ascii="Calibri" w:hAnsi="Calibri" w:eastAsia="Verdana" w:cs="Calibri"/>
          <w:b/>
          <w:bCs/>
          <w:color w:val="000000" w:themeColor="text1"/>
        </w:rPr>
        <w:t>Essentie voorstel</w:t>
      </w:r>
    </w:p>
    <w:p w:rsidRPr="005905DE" w:rsidR="00595056" w:rsidP="005905DE" w:rsidRDefault="00B74354" w14:paraId="690138F5" w14:textId="3F53BB3A">
      <w:pPr>
        <w:spacing w:after="160"/>
        <w:rPr>
          <w:rFonts w:ascii="Calibri" w:hAnsi="Calibri" w:eastAsia="Verdana" w:cs="Calibri"/>
          <w:b/>
          <w:bCs/>
          <w:color w:val="000000" w:themeColor="text1"/>
        </w:rPr>
      </w:pPr>
      <w:r w:rsidRPr="005905DE">
        <w:rPr>
          <w:rFonts w:ascii="Calibri" w:hAnsi="Calibri" w:eastAsia="Verdana" w:cs="Calibri"/>
          <w:color w:val="000000" w:themeColor="text1"/>
        </w:rPr>
        <w:t xml:space="preserve">Op 4 december 2025 publiceerde de Europese Commissie (hierna: Commissie) de </w:t>
      </w:r>
      <w:r w:rsidRPr="005905DE" w:rsidR="00544DD5">
        <w:rPr>
          <w:rFonts w:ascii="Calibri" w:hAnsi="Calibri" w:eastAsia="Verdana" w:cs="Calibri"/>
          <w:color w:val="000000" w:themeColor="text1"/>
        </w:rPr>
        <w:t xml:space="preserve">mededeling over de </w:t>
      </w:r>
      <w:r w:rsidRPr="005905DE">
        <w:rPr>
          <w:rFonts w:ascii="Calibri" w:hAnsi="Calibri" w:eastAsia="Verdana" w:cs="Calibri"/>
          <w:color w:val="000000" w:themeColor="text1"/>
        </w:rPr>
        <w:t xml:space="preserve">nieuwe </w:t>
      </w:r>
      <w:r w:rsidRPr="005905DE" w:rsidR="00406C90">
        <w:rPr>
          <w:rFonts w:ascii="Calibri" w:hAnsi="Calibri" w:eastAsia="Verdana" w:cs="Calibri"/>
          <w:color w:val="000000" w:themeColor="text1"/>
        </w:rPr>
        <w:t>EU-drugsstrategie</w:t>
      </w:r>
      <w:r w:rsidRPr="005905DE">
        <w:rPr>
          <w:rFonts w:ascii="Calibri" w:hAnsi="Calibri" w:eastAsia="Verdana" w:cs="Calibri"/>
          <w:color w:val="000000" w:themeColor="text1"/>
        </w:rPr>
        <w:t>.</w:t>
      </w:r>
      <w:r w:rsidRPr="005905DE" w:rsidR="00763FE8">
        <w:rPr>
          <w:rStyle w:val="Voetnootmarkering"/>
          <w:rFonts w:ascii="Calibri" w:hAnsi="Calibri" w:eastAsia="Verdana" w:cs="Calibri"/>
          <w:color w:val="000000" w:themeColor="text1"/>
        </w:rPr>
        <w:footnoteReference w:id="2"/>
      </w:r>
      <w:r w:rsidRPr="005905DE">
        <w:rPr>
          <w:rFonts w:ascii="Calibri" w:hAnsi="Calibri" w:eastAsia="Verdana" w:cs="Calibri"/>
          <w:color w:val="000000" w:themeColor="text1"/>
        </w:rPr>
        <w:t xml:space="preserve"> Deze strategie is de opvolger van de </w:t>
      </w:r>
      <w:r w:rsidRPr="005905DE" w:rsidR="00406C90">
        <w:rPr>
          <w:rFonts w:ascii="Calibri" w:hAnsi="Calibri" w:eastAsia="Verdana" w:cs="Calibri"/>
          <w:color w:val="000000" w:themeColor="text1"/>
        </w:rPr>
        <w:t>EU-drugsstrategie</w:t>
      </w:r>
      <w:r w:rsidRPr="005905DE">
        <w:rPr>
          <w:rFonts w:ascii="Calibri" w:hAnsi="Calibri" w:eastAsia="Verdana" w:cs="Calibri"/>
          <w:color w:val="000000" w:themeColor="text1"/>
        </w:rPr>
        <w:t xml:space="preserve"> 2021–2025</w:t>
      </w:r>
      <w:r w:rsidRPr="005905DE">
        <w:rPr>
          <w:rFonts w:ascii="Calibri" w:hAnsi="Calibri" w:eastAsia="Verdana" w:cs="Calibri"/>
          <w:color w:val="000000" w:themeColor="text1"/>
          <w:vertAlign w:val="superscript"/>
        </w:rPr>
        <w:footnoteReference w:id="3"/>
      </w:r>
      <w:r w:rsidRPr="005905DE">
        <w:rPr>
          <w:rFonts w:ascii="Calibri" w:hAnsi="Calibri" w:eastAsia="Verdana" w:cs="Calibri"/>
          <w:color w:val="000000" w:themeColor="text1"/>
        </w:rPr>
        <w:t xml:space="preserve"> en legt de prioriteiten voor het Europese drugsbeleid voor de komende jaren vast.</w:t>
      </w:r>
      <w:r w:rsidRPr="005905DE" w:rsidR="00886C0C">
        <w:rPr>
          <w:rFonts w:ascii="Calibri" w:hAnsi="Calibri" w:eastAsia="Verdana" w:cs="Calibri"/>
          <w:color w:val="000000" w:themeColor="text1"/>
        </w:rPr>
        <w:t xml:space="preserve"> In tegenstelling tot de vorige strategie die was opgesteld door de Raad, is dit keer de Commissie penvoerder.</w:t>
      </w:r>
      <w:r w:rsidRPr="005905DE">
        <w:rPr>
          <w:rFonts w:ascii="Calibri" w:hAnsi="Calibri" w:eastAsia="Verdana" w:cs="Calibri"/>
          <w:color w:val="000000" w:themeColor="text1"/>
        </w:rPr>
        <w:br/>
      </w:r>
      <w:r w:rsidRPr="005905DE" w:rsidR="0098016E">
        <w:rPr>
          <w:rFonts w:ascii="Calibri" w:hAnsi="Calibri" w:eastAsia="Verdana" w:cs="Calibri"/>
          <w:color w:val="000000" w:themeColor="text1"/>
        </w:rPr>
        <w:br/>
      </w:r>
      <w:r w:rsidRPr="005905DE">
        <w:rPr>
          <w:rFonts w:ascii="Calibri" w:hAnsi="Calibri" w:eastAsia="Verdana" w:cs="Calibri"/>
          <w:color w:val="000000" w:themeColor="text1"/>
        </w:rPr>
        <w:t>De strategie is opgesteld tegen de achtergrond van recente ontwikkelingen in de Europese drugssituatie. Daarbij wijst de Commissie op de toenemende beschikbaarheid van drugs</w:t>
      </w:r>
      <w:r w:rsidRPr="005905DE" w:rsidR="0079694A">
        <w:rPr>
          <w:rFonts w:ascii="Calibri" w:hAnsi="Calibri" w:eastAsia="Verdana" w:cs="Calibri"/>
          <w:color w:val="000000" w:themeColor="text1"/>
        </w:rPr>
        <w:t xml:space="preserve"> en de opkomst van steeds risicovollere stoffen, evenals op </w:t>
      </w:r>
      <w:r w:rsidRPr="005905DE">
        <w:rPr>
          <w:rFonts w:ascii="Calibri" w:hAnsi="Calibri" w:eastAsia="Verdana" w:cs="Calibri"/>
          <w:color w:val="000000" w:themeColor="text1"/>
        </w:rPr>
        <w:t>groeiende problemen op het gebied van gezondheid, sociale schade, georganiseerde criminaliteit</w:t>
      </w:r>
      <w:r w:rsidRPr="005905DE" w:rsidR="00D57C96">
        <w:rPr>
          <w:rFonts w:ascii="Calibri" w:hAnsi="Calibri" w:eastAsia="Verdana" w:cs="Calibri"/>
          <w:color w:val="000000" w:themeColor="text1"/>
        </w:rPr>
        <w:t xml:space="preserve"> en </w:t>
      </w:r>
      <w:r w:rsidRPr="005905DE">
        <w:rPr>
          <w:rFonts w:ascii="Calibri" w:hAnsi="Calibri" w:eastAsia="Verdana" w:cs="Calibri"/>
          <w:color w:val="000000" w:themeColor="text1"/>
        </w:rPr>
        <w:t>milieuschade</w:t>
      </w:r>
      <w:r w:rsidRPr="005905DE" w:rsidR="00D57C96">
        <w:rPr>
          <w:rFonts w:ascii="Calibri" w:hAnsi="Calibri" w:eastAsia="Verdana" w:cs="Calibri"/>
          <w:color w:val="000000" w:themeColor="text1"/>
        </w:rPr>
        <w:t>. T</w:t>
      </w:r>
      <w:r w:rsidRPr="005905DE">
        <w:rPr>
          <w:rFonts w:ascii="Calibri" w:hAnsi="Calibri" w:eastAsia="Verdana" w:cs="Calibri"/>
          <w:color w:val="000000" w:themeColor="text1"/>
        </w:rPr>
        <w:t>ot slot</w:t>
      </w:r>
      <w:r w:rsidRPr="005905DE" w:rsidR="00D57C96">
        <w:rPr>
          <w:rFonts w:ascii="Calibri" w:hAnsi="Calibri" w:eastAsia="Verdana" w:cs="Calibri"/>
          <w:color w:val="000000" w:themeColor="text1"/>
        </w:rPr>
        <w:t xml:space="preserve"> wijst de </w:t>
      </w:r>
      <w:r w:rsidRPr="005905DE" w:rsidR="00D57C96">
        <w:rPr>
          <w:rFonts w:ascii="Calibri" w:hAnsi="Calibri" w:eastAsia="Verdana" w:cs="Calibri"/>
          <w:color w:val="000000" w:themeColor="text1"/>
        </w:rPr>
        <w:lastRenderedPageBreak/>
        <w:t xml:space="preserve">Commissie op </w:t>
      </w:r>
      <w:r w:rsidRPr="005905DE">
        <w:rPr>
          <w:rFonts w:ascii="Calibri" w:hAnsi="Calibri" w:eastAsia="Verdana" w:cs="Calibri"/>
          <w:color w:val="000000" w:themeColor="text1"/>
        </w:rPr>
        <w:t>problemen rondom de normalisering van cocaïnegebruik en andere stimulerende middelen.</w:t>
      </w:r>
    </w:p>
    <w:p w:rsidRPr="005905DE" w:rsidR="00840053" w:rsidP="005905DE" w:rsidRDefault="00840053" w14:paraId="00A9B273" w14:textId="77777777">
      <w:pPr>
        <w:pStyle w:val="Geenafstand"/>
        <w:rPr>
          <w:rFonts w:ascii="Calibri" w:hAnsi="Calibri" w:eastAsia="Verdana" w:cs="Calibri"/>
        </w:rPr>
      </w:pPr>
    </w:p>
    <w:p w:rsidRPr="005905DE" w:rsidR="0098016E" w:rsidP="005905DE" w:rsidRDefault="00B74354" w14:paraId="0BA76C90" w14:textId="0FA07F3F">
      <w:pPr>
        <w:pStyle w:val="Geenafstand"/>
        <w:rPr>
          <w:rFonts w:ascii="Calibri" w:hAnsi="Calibri" w:eastAsia="Verdana" w:cs="Calibri"/>
        </w:rPr>
      </w:pPr>
      <w:r w:rsidRPr="005905DE">
        <w:rPr>
          <w:rFonts w:ascii="Calibri" w:hAnsi="Calibri" w:eastAsia="Verdana" w:cs="Calibri"/>
        </w:rPr>
        <w:t>Het doel van de strategie is om burgers en samenlevingen te beschermen tegen de schadelijke gevolgen van drugsgebruik en drugshandel, door gezondheid, sociale maatregelen en veiligheid in een geïntegreerde aanpak te verbinden. De strategie bouwt voort op de evaluatie van de vorige strategie en het bijbehorende actieplan, waaruit de noodzaak van een meer operationele en resultaatgerichte benadering naar voren kwam.</w:t>
      </w:r>
      <w:r w:rsidRPr="005905DE">
        <w:rPr>
          <w:rFonts w:ascii="Calibri" w:hAnsi="Calibri" w:eastAsia="Verdana" w:cs="Calibri"/>
          <w:vertAlign w:val="superscript"/>
        </w:rPr>
        <w:footnoteReference w:id="4"/>
      </w:r>
      <w:r w:rsidRPr="005905DE">
        <w:rPr>
          <w:rFonts w:ascii="Calibri" w:hAnsi="Calibri" w:eastAsia="Verdana" w:cs="Calibri"/>
        </w:rPr>
        <w:t xml:space="preserve"> De strategie is aangekondigd in</w:t>
      </w:r>
      <w:r w:rsidRPr="005905DE">
        <w:rPr>
          <w:rFonts w:ascii="Calibri" w:hAnsi="Calibri" w:eastAsia="Verdana" w:cs="Calibri"/>
          <w:i/>
          <w:iCs/>
        </w:rPr>
        <w:t xml:space="preserve"> </w:t>
      </w:r>
      <w:r w:rsidRPr="005905DE" w:rsidR="00A47D5B">
        <w:rPr>
          <w:rFonts w:ascii="Calibri" w:hAnsi="Calibri" w:eastAsia="Verdana" w:cs="Calibri"/>
          <w:i/>
          <w:iCs/>
        </w:rPr>
        <w:t>de Interne Veiligheidsstrategie</w:t>
      </w:r>
      <w:r w:rsidRPr="005905DE">
        <w:rPr>
          <w:rFonts w:ascii="Calibri" w:hAnsi="Calibri" w:eastAsia="Verdana" w:cs="Calibri"/>
          <w:vertAlign w:val="superscript"/>
        </w:rPr>
        <w:footnoteReference w:id="5"/>
      </w:r>
      <w:r w:rsidRPr="005905DE">
        <w:rPr>
          <w:rFonts w:ascii="Calibri" w:hAnsi="Calibri" w:eastAsia="Verdana" w:cs="Calibri"/>
          <w:i/>
          <w:iCs/>
        </w:rPr>
        <w:t xml:space="preserve"> </w:t>
      </w:r>
      <w:r w:rsidRPr="005905DE">
        <w:rPr>
          <w:rFonts w:ascii="Calibri" w:hAnsi="Calibri" w:eastAsia="Verdana" w:cs="Calibri"/>
        </w:rPr>
        <w:t>en</w:t>
      </w:r>
      <w:r w:rsidRPr="005905DE" w:rsidR="00D57C96">
        <w:rPr>
          <w:rFonts w:ascii="Calibri" w:hAnsi="Calibri" w:eastAsia="Verdana" w:cs="Calibri"/>
        </w:rPr>
        <w:t xml:space="preserve"> is</w:t>
      </w:r>
      <w:r w:rsidRPr="005905DE">
        <w:rPr>
          <w:rFonts w:ascii="Calibri" w:hAnsi="Calibri" w:eastAsia="Verdana" w:cs="Calibri"/>
        </w:rPr>
        <w:t xml:space="preserve"> ingebed in bredere EU-kaders, waaronder de </w:t>
      </w:r>
      <w:r w:rsidRPr="005905DE">
        <w:rPr>
          <w:rFonts w:ascii="Calibri" w:hAnsi="Calibri" w:eastAsia="Verdana" w:cs="Calibri"/>
          <w:i/>
          <w:iCs/>
        </w:rPr>
        <w:t>Paraatheidsuniestrategie</w:t>
      </w:r>
      <w:r w:rsidRPr="005905DE">
        <w:rPr>
          <w:rFonts w:ascii="Calibri" w:hAnsi="Calibri" w:eastAsia="Verdana" w:cs="Calibri"/>
        </w:rPr>
        <w:t>,</w:t>
      </w:r>
      <w:r w:rsidRPr="005905DE" w:rsidR="007427C5">
        <w:rPr>
          <w:rStyle w:val="Voetnootmarkering"/>
          <w:rFonts w:ascii="Calibri" w:hAnsi="Calibri" w:eastAsia="Verdana" w:cs="Calibri"/>
          <w:color w:val="000000" w:themeColor="text1"/>
        </w:rPr>
        <w:footnoteReference w:id="6"/>
      </w:r>
      <w:r w:rsidRPr="005905DE">
        <w:rPr>
          <w:rFonts w:ascii="Calibri" w:hAnsi="Calibri" w:eastAsia="Verdana" w:cs="Calibri"/>
        </w:rPr>
        <w:t xml:space="preserve"> </w:t>
      </w:r>
      <w:r w:rsidRPr="005905DE">
        <w:rPr>
          <w:rFonts w:ascii="Calibri" w:hAnsi="Calibri" w:eastAsia="Verdana" w:cs="Calibri"/>
          <w:i/>
          <w:iCs/>
        </w:rPr>
        <w:t>de Europese Gezondheidsunie</w:t>
      </w:r>
      <w:r w:rsidRPr="005905DE" w:rsidR="007427C5">
        <w:rPr>
          <w:rStyle w:val="Voetnootmarkering"/>
          <w:rFonts w:ascii="Calibri" w:hAnsi="Calibri" w:eastAsia="Verdana" w:cs="Calibri"/>
          <w:i/>
          <w:iCs/>
          <w:color w:val="000000" w:themeColor="text1"/>
        </w:rPr>
        <w:footnoteReference w:id="7"/>
      </w:r>
      <w:r w:rsidRPr="005905DE">
        <w:rPr>
          <w:rFonts w:ascii="Calibri" w:hAnsi="Calibri" w:eastAsia="Verdana" w:cs="Calibri"/>
        </w:rPr>
        <w:t xml:space="preserve"> en het </w:t>
      </w:r>
      <w:r w:rsidRPr="005905DE">
        <w:rPr>
          <w:rFonts w:ascii="Calibri" w:hAnsi="Calibri" w:eastAsia="Verdana" w:cs="Calibri"/>
          <w:i/>
          <w:iCs/>
        </w:rPr>
        <w:t>EU-raamwerk voor ernstige grensoverschrijdende bedreigingen van de gezondheid</w:t>
      </w:r>
      <w:r w:rsidRPr="005905DE">
        <w:rPr>
          <w:rFonts w:ascii="Calibri" w:hAnsi="Calibri" w:eastAsia="Verdana" w:cs="Calibri"/>
        </w:rPr>
        <w:t>.</w:t>
      </w:r>
      <w:r w:rsidRPr="005905DE" w:rsidR="007427C5">
        <w:rPr>
          <w:rStyle w:val="Voetnootmarkering"/>
          <w:rFonts w:ascii="Calibri" w:hAnsi="Calibri" w:eastAsia="Verdana" w:cs="Calibri"/>
          <w:color w:val="000000" w:themeColor="text1"/>
        </w:rPr>
        <w:footnoteReference w:id="8"/>
      </w:r>
      <w:r w:rsidRPr="005905DE">
        <w:rPr>
          <w:rFonts w:ascii="Calibri" w:hAnsi="Calibri" w:eastAsia="Verdana" w:cs="Calibri"/>
        </w:rPr>
        <w:t xml:space="preserve"> </w:t>
      </w:r>
      <w:r w:rsidRPr="005905DE">
        <w:rPr>
          <w:rFonts w:ascii="Calibri" w:hAnsi="Calibri" w:eastAsia="Verdana" w:cs="Calibri"/>
        </w:rPr>
        <w:br/>
      </w:r>
    </w:p>
    <w:p w:rsidRPr="005905DE" w:rsidR="00595056" w:rsidP="005905DE" w:rsidRDefault="00B74354" w14:paraId="6EF2F31B" w14:textId="1306751E">
      <w:pPr>
        <w:spacing w:after="160"/>
        <w:rPr>
          <w:rFonts w:ascii="Calibri" w:hAnsi="Calibri" w:eastAsia="Arial" w:cs="Calibri"/>
          <w:color w:val="000000" w:themeColor="text1"/>
        </w:rPr>
      </w:pPr>
      <w:r w:rsidRPr="005905DE">
        <w:rPr>
          <w:rFonts w:ascii="Calibri" w:hAnsi="Calibri" w:eastAsia="Verdana" w:cs="Calibri"/>
          <w:color w:val="000000" w:themeColor="text1"/>
        </w:rPr>
        <w:t xml:space="preserve">De Commissie </w:t>
      </w:r>
      <w:r w:rsidRPr="005905DE" w:rsidR="00886C0C">
        <w:rPr>
          <w:rFonts w:ascii="Calibri" w:hAnsi="Calibri" w:eastAsia="Verdana" w:cs="Calibri"/>
          <w:color w:val="000000" w:themeColor="text1"/>
        </w:rPr>
        <w:t xml:space="preserve">stut </w:t>
      </w:r>
      <w:r w:rsidRPr="005905DE">
        <w:rPr>
          <w:rFonts w:ascii="Calibri" w:hAnsi="Calibri" w:eastAsia="Verdana" w:cs="Calibri"/>
          <w:color w:val="000000" w:themeColor="text1"/>
        </w:rPr>
        <w:t xml:space="preserve">de strategie </w:t>
      </w:r>
      <w:r w:rsidRPr="005905DE" w:rsidR="00886C0C">
        <w:rPr>
          <w:rFonts w:ascii="Calibri" w:hAnsi="Calibri" w:eastAsia="Verdana" w:cs="Calibri"/>
          <w:color w:val="000000" w:themeColor="text1"/>
        </w:rPr>
        <w:t xml:space="preserve">op een fundament met </w:t>
      </w:r>
      <w:r w:rsidRPr="005905DE">
        <w:rPr>
          <w:rFonts w:ascii="Calibri" w:hAnsi="Calibri" w:eastAsia="Verdana" w:cs="Calibri"/>
          <w:color w:val="000000" w:themeColor="text1"/>
        </w:rPr>
        <w:t>vijf pijlers.</w:t>
      </w:r>
      <w:r w:rsidRPr="005905DE" w:rsidR="00746E0C">
        <w:rPr>
          <w:rFonts w:ascii="Calibri" w:hAnsi="Calibri" w:eastAsia="Verdana" w:cs="Calibri"/>
          <w:color w:val="000000" w:themeColor="text1"/>
        </w:rPr>
        <w:t xml:space="preserve"> </w:t>
      </w:r>
      <w:r w:rsidRPr="005905DE">
        <w:rPr>
          <w:rFonts w:ascii="Calibri" w:hAnsi="Calibri" w:eastAsia="Verdana" w:cs="Calibri"/>
          <w:color w:val="000000" w:themeColor="text1"/>
        </w:rPr>
        <w:t xml:space="preserve">In </w:t>
      </w:r>
      <w:r w:rsidRPr="005905DE">
        <w:rPr>
          <w:rFonts w:ascii="Calibri" w:hAnsi="Calibri" w:eastAsia="Verdana" w:cs="Calibri"/>
          <w:color w:val="000000" w:themeColor="text1"/>
          <w:u w:val="single"/>
        </w:rPr>
        <w:t>de eerste pijler</w:t>
      </w:r>
      <w:r w:rsidRPr="005905DE">
        <w:rPr>
          <w:rFonts w:ascii="Calibri" w:hAnsi="Calibri" w:eastAsia="Verdana" w:cs="Calibri"/>
          <w:color w:val="000000" w:themeColor="text1"/>
        </w:rPr>
        <w:t xml:space="preserve"> </w:t>
      </w:r>
      <w:r w:rsidRPr="005905DE" w:rsidR="00D5768B">
        <w:rPr>
          <w:rFonts w:ascii="Calibri" w:hAnsi="Calibri" w:eastAsia="Verdana" w:cs="Calibri"/>
          <w:color w:val="000000" w:themeColor="text1"/>
        </w:rPr>
        <w:t>zet</w:t>
      </w:r>
      <w:r w:rsidRPr="005905DE">
        <w:rPr>
          <w:rFonts w:ascii="Calibri" w:hAnsi="Calibri" w:eastAsia="Verdana" w:cs="Calibri"/>
          <w:color w:val="000000" w:themeColor="text1"/>
        </w:rPr>
        <w:t xml:space="preserve"> de Commissie </w:t>
      </w:r>
      <w:r w:rsidRPr="005905DE" w:rsidR="00D5768B">
        <w:rPr>
          <w:rFonts w:ascii="Calibri" w:hAnsi="Calibri" w:eastAsia="Verdana" w:cs="Calibri"/>
          <w:color w:val="000000" w:themeColor="text1"/>
        </w:rPr>
        <w:t xml:space="preserve">in op het verhogen van </w:t>
      </w:r>
      <w:r w:rsidRPr="005905DE">
        <w:rPr>
          <w:rFonts w:ascii="Calibri" w:hAnsi="Calibri" w:eastAsia="Verdana" w:cs="Calibri"/>
          <w:color w:val="000000" w:themeColor="text1"/>
        </w:rPr>
        <w:t>de paraatheid door</w:t>
      </w:r>
      <w:r w:rsidRPr="005905DE" w:rsidR="00891131">
        <w:rPr>
          <w:rFonts w:ascii="Calibri" w:hAnsi="Calibri" w:eastAsia="Verdana" w:cs="Calibri"/>
          <w:color w:val="000000" w:themeColor="text1"/>
        </w:rPr>
        <w:t xml:space="preserve"> </w:t>
      </w:r>
      <w:r w:rsidRPr="005905DE">
        <w:rPr>
          <w:rFonts w:ascii="Calibri" w:hAnsi="Calibri" w:eastAsia="Verdana" w:cs="Calibri"/>
          <w:color w:val="000000" w:themeColor="text1"/>
        </w:rPr>
        <w:t xml:space="preserve">monitoring en vroegsignalering te verbeteren. Zij </w:t>
      </w:r>
      <w:r w:rsidRPr="005905DE" w:rsidR="00D5768B">
        <w:rPr>
          <w:rFonts w:ascii="Calibri" w:hAnsi="Calibri" w:eastAsia="Verdana" w:cs="Calibri"/>
          <w:color w:val="000000" w:themeColor="text1"/>
        </w:rPr>
        <w:t>ziet daarbij een belangrijke rol voor</w:t>
      </w:r>
      <w:r w:rsidRPr="005905DE">
        <w:rPr>
          <w:rFonts w:ascii="Calibri" w:hAnsi="Calibri" w:eastAsia="Verdana" w:cs="Calibri"/>
          <w:color w:val="000000" w:themeColor="text1"/>
        </w:rPr>
        <w:t xml:space="preserve"> de European Union Drugs Agency (EUDA) en Europol. </w:t>
      </w:r>
      <w:r w:rsidRPr="005905DE" w:rsidR="00D5768B">
        <w:rPr>
          <w:rFonts w:ascii="Calibri" w:hAnsi="Calibri" w:eastAsia="Verdana" w:cs="Calibri"/>
          <w:color w:val="000000" w:themeColor="text1"/>
        </w:rPr>
        <w:t xml:space="preserve">Zo </w:t>
      </w:r>
      <w:r w:rsidRPr="005905DE" w:rsidR="00E8451D">
        <w:rPr>
          <w:rFonts w:ascii="Calibri" w:hAnsi="Calibri" w:eastAsia="Verdana" w:cs="Calibri"/>
          <w:color w:val="000000" w:themeColor="text1"/>
        </w:rPr>
        <w:t xml:space="preserve">wordt voorgesteld dat </w:t>
      </w:r>
      <w:r w:rsidRPr="005905DE" w:rsidR="00D5768B">
        <w:rPr>
          <w:rFonts w:ascii="Calibri" w:hAnsi="Calibri" w:eastAsia="Verdana" w:cs="Calibri"/>
          <w:color w:val="000000" w:themeColor="text1"/>
        </w:rPr>
        <w:t xml:space="preserve">EUDA </w:t>
      </w:r>
      <w:r w:rsidRPr="005905DE">
        <w:rPr>
          <w:rFonts w:ascii="Calibri" w:hAnsi="Calibri" w:eastAsia="Verdana" w:cs="Calibri"/>
          <w:color w:val="000000" w:themeColor="text1"/>
        </w:rPr>
        <w:t xml:space="preserve">dreigingsanalyses </w:t>
      </w:r>
      <w:r w:rsidRPr="005905DE" w:rsidR="00E8451D">
        <w:rPr>
          <w:rFonts w:ascii="Calibri" w:hAnsi="Calibri" w:eastAsia="Verdana" w:cs="Calibri"/>
          <w:color w:val="000000" w:themeColor="text1"/>
        </w:rPr>
        <w:t xml:space="preserve">zal </w:t>
      </w:r>
      <w:r w:rsidRPr="005905DE">
        <w:rPr>
          <w:rFonts w:ascii="Calibri" w:hAnsi="Calibri" w:eastAsia="Verdana" w:cs="Calibri"/>
          <w:color w:val="000000" w:themeColor="text1"/>
        </w:rPr>
        <w:t xml:space="preserve">ontwikkelen, waaronder een specifieke analyse van </w:t>
      </w:r>
      <w:r w:rsidRPr="005905DE" w:rsidR="001A0E99">
        <w:rPr>
          <w:rFonts w:ascii="Calibri" w:hAnsi="Calibri" w:eastAsia="Verdana" w:cs="Calibri"/>
          <w:color w:val="000000" w:themeColor="text1"/>
        </w:rPr>
        <w:t>krachtige</w:t>
      </w:r>
      <w:r w:rsidRPr="005905DE">
        <w:rPr>
          <w:rFonts w:ascii="Calibri" w:hAnsi="Calibri" w:eastAsia="Verdana" w:cs="Calibri"/>
          <w:color w:val="000000" w:themeColor="text1"/>
        </w:rPr>
        <w:t xml:space="preserve"> synthetische opioïden. Daarnaast </w:t>
      </w:r>
      <w:r w:rsidRPr="005905DE" w:rsidR="00D5768B">
        <w:rPr>
          <w:rFonts w:ascii="Calibri" w:hAnsi="Calibri" w:eastAsia="Verdana" w:cs="Calibri"/>
          <w:color w:val="000000" w:themeColor="text1"/>
        </w:rPr>
        <w:t>focust</w:t>
      </w:r>
      <w:r w:rsidRPr="005905DE">
        <w:rPr>
          <w:rFonts w:ascii="Calibri" w:hAnsi="Calibri" w:eastAsia="Verdana" w:cs="Calibri"/>
          <w:color w:val="000000" w:themeColor="text1"/>
        </w:rPr>
        <w:t xml:space="preserve"> de Commissie op </w:t>
      </w:r>
      <w:r w:rsidRPr="005905DE">
        <w:rPr>
          <w:rFonts w:ascii="Calibri" w:hAnsi="Calibri" w:eastAsia="Verdana" w:cs="Calibri"/>
          <w:i/>
          <w:iCs/>
          <w:color w:val="000000" w:themeColor="text1"/>
        </w:rPr>
        <w:t>foresight</w:t>
      </w:r>
      <w:r w:rsidRPr="005905DE">
        <w:rPr>
          <w:rFonts w:ascii="Calibri" w:hAnsi="Calibri" w:eastAsia="Verdana" w:cs="Calibri"/>
          <w:color w:val="000000" w:themeColor="text1"/>
        </w:rPr>
        <w:t xml:space="preserve"> en </w:t>
      </w:r>
      <w:r w:rsidRPr="005905DE">
        <w:rPr>
          <w:rFonts w:ascii="Calibri" w:hAnsi="Calibri" w:eastAsia="Verdana" w:cs="Calibri"/>
          <w:i/>
          <w:iCs/>
          <w:color w:val="000000" w:themeColor="text1"/>
        </w:rPr>
        <w:t>horizon</w:t>
      </w:r>
      <w:r w:rsidRPr="005905DE">
        <w:rPr>
          <w:rFonts w:ascii="Calibri" w:hAnsi="Calibri" w:eastAsia="Verdana" w:cs="Calibri"/>
          <w:color w:val="000000" w:themeColor="text1"/>
        </w:rPr>
        <w:t xml:space="preserve"> </w:t>
      </w:r>
      <w:r w:rsidRPr="005905DE">
        <w:rPr>
          <w:rFonts w:ascii="Calibri" w:hAnsi="Calibri" w:eastAsia="Verdana" w:cs="Calibri"/>
          <w:i/>
          <w:iCs/>
          <w:color w:val="000000" w:themeColor="text1"/>
        </w:rPr>
        <w:t>scanning</w:t>
      </w:r>
      <w:r w:rsidRPr="005905DE" w:rsidR="00D5768B">
        <w:rPr>
          <w:rFonts w:ascii="Calibri" w:hAnsi="Calibri" w:eastAsia="Verdana" w:cs="Calibri"/>
          <w:i/>
          <w:iCs/>
          <w:color w:val="000000" w:themeColor="text1"/>
        </w:rPr>
        <w:t>,</w:t>
      </w:r>
      <w:r w:rsidRPr="005905DE">
        <w:rPr>
          <w:rFonts w:ascii="Calibri" w:hAnsi="Calibri" w:eastAsia="Verdana" w:cs="Calibri"/>
          <w:color w:val="000000" w:themeColor="text1"/>
        </w:rPr>
        <w:t xml:space="preserve"> om</w:t>
      </w:r>
      <w:r w:rsidRPr="005905DE" w:rsidR="001A0E99">
        <w:rPr>
          <w:rFonts w:ascii="Calibri" w:hAnsi="Calibri" w:eastAsia="Verdana" w:cs="Calibri"/>
          <w:color w:val="000000" w:themeColor="text1"/>
        </w:rPr>
        <w:t xml:space="preserve"> tijdig</w:t>
      </w:r>
      <w:r w:rsidRPr="005905DE">
        <w:rPr>
          <w:rFonts w:ascii="Calibri" w:hAnsi="Calibri" w:eastAsia="Verdana" w:cs="Calibri"/>
          <w:color w:val="000000" w:themeColor="text1"/>
        </w:rPr>
        <w:t xml:space="preserve"> </w:t>
      </w:r>
      <w:r w:rsidRPr="005905DE" w:rsidR="00D57C96">
        <w:rPr>
          <w:rFonts w:ascii="Calibri" w:hAnsi="Calibri" w:eastAsia="Verdana" w:cs="Calibri"/>
          <w:color w:val="000000" w:themeColor="text1"/>
        </w:rPr>
        <w:t xml:space="preserve">op </w:t>
      </w:r>
      <w:r w:rsidRPr="005905DE">
        <w:rPr>
          <w:rFonts w:ascii="Calibri" w:hAnsi="Calibri" w:eastAsia="Verdana" w:cs="Calibri"/>
          <w:color w:val="000000" w:themeColor="text1"/>
        </w:rPr>
        <w:t xml:space="preserve">ontwikkelingen zoals digitalisering, nieuwe gebruiksvormen (waaronder vapen) en de opkomst van synthetische drugs te kunnen anticiperen. De Commissie stimuleert lidstaten om nationale paraatheids- en responsmaatregelen te ontwikkelen. </w:t>
      </w:r>
      <w:r w:rsidRPr="005905DE" w:rsidR="00D5768B">
        <w:rPr>
          <w:rFonts w:ascii="Calibri" w:hAnsi="Calibri" w:eastAsia="Verdana" w:cs="Calibri"/>
          <w:color w:val="000000" w:themeColor="text1"/>
        </w:rPr>
        <w:t>Ook</w:t>
      </w:r>
      <w:r w:rsidRPr="005905DE">
        <w:rPr>
          <w:rFonts w:ascii="Calibri" w:hAnsi="Calibri" w:eastAsia="Verdana" w:cs="Calibri"/>
          <w:color w:val="000000" w:themeColor="text1"/>
        </w:rPr>
        <w:t xml:space="preserve"> onderstreept de Commissie het belang van onderzoek en innovatie, onder meer ter ondersteuning van de detectie van nieuwe stoffen en precursoren.</w:t>
      </w:r>
      <w:r w:rsidRPr="005905DE" w:rsidR="00D5768B">
        <w:rPr>
          <w:rFonts w:ascii="Calibri" w:hAnsi="Calibri" w:eastAsia="Verdana" w:cs="Calibri"/>
          <w:color w:val="000000" w:themeColor="text1"/>
        </w:rPr>
        <w:t xml:space="preserve"> De Commissie zal, in samenwerking met o.a. Europol, de verspreiding van innovatieve methodes coördineren.</w:t>
      </w:r>
    </w:p>
    <w:p w:rsidRPr="005905DE" w:rsidR="00840053" w:rsidP="005905DE" w:rsidRDefault="00840053" w14:paraId="31B1B791" w14:textId="77777777">
      <w:pPr>
        <w:pStyle w:val="Geenafstand"/>
        <w:rPr>
          <w:rFonts w:ascii="Calibri" w:hAnsi="Calibri" w:eastAsia="Verdana" w:cs="Calibri"/>
        </w:rPr>
      </w:pPr>
    </w:p>
    <w:p w:rsidRPr="005905DE" w:rsidR="00595056" w:rsidP="005905DE" w:rsidRDefault="00B74354" w14:paraId="7965466B" w14:textId="7BF278A5">
      <w:pPr>
        <w:spacing w:after="160"/>
        <w:rPr>
          <w:rFonts w:ascii="Calibri" w:hAnsi="Calibri" w:eastAsia="Verdana" w:cs="Calibri"/>
          <w:color w:val="000000" w:themeColor="text1"/>
        </w:rPr>
      </w:pPr>
      <w:r w:rsidRPr="005905DE">
        <w:rPr>
          <w:rFonts w:ascii="Calibri" w:hAnsi="Calibri" w:eastAsia="Verdana" w:cs="Calibri"/>
          <w:color w:val="000000" w:themeColor="text1"/>
          <w:u w:val="single"/>
        </w:rPr>
        <w:t>In de tweede pijler</w:t>
      </w:r>
      <w:r w:rsidRPr="005905DE">
        <w:rPr>
          <w:rFonts w:ascii="Calibri" w:hAnsi="Calibri" w:eastAsia="Verdana" w:cs="Calibri"/>
          <w:color w:val="000000" w:themeColor="text1"/>
        </w:rPr>
        <w:t xml:space="preserve"> </w:t>
      </w:r>
      <w:r w:rsidRPr="005905DE" w:rsidR="00310CCB">
        <w:rPr>
          <w:rFonts w:ascii="Calibri" w:hAnsi="Calibri" w:eastAsia="Verdana" w:cs="Calibri"/>
          <w:color w:val="000000" w:themeColor="text1"/>
        </w:rPr>
        <w:t>richt</w:t>
      </w:r>
      <w:r w:rsidRPr="005905DE">
        <w:rPr>
          <w:rFonts w:ascii="Calibri" w:hAnsi="Calibri" w:eastAsia="Verdana" w:cs="Calibri"/>
          <w:color w:val="000000" w:themeColor="text1"/>
        </w:rPr>
        <w:t xml:space="preserve"> de Commissie</w:t>
      </w:r>
      <w:r w:rsidRPr="005905DE" w:rsidR="00310CCB">
        <w:rPr>
          <w:rFonts w:ascii="Calibri" w:hAnsi="Calibri" w:eastAsia="Verdana" w:cs="Calibri"/>
          <w:color w:val="000000" w:themeColor="text1"/>
        </w:rPr>
        <w:t xml:space="preserve"> zich op</w:t>
      </w:r>
      <w:r w:rsidRPr="005905DE">
        <w:rPr>
          <w:rFonts w:ascii="Calibri" w:hAnsi="Calibri" w:eastAsia="Verdana" w:cs="Calibri"/>
          <w:color w:val="000000" w:themeColor="text1"/>
        </w:rPr>
        <w:t xml:space="preserve"> gezondheid, preventie en herstel</w:t>
      </w:r>
      <w:r w:rsidRPr="005905DE" w:rsidR="00310CCB">
        <w:rPr>
          <w:rFonts w:ascii="Calibri" w:hAnsi="Calibri" w:eastAsia="Verdana" w:cs="Calibri"/>
          <w:color w:val="000000" w:themeColor="text1"/>
        </w:rPr>
        <w:t xml:space="preserve">. De Commissie roept lidstaten op om zowel universele als gerichte preventieactiviteiten te versterken. De Commissie intensiveert haar inzet op preventieve en mentale gezondheid, onder meer via het kader </w:t>
      </w:r>
      <w:r w:rsidRPr="005905DE" w:rsidR="00310CCB">
        <w:rPr>
          <w:rFonts w:ascii="Calibri" w:hAnsi="Calibri" w:eastAsia="Verdana" w:cs="Calibri"/>
          <w:i/>
          <w:iCs/>
          <w:color w:val="000000" w:themeColor="text1"/>
        </w:rPr>
        <w:t>Healthier Together</w:t>
      </w:r>
      <w:r w:rsidRPr="005905DE" w:rsidR="002F445D">
        <w:rPr>
          <w:rStyle w:val="Voetnootmarkering"/>
          <w:rFonts w:ascii="Calibri" w:hAnsi="Calibri" w:eastAsia="Verdana" w:cs="Calibri"/>
          <w:color w:val="000000" w:themeColor="text1"/>
        </w:rPr>
        <w:footnoteReference w:id="9"/>
      </w:r>
      <w:r w:rsidRPr="005905DE" w:rsidR="00310CCB">
        <w:rPr>
          <w:rFonts w:ascii="Calibri" w:hAnsi="Calibri" w:eastAsia="Verdana" w:cs="Calibri"/>
          <w:color w:val="000000" w:themeColor="text1"/>
        </w:rPr>
        <w:t xml:space="preserve"> en een afzonderlijke mededeling over mentale gezondheid</w:t>
      </w:r>
      <w:r w:rsidRPr="005905DE" w:rsidR="00763FE8">
        <w:rPr>
          <w:rFonts w:ascii="Calibri" w:hAnsi="Calibri" w:eastAsia="Verdana" w:cs="Calibri"/>
          <w:color w:val="000000" w:themeColor="text1"/>
        </w:rPr>
        <w:t>.</w:t>
      </w:r>
      <w:r w:rsidRPr="005905DE" w:rsidR="002F445D">
        <w:rPr>
          <w:rStyle w:val="Voetnootmarkering"/>
          <w:rFonts w:ascii="Calibri" w:hAnsi="Calibri" w:eastAsia="Verdana" w:cs="Calibri"/>
          <w:color w:val="000000" w:themeColor="text1"/>
        </w:rPr>
        <w:footnoteReference w:id="10"/>
      </w:r>
      <w:r w:rsidRPr="005905DE" w:rsidR="00310CCB">
        <w:rPr>
          <w:rFonts w:ascii="Calibri" w:hAnsi="Calibri" w:eastAsia="Verdana" w:cs="Calibri"/>
          <w:color w:val="000000" w:themeColor="text1"/>
        </w:rPr>
        <w:t xml:space="preserve"> In samenwerking met de </w:t>
      </w:r>
      <w:r w:rsidRPr="005905DE" w:rsidR="00746E0C">
        <w:rPr>
          <w:rFonts w:ascii="Calibri" w:hAnsi="Calibri" w:eastAsia="Verdana" w:cs="Calibri"/>
          <w:color w:val="000000" w:themeColor="text1"/>
        </w:rPr>
        <w:t>Wereldgezondheidsorganisatie (WHO)</w:t>
      </w:r>
      <w:r w:rsidRPr="005905DE" w:rsidR="00310CCB">
        <w:rPr>
          <w:rFonts w:ascii="Calibri" w:hAnsi="Calibri" w:eastAsia="Verdana" w:cs="Calibri"/>
          <w:color w:val="000000" w:themeColor="text1"/>
        </w:rPr>
        <w:t xml:space="preserve"> ondersteunt zij lidstaten bij capaciteitsopbouw, kennisdeling en training, </w:t>
      </w:r>
      <w:r w:rsidRPr="005905DE" w:rsidR="008808A8">
        <w:rPr>
          <w:rFonts w:ascii="Calibri" w:hAnsi="Calibri" w:eastAsia="Verdana" w:cs="Calibri"/>
          <w:color w:val="000000" w:themeColor="text1"/>
        </w:rPr>
        <w:t xml:space="preserve">onder meer via het door de EU gefinancierde </w:t>
      </w:r>
      <w:r w:rsidRPr="005905DE" w:rsidR="008808A8">
        <w:rPr>
          <w:rFonts w:ascii="Calibri" w:hAnsi="Calibri" w:eastAsia="Verdana" w:cs="Calibri"/>
          <w:i/>
          <w:iCs/>
          <w:color w:val="000000" w:themeColor="text1"/>
        </w:rPr>
        <w:t>European Programme for Mental Health Exchanges, Networking and Skills</w:t>
      </w:r>
      <w:r w:rsidRPr="005905DE" w:rsidR="008808A8">
        <w:rPr>
          <w:rFonts w:ascii="Calibri" w:hAnsi="Calibri" w:eastAsia="Verdana" w:cs="Calibri"/>
          <w:color w:val="000000" w:themeColor="text1"/>
        </w:rPr>
        <w:t xml:space="preserve"> (PROMENS)</w:t>
      </w:r>
      <w:r w:rsidRPr="005905DE" w:rsidR="00310CCB">
        <w:rPr>
          <w:rFonts w:ascii="Calibri" w:hAnsi="Calibri" w:eastAsia="Verdana" w:cs="Calibri"/>
          <w:color w:val="000000" w:themeColor="text1"/>
        </w:rPr>
        <w:t xml:space="preserve">, met bijzondere aandacht voor kwetsbare groepen. Om het risicobewustzijn te vergroten bevordert de Commissie evidence-based voorlichting over drugsgebruik. EUDA ondersteunt lidstaten hierbij door </w:t>
      </w:r>
      <w:r w:rsidRPr="005905DE" w:rsidR="001A0E99">
        <w:rPr>
          <w:rFonts w:ascii="Calibri" w:hAnsi="Calibri" w:eastAsia="Verdana" w:cs="Calibri"/>
          <w:color w:val="000000" w:themeColor="text1"/>
        </w:rPr>
        <w:t>wetenschappelijk bewijs</w:t>
      </w:r>
      <w:r w:rsidRPr="005905DE" w:rsidR="00310CCB">
        <w:rPr>
          <w:rFonts w:ascii="Calibri" w:hAnsi="Calibri" w:eastAsia="Verdana" w:cs="Calibri"/>
          <w:color w:val="000000" w:themeColor="text1"/>
        </w:rPr>
        <w:t xml:space="preserve"> en best practices te verzamelen en te verspreiden. Lidstaten worden aangemoedigd om toegankelijke, vrijwillige en kwalitatieve behandeling te waarborgen en sociale ondersteuning te bieden. De Commissie en EUDA stimuleren </w:t>
      </w:r>
      <w:r w:rsidRPr="005905DE" w:rsidR="009D12D0">
        <w:rPr>
          <w:rFonts w:ascii="Calibri" w:hAnsi="Calibri" w:eastAsia="Verdana" w:cs="Calibri"/>
          <w:color w:val="000000" w:themeColor="text1"/>
        </w:rPr>
        <w:t xml:space="preserve">lidstaten om hierbij </w:t>
      </w:r>
      <w:r w:rsidRPr="005905DE" w:rsidR="00310CCB">
        <w:rPr>
          <w:rFonts w:ascii="Calibri" w:hAnsi="Calibri" w:eastAsia="Verdana" w:cs="Calibri"/>
          <w:color w:val="000000" w:themeColor="text1"/>
        </w:rPr>
        <w:t>bestaande Europese en internationale kwaliteitsstandaarden voor preventie, behandeling en zorg</w:t>
      </w:r>
      <w:r w:rsidRPr="005905DE" w:rsidR="009D12D0">
        <w:rPr>
          <w:rFonts w:ascii="Calibri" w:hAnsi="Calibri" w:eastAsia="Verdana" w:cs="Calibri"/>
          <w:color w:val="000000" w:themeColor="text1"/>
        </w:rPr>
        <w:t xml:space="preserve"> toe te passen.</w:t>
      </w:r>
    </w:p>
    <w:p w:rsidRPr="005905DE" w:rsidR="00595056" w:rsidP="005905DE" w:rsidRDefault="00B74354" w14:paraId="3D4B8190" w14:textId="09DC127A">
      <w:pPr>
        <w:spacing w:after="160"/>
        <w:rPr>
          <w:rFonts w:ascii="Calibri" w:hAnsi="Calibri" w:eastAsia="Verdana" w:cs="Calibri"/>
          <w:color w:val="000000" w:themeColor="text1"/>
        </w:rPr>
      </w:pPr>
      <w:r w:rsidRPr="005905DE">
        <w:rPr>
          <w:rFonts w:ascii="Calibri" w:hAnsi="Calibri" w:eastAsia="Verdana" w:cs="Calibri"/>
          <w:color w:val="000000" w:themeColor="text1"/>
          <w:u w:val="single"/>
        </w:rPr>
        <w:t>In de derde pijler</w:t>
      </w:r>
      <w:r w:rsidRPr="005905DE">
        <w:rPr>
          <w:rFonts w:ascii="Calibri" w:hAnsi="Calibri" w:eastAsia="Verdana" w:cs="Calibri"/>
          <w:color w:val="000000" w:themeColor="text1"/>
        </w:rPr>
        <w:t xml:space="preserve"> intensiveert de Commissie de bestrijding van drugshandel door de operationele samenwerking tussen politie, justitie, douane, Frontex en havens te versterken. De Commissie </w:t>
      </w:r>
      <w:r w:rsidRPr="005905DE">
        <w:rPr>
          <w:rFonts w:ascii="Calibri" w:hAnsi="Calibri" w:eastAsia="Verdana" w:cs="Calibri"/>
          <w:color w:val="000000" w:themeColor="text1"/>
        </w:rPr>
        <w:lastRenderedPageBreak/>
        <w:t>concretiseert deze inzet</w:t>
      </w:r>
      <w:r w:rsidRPr="005905DE" w:rsidR="00310CCB">
        <w:rPr>
          <w:rFonts w:ascii="Calibri" w:hAnsi="Calibri" w:eastAsia="Verdana" w:cs="Calibri"/>
          <w:color w:val="000000" w:themeColor="text1"/>
        </w:rPr>
        <w:t xml:space="preserve"> </w:t>
      </w:r>
      <w:r w:rsidRPr="005905DE">
        <w:rPr>
          <w:rFonts w:ascii="Calibri" w:hAnsi="Calibri" w:eastAsia="Verdana" w:cs="Calibri"/>
          <w:color w:val="000000" w:themeColor="text1"/>
        </w:rPr>
        <w:t xml:space="preserve">in een afzonderlijk </w:t>
      </w:r>
      <w:r w:rsidRPr="005905DE">
        <w:rPr>
          <w:rFonts w:ascii="Calibri" w:hAnsi="Calibri" w:eastAsia="Verdana" w:cs="Calibri"/>
          <w:i/>
          <w:iCs/>
          <w:color w:val="000000" w:themeColor="text1"/>
        </w:rPr>
        <w:t>EU Action Plan on Drug Trafficking</w:t>
      </w:r>
      <w:r w:rsidRPr="005905DE">
        <w:rPr>
          <w:rFonts w:ascii="Calibri" w:hAnsi="Calibri" w:eastAsia="Verdana" w:cs="Calibri"/>
          <w:color w:val="000000" w:themeColor="text1"/>
          <w:vertAlign w:val="superscript"/>
        </w:rPr>
        <w:footnoteReference w:id="11"/>
      </w:r>
      <w:r w:rsidRPr="005905DE">
        <w:rPr>
          <w:rFonts w:ascii="Calibri" w:hAnsi="Calibri" w:eastAsia="Verdana" w:cs="Calibri"/>
          <w:color w:val="000000" w:themeColor="text1"/>
        </w:rPr>
        <w:t xml:space="preserve"> voor de periode 2026–2030, gericht op havens, luchtvaart, post- en pakketstromen, financiële stromen en online drugshandel. </w:t>
      </w:r>
    </w:p>
    <w:p w:rsidRPr="005905DE" w:rsidR="00374DC3" w:rsidP="005905DE" w:rsidRDefault="00374DC3" w14:paraId="297FDE8D" w14:textId="77777777">
      <w:pPr>
        <w:pStyle w:val="Geenafstand"/>
        <w:rPr>
          <w:rFonts w:ascii="Calibri" w:hAnsi="Calibri" w:eastAsia="Verdana" w:cs="Calibri"/>
        </w:rPr>
      </w:pPr>
    </w:p>
    <w:p w:rsidRPr="005905DE" w:rsidR="00374DC3" w:rsidP="005905DE" w:rsidRDefault="00B74354" w14:paraId="1CAD5A40" w14:textId="77777777">
      <w:pPr>
        <w:spacing w:after="160"/>
        <w:rPr>
          <w:rFonts w:ascii="Calibri" w:hAnsi="Calibri" w:eastAsia="Verdana" w:cs="Calibri"/>
          <w:color w:val="000000" w:themeColor="text1"/>
        </w:rPr>
      </w:pPr>
      <w:r w:rsidRPr="005905DE">
        <w:rPr>
          <w:rFonts w:ascii="Calibri" w:hAnsi="Calibri" w:eastAsia="Verdana" w:cs="Calibri"/>
          <w:color w:val="000000" w:themeColor="text1"/>
          <w:u w:val="single"/>
        </w:rPr>
        <w:t>In de vierde pijler</w:t>
      </w:r>
      <w:r w:rsidRPr="005905DE">
        <w:rPr>
          <w:rFonts w:ascii="Calibri" w:hAnsi="Calibri" w:eastAsia="Verdana" w:cs="Calibri"/>
          <w:color w:val="000000" w:themeColor="text1"/>
        </w:rPr>
        <w:t xml:space="preserve"> versterkt de Commissie schadebeperking en richt </w:t>
      </w:r>
      <w:r w:rsidRPr="005905DE" w:rsidR="00D57C96">
        <w:rPr>
          <w:rFonts w:ascii="Calibri" w:hAnsi="Calibri" w:eastAsia="Verdana" w:cs="Calibri"/>
          <w:color w:val="000000" w:themeColor="text1"/>
        </w:rPr>
        <w:t xml:space="preserve">zij </w:t>
      </w:r>
      <w:r w:rsidRPr="005905DE">
        <w:rPr>
          <w:rFonts w:ascii="Calibri" w:hAnsi="Calibri" w:eastAsia="Verdana" w:cs="Calibri"/>
          <w:color w:val="000000" w:themeColor="text1"/>
        </w:rPr>
        <w:t xml:space="preserve">zich op het verminderen van de maatschappelijke impact van drugsgebruik. </w:t>
      </w:r>
      <w:r w:rsidRPr="005905DE" w:rsidR="008808A8">
        <w:rPr>
          <w:rFonts w:ascii="Calibri" w:hAnsi="Calibri" w:eastAsia="Verdana" w:cs="Calibri"/>
          <w:color w:val="000000" w:themeColor="text1"/>
        </w:rPr>
        <w:t xml:space="preserve">De Commissie moedigt lidstaten aan harm-reductionvoorzieningen te versterken, zoals het voorkomen van overlijden bij overdoses door toediening van het middel naloxon en zogenaamde spuitomruilprogramma’s: de mogelijkheid voor drugsgebruikers om gebruikte naalden te ruilen voor schone en daarmee ziektes te voorkomen. </w:t>
      </w:r>
      <w:r w:rsidRPr="005905DE">
        <w:rPr>
          <w:rFonts w:ascii="Calibri" w:hAnsi="Calibri" w:eastAsia="Verdana" w:cs="Calibri"/>
          <w:color w:val="000000" w:themeColor="text1"/>
        </w:rPr>
        <w:t>De Commissie zet in op het</w:t>
      </w:r>
      <w:r w:rsidRPr="005905DE" w:rsidR="0098016E">
        <w:rPr>
          <w:rFonts w:ascii="Calibri" w:hAnsi="Calibri" w:eastAsia="Verdana" w:cs="Calibri"/>
          <w:color w:val="000000" w:themeColor="text1"/>
        </w:rPr>
        <w:t xml:space="preserve"> </w:t>
      </w:r>
      <w:r w:rsidRPr="005905DE">
        <w:rPr>
          <w:rFonts w:ascii="Calibri" w:hAnsi="Calibri" w:eastAsia="Verdana" w:cs="Calibri"/>
          <w:color w:val="000000" w:themeColor="text1"/>
        </w:rPr>
        <w:t xml:space="preserve">tegengaan van drugsgerelateerd geweld, het voorkomen van rekrutering van jongeren door criminele netwerken, het verminderen van stigma en het beperken van milieuschade als gevolg van illegale drugsproductie. </w:t>
      </w:r>
    </w:p>
    <w:p w:rsidRPr="005905DE" w:rsidR="00E50BCB" w:rsidP="005905DE" w:rsidRDefault="00B74354" w14:paraId="680AD780" w14:textId="29898B2F">
      <w:pPr>
        <w:pStyle w:val="Geenafstand"/>
        <w:rPr>
          <w:rFonts w:ascii="Calibri" w:hAnsi="Calibri" w:eastAsia="Verdana" w:cs="Calibri"/>
        </w:rPr>
      </w:pPr>
      <w:r w:rsidRPr="005905DE">
        <w:rPr>
          <w:rFonts w:ascii="Calibri" w:hAnsi="Calibri" w:eastAsia="Verdana" w:cs="Calibri"/>
        </w:rPr>
        <w:br/>
      </w:r>
      <w:r w:rsidRPr="005905DE">
        <w:rPr>
          <w:rFonts w:ascii="Calibri" w:hAnsi="Calibri" w:eastAsia="Verdana" w:cs="Calibri"/>
          <w:u w:val="single"/>
        </w:rPr>
        <w:t>In de vijfde pijler</w:t>
      </w:r>
      <w:r w:rsidRPr="005905DE">
        <w:rPr>
          <w:rFonts w:ascii="Calibri" w:hAnsi="Calibri" w:eastAsia="Verdana" w:cs="Calibri"/>
        </w:rPr>
        <w:t xml:space="preserve"> intensiveert de Commissie</w:t>
      </w:r>
      <w:r w:rsidRPr="005905DE">
        <w:rPr>
          <w:rFonts w:ascii="Calibri" w:hAnsi="Calibri" w:eastAsia="Verdana" w:cs="Calibri"/>
          <w:i/>
          <w:iCs/>
        </w:rPr>
        <w:t xml:space="preserve"> </w:t>
      </w:r>
      <w:r w:rsidRPr="005905DE">
        <w:rPr>
          <w:rFonts w:ascii="Calibri" w:hAnsi="Calibri" w:eastAsia="Verdana" w:cs="Calibri"/>
        </w:rPr>
        <w:t xml:space="preserve">samenwerking met buurlanden en internationale partners bij de aanpak van drugshandel, precursorstromen en synthetische drugs. Dit gebeurt onder meer via bestaande samenwerkingskaders zoals </w:t>
      </w:r>
      <w:r w:rsidRPr="005905DE" w:rsidR="001C5C3F">
        <w:rPr>
          <w:rFonts w:ascii="Calibri" w:hAnsi="Calibri" w:eastAsia="Verdana" w:cs="Calibri"/>
        </w:rPr>
        <w:t xml:space="preserve">het </w:t>
      </w:r>
      <w:r w:rsidRPr="005905DE" w:rsidR="001C5C3F">
        <w:rPr>
          <w:rFonts w:ascii="Calibri" w:hAnsi="Calibri" w:eastAsia="Verdana" w:cs="Calibri"/>
          <w:i/>
          <w:iCs/>
        </w:rPr>
        <w:t>European Multidisciplinary Platform Against Criminal Threats</w:t>
      </w:r>
      <w:r w:rsidRPr="005905DE" w:rsidR="001C5C3F">
        <w:rPr>
          <w:rFonts w:ascii="Calibri" w:hAnsi="Calibri" w:eastAsia="Verdana" w:cs="Calibri"/>
        </w:rPr>
        <w:t xml:space="preserve"> (</w:t>
      </w:r>
      <w:r w:rsidRPr="005905DE">
        <w:rPr>
          <w:rFonts w:ascii="Calibri" w:hAnsi="Calibri" w:eastAsia="Verdana" w:cs="Calibri"/>
        </w:rPr>
        <w:t>EMPACT</w:t>
      </w:r>
      <w:r w:rsidRPr="005905DE" w:rsidR="001C5C3F">
        <w:rPr>
          <w:rFonts w:ascii="Calibri" w:hAnsi="Calibri" w:eastAsia="Verdana" w:cs="Calibri"/>
        </w:rPr>
        <w:t>)</w:t>
      </w:r>
      <w:r w:rsidRPr="005905DE">
        <w:rPr>
          <w:rFonts w:ascii="Calibri" w:hAnsi="Calibri" w:eastAsia="Verdana" w:cs="Calibri"/>
        </w:rPr>
        <w:t xml:space="preserve">, de </w:t>
      </w:r>
      <w:r w:rsidRPr="005905DE">
        <w:rPr>
          <w:rFonts w:ascii="Calibri" w:hAnsi="Calibri" w:eastAsia="Verdana" w:cs="Calibri"/>
          <w:i/>
          <w:iCs/>
        </w:rPr>
        <w:t>European Ports Alliance</w:t>
      </w:r>
      <w:r w:rsidRPr="005905DE">
        <w:rPr>
          <w:rFonts w:ascii="Calibri" w:hAnsi="Calibri" w:eastAsia="Verdana" w:cs="Calibri"/>
        </w:rPr>
        <w:t xml:space="preserve"> en multilaterale fora, waaronder de </w:t>
      </w:r>
      <w:r w:rsidRPr="005905DE">
        <w:rPr>
          <w:rFonts w:ascii="Calibri" w:hAnsi="Calibri" w:eastAsia="Verdana" w:cs="Calibri"/>
          <w:i/>
          <w:iCs/>
        </w:rPr>
        <w:t>Commission on Narcotic Drugs</w:t>
      </w:r>
      <w:r w:rsidRPr="005905DE">
        <w:rPr>
          <w:rFonts w:ascii="Calibri" w:hAnsi="Calibri" w:eastAsia="Verdana" w:cs="Calibri"/>
        </w:rPr>
        <w:t xml:space="preserve">. </w:t>
      </w:r>
    </w:p>
    <w:p w:rsidRPr="005905DE" w:rsidR="003D5167" w:rsidP="005905DE" w:rsidRDefault="00B74354" w14:paraId="08D72E44" w14:textId="320795CE">
      <w:pPr>
        <w:pStyle w:val="Geenafstand"/>
        <w:rPr>
          <w:rFonts w:ascii="Calibri" w:hAnsi="Calibri" w:eastAsia="Verdana" w:cs="Calibri"/>
        </w:rPr>
      </w:pPr>
      <w:r w:rsidRPr="005905DE">
        <w:rPr>
          <w:rFonts w:ascii="Calibri" w:hAnsi="Calibri" w:eastAsia="Verdana" w:cs="Calibri"/>
        </w:rPr>
        <w:br/>
        <w:t>Tot slot ontwikkelt de Commissie in samenwerking met de lidstaten een implementatiekader, waarin samenwerking tussen gezondheids-, sociale en veiligheidssectoren centraal staat.</w:t>
      </w:r>
      <w:r w:rsidRPr="005905DE" w:rsidR="0098016E">
        <w:rPr>
          <w:rFonts w:ascii="Calibri" w:hAnsi="Calibri" w:eastAsia="Verdana" w:cs="Calibri"/>
        </w:rPr>
        <w:t xml:space="preserve"> </w:t>
      </w:r>
      <w:r w:rsidRPr="005905DE">
        <w:rPr>
          <w:rFonts w:ascii="Calibri" w:hAnsi="Calibri" w:eastAsia="Verdana" w:cs="Calibri"/>
        </w:rPr>
        <w:t>EUDA en Europol dragen bij aan monitoring en evaluatie.</w:t>
      </w:r>
    </w:p>
    <w:p w:rsidRPr="005905DE" w:rsidR="00595056" w:rsidP="005905DE" w:rsidRDefault="00595056" w14:paraId="14B6538C" w14:textId="05EAA542">
      <w:pPr>
        <w:spacing w:after="160"/>
        <w:ind w:left="360"/>
        <w:rPr>
          <w:rFonts w:ascii="Calibri" w:hAnsi="Calibri" w:eastAsia="Verdana" w:cs="Calibri"/>
          <w:color w:val="000000" w:themeColor="text1"/>
        </w:rPr>
      </w:pPr>
    </w:p>
    <w:p w:rsidRPr="005905DE" w:rsidR="00595056" w:rsidP="005905DE" w:rsidRDefault="00B74354" w14:paraId="31AFDA5B" w14:textId="06FFD7CA">
      <w:pPr>
        <w:numPr>
          <w:ilvl w:val="0"/>
          <w:numId w:val="12"/>
        </w:numPr>
        <w:tabs>
          <w:tab w:val="left" w:pos="360"/>
        </w:tabs>
        <w:spacing w:after="160"/>
        <w:rPr>
          <w:rFonts w:ascii="Calibri" w:hAnsi="Calibri" w:eastAsia="Verdana" w:cs="Calibri"/>
          <w:b/>
          <w:bCs/>
          <w:color w:val="000000" w:themeColor="text1"/>
        </w:rPr>
      </w:pPr>
      <w:r w:rsidRPr="005905DE">
        <w:rPr>
          <w:rFonts w:ascii="Calibri" w:hAnsi="Calibri" w:eastAsia="Verdana" w:cs="Calibri"/>
          <w:b/>
          <w:bCs/>
          <w:color w:val="000000" w:themeColor="text1"/>
        </w:rPr>
        <w:t>Nederlandse positie ten aanzien van het voorstel</w:t>
      </w:r>
    </w:p>
    <w:p w:rsidRPr="005905DE" w:rsidR="00840053" w:rsidP="005905DE" w:rsidRDefault="00B74354" w14:paraId="2FAB093A" w14:textId="4F8DC079">
      <w:pPr>
        <w:numPr>
          <w:ilvl w:val="0"/>
          <w:numId w:val="14"/>
        </w:numPr>
        <w:spacing w:after="160"/>
        <w:rPr>
          <w:rFonts w:ascii="Calibri" w:hAnsi="Calibri" w:eastAsia="Verdana" w:cs="Calibri"/>
          <w:i/>
          <w:iCs/>
          <w:color w:val="000000" w:themeColor="text1"/>
        </w:rPr>
      </w:pPr>
      <w:r w:rsidRPr="005905DE">
        <w:rPr>
          <w:rFonts w:ascii="Calibri" w:hAnsi="Calibri" w:eastAsia="Verdana" w:cs="Calibri"/>
          <w:i/>
          <w:iCs/>
          <w:color w:val="000000" w:themeColor="text1"/>
        </w:rPr>
        <w:t>Essentie Nederlands beleid op dit terrein</w:t>
      </w:r>
    </w:p>
    <w:p w:rsidRPr="005905DE" w:rsidR="001E3FCF" w:rsidP="005905DE" w:rsidRDefault="00B74354" w14:paraId="62A75AEA" w14:textId="77777777">
      <w:pPr>
        <w:pStyle w:val="Geenafstand"/>
        <w:rPr>
          <w:rFonts w:ascii="Calibri" w:hAnsi="Calibri" w:eastAsia="Verdana" w:cs="Calibri"/>
        </w:rPr>
      </w:pPr>
      <w:r w:rsidRPr="005905DE">
        <w:rPr>
          <w:rFonts w:ascii="Calibri" w:hAnsi="Calibri" w:eastAsia="Verdana" w:cs="Calibri"/>
        </w:rPr>
        <w:t>Het kabinet voert een drugsbeleid dat is gericht op het beschermen van de gezondheid van de bevolking</w:t>
      </w:r>
      <w:r w:rsidRPr="005905DE" w:rsidR="00653D81">
        <w:rPr>
          <w:rFonts w:ascii="Calibri" w:hAnsi="Calibri" w:eastAsia="Verdana" w:cs="Calibri"/>
        </w:rPr>
        <w:t xml:space="preserve">, </w:t>
      </w:r>
      <w:r w:rsidRPr="005905DE" w:rsidR="00400CDD">
        <w:rPr>
          <w:rFonts w:ascii="Calibri" w:hAnsi="Calibri" w:eastAsia="Verdana" w:cs="Calibri"/>
        </w:rPr>
        <w:t>onder andere door middel van</w:t>
      </w:r>
      <w:r w:rsidRPr="005905DE">
        <w:rPr>
          <w:rFonts w:ascii="Calibri" w:hAnsi="Calibri" w:eastAsia="Verdana" w:cs="Calibri"/>
        </w:rPr>
        <w:t xml:space="preserve"> het voorkomen van drugsgebruik</w:t>
      </w:r>
      <w:r w:rsidRPr="005905DE" w:rsidR="00763FE8">
        <w:rPr>
          <w:rFonts w:ascii="Calibri" w:hAnsi="Calibri" w:eastAsia="Verdana" w:cs="Calibri"/>
        </w:rPr>
        <w:t>.</w:t>
      </w:r>
      <w:r w:rsidRPr="005905DE" w:rsidR="002641B0">
        <w:rPr>
          <w:rFonts w:ascii="Calibri" w:hAnsi="Calibri" w:eastAsia="Verdana" w:cs="Calibri"/>
          <w:vertAlign w:val="superscript"/>
        </w:rPr>
        <w:footnoteReference w:id="12"/>
      </w:r>
      <w:r w:rsidRPr="005905DE">
        <w:rPr>
          <w:rFonts w:ascii="Calibri" w:hAnsi="Calibri" w:eastAsia="Verdana" w:cs="Calibri"/>
        </w:rPr>
        <w:t xml:space="preserve"> Drugsgebruik gaat gepaard met aanzienlijke gezondheidsrisico’s, waaronder verslaving, psychische problematiek en een verhoogd risico op ernstige gezondheidsincidenten.</w:t>
      </w:r>
      <w:r w:rsidRPr="005905DE" w:rsidR="00653D81">
        <w:rPr>
          <w:rFonts w:ascii="Calibri" w:hAnsi="Calibri" w:eastAsia="Verdana" w:cs="Calibri"/>
        </w:rPr>
        <w:t xml:space="preserve"> </w:t>
      </w:r>
      <w:r w:rsidRPr="005905DE">
        <w:rPr>
          <w:rFonts w:ascii="Calibri" w:hAnsi="Calibri" w:eastAsia="Verdana" w:cs="Calibri"/>
        </w:rPr>
        <w:t xml:space="preserve">Het kabinet zet daarom in op preventie, </w:t>
      </w:r>
      <w:r w:rsidRPr="005905DE" w:rsidR="001A0E99">
        <w:rPr>
          <w:rFonts w:ascii="Calibri" w:hAnsi="Calibri" w:eastAsia="Verdana" w:cs="Calibri"/>
        </w:rPr>
        <w:t xml:space="preserve">vroegsignalering, </w:t>
      </w:r>
      <w:r w:rsidRPr="005905DE" w:rsidR="00400CDD">
        <w:rPr>
          <w:rFonts w:ascii="Calibri" w:hAnsi="Calibri" w:eastAsia="Verdana" w:cs="Calibri"/>
        </w:rPr>
        <w:t>verslavingszorg</w:t>
      </w:r>
      <w:r w:rsidRPr="005905DE" w:rsidR="001A0E99">
        <w:rPr>
          <w:rFonts w:ascii="Calibri" w:hAnsi="Calibri" w:eastAsia="Verdana" w:cs="Calibri"/>
        </w:rPr>
        <w:t xml:space="preserve">, </w:t>
      </w:r>
      <w:r w:rsidRPr="005905DE" w:rsidR="00400CDD">
        <w:rPr>
          <w:rFonts w:ascii="Calibri" w:hAnsi="Calibri" w:eastAsia="Verdana" w:cs="Calibri"/>
        </w:rPr>
        <w:t>harm reduction</w:t>
      </w:r>
      <w:r w:rsidRPr="005905DE" w:rsidR="001A0E99">
        <w:rPr>
          <w:rFonts w:ascii="Calibri" w:hAnsi="Calibri" w:eastAsia="Verdana" w:cs="Calibri"/>
        </w:rPr>
        <w:t xml:space="preserve"> en</w:t>
      </w:r>
      <w:r w:rsidRPr="005905DE" w:rsidR="00400CDD">
        <w:rPr>
          <w:rFonts w:ascii="Calibri" w:hAnsi="Calibri" w:eastAsia="Verdana" w:cs="Calibri"/>
        </w:rPr>
        <w:t xml:space="preserve"> </w:t>
      </w:r>
      <w:r w:rsidRPr="005905DE" w:rsidR="001A0E99">
        <w:rPr>
          <w:rFonts w:ascii="Calibri" w:hAnsi="Calibri" w:eastAsia="Verdana" w:cs="Calibri"/>
        </w:rPr>
        <w:t xml:space="preserve">bewustwording van de gezondheids- en maatschappelijke risico’s van drugsgebruik, </w:t>
      </w:r>
      <w:r w:rsidRPr="005905DE">
        <w:rPr>
          <w:rFonts w:ascii="Calibri" w:hAnsi="Calibri" w:eastAsia="Verdana" w:cs="Calibri"/>
        </w:rPr>
        <w:t xml:space="preserve">binnen de bredere ambitie van een gezonde </w:t>
      </w:r>
      <w:r w:rsidRPr="005905DE" w:rsidR="00400CDD">
        <w:rPr>
          <w:rFonts w:ascii="Calibri" w:hAnsi="Calibri" w:eastAsia="Verdana" w:cs="Calibri"/>
        </w:rPr>
        <w:t xml:space="preserve">toekomstige </w:t>
      </w:r>
      <w:r w:rsidRPr="005905DE">
        <w:rPr>
          <w:rFonts w:ascii="Calibri" w:hAnsi="Calibri" w:eastAsia="Verdana" w:cs="Calibri"/>
        </w:rPr>
        <w:t>generatie. Monitoring en onderzoek vormen een belangrijke basis om trends, risicogroepen en effecten van interventies in beeld te houden en het beleid gericht bij te sturen.</w:t>
      </w:r>
      <w:r w:rsidRPr="005905DE">
        <w:rPr>
          <w:rFonts w:ascii="Calibri" w:hAnsi="Calibri" w:eastAsia="Verdana" w:cs="Calibri"/>
        </w:rPr>
        <w:br/>
      </w:r>
    </w:p>
    <w:p w:rsidRPr="005905DE" w:rsidR="001E3FCF" w:rsidP="005905DE" w:rsidRDefault="00B74354" w14:paraId="3F502C55" w14:textId="0DA734F5">
      <w:pPr>
        <w:spacing w:after="160"/>
        <w:rPr>
          <w:rFonts w:ascii="Calibri" w:hAnsi="Calibri" w:eastAsia="Verdana" w:cs="Calibri"/>
          <w:color w:val="000000" w:themeColor="text1"/>
        </w:rPr>
      </w:pPr>
      <w:r w:rsidRPr="005905DE">
        <w:rPr>
          <w:rFonts w:ascii="Calibri" w:hAnsi="Calibri" w:eastAsia="Verdana" w:cs="Calibri"/>
          <w:color w:val="000000" w:themeColor="text1"/>
        </w:rPr>
        <w:t>Tegelijkertijd beschouwt het kabinet drugscriminaliteit als een ernstige bedreiging voor de samenleving. Drugshandel vormt het dominante verdienmodel van georganiseerde ondermijnende criminaliteit en gaat gepaard met geweld, corruptie, witwassen en maatschappelijke schade. Daarom zet het kabinet in op een krachtige en integrale aanpak van criminele netwerken, handels- en geldstromen, waarbij strafrechtelijke, bestuurlijke en preventieve instrumenten samenkomen</w:t>
      </w:r>
      <w:r w:rsidRPr="005905DE" w:rsidR="001A0E99">
        <w:rPr>
          <w:rFonts w:ascii="Calibri" w:hAnsi="Calibri" w:eastAsia="Verdana" w:cs="Calibri"/>
          <w:color w:val="000000" w:themeColor="text1"/>
        </w:rPr>
        <w:t>.</w:t>
      </w:r>
      <w:r w:rsidRPr="005905DE">
        <w:rPr>
          <w:rFonts w:ascii="Calibri" w:hAnsi="Calibri" w:eastAsia="Verdana" w:cs="Calibri"/>
          <w:color w:val="000000" w:themeColor="text1"/>
        </w:rPr>
        <w:t xml:space="preserve"> </w:t>
      </w:r>
      <w:r w:rsidRPr="005905DE" w:rsidR="001A0E99">
        <w:rPr>
          <w:rFonts w:ascii="Calibri" w:hAnsi="Calibri" w:eastAsia="Verdana" w:cs="Calibri"/>
          <w:color w:val="000000" w:themeColor="text1"/>
        </w:rPr>
        <w:t>Ook</w:t>
      </w:r>
      <w:r w:rsidRPr="005905DE">
        <w:rPr>
          <w:rFonts w:ascii="Calibri" w:hAnsi="Calibri" w:eastAsia="Verdana" w:cs="Calibri"/>
          <w:color w:val="000000" w:themeColor="text1"/>
        </w:rPr>
        <w:t xml:space="preserve"> wordt gewerkt aan de weerbaarheid van overheid, bedrijven en gemeenschappen. Deze inzet wordt ondersteund door gerichte voorlichting en bewustwording over de gevolgen van drugsgebruik voor gezondheid, veiligheid en samenleving. In 2025 zijn </w:t>
      </w:r>
      <w:r w:rsidRPr="005905DE" w:rsidR="008C3A39">
        <w:rPr>
          <w:rFonts w:ascii="Calibri" w:hAnsi="Calibri" w:eastAsia="Verdana" w:cs="Calibri"/>
          <w:color w:val="000000" w:themeColor="text1"/>
        </w:rPr>
        <w:t xml:space="preserve">de ministeries van </w:t>
      </w:r>
      <w:r w:rsidRPr="005905DE">
        <w:rPr>
          <w:rFonts w:ascii="Calibri" w:hAnsi="Calibri" w:eastAsia="Verdana" w:cs="Calibri"/>
          <w:color w:val="000000" w:themeColor="text1"/>
        </w:rPr>
        <w:t xml:space="preserve">VWS en JenV de </w:t>
      </w:r>
      <w:r w:rsidRPr="005905DE" w:rsidR="001F1452">
        <w:rPr>
          <w:rFonts w:ascii="Calibri" w:hAnsi="Calibri" w:eastAsia="Verdana" w:cs="Calibri"/>
          <w:color w:val="000000" w:themeColor="text1"/>
        </w:rPr>
        <w:lastRenderedPageBreak/>
        <w:t>communicatiestrategie</w:t>
      </w:r>
      <w:r w:rsidRPr="005905DE" w:rsidR="00653D81">
        <w:rPr>
          <w:rFonts w:ascii="Calibri" w:hAnsi="Calibri" w:eastAsia="Verdana" w:cs="Calibri"/>
          <w:color w:val="000000" w:themeColor="text1"/>
        </w:rPr>
        <w:t xml:space="preserve"> </w:t>
      </w:r>
      <w:r w:rsidRPr="005905DE">
        <w:rPr>
          <w:rFonts w:ascii="Calibri" w:hAnsi="Calibri" w:eastAsia="Verdana" w:cs="Calibri"/>
          <w:color w:val="000000" w:themeColor="text1"/>
        </w:rPr>
        <w:t>“Drugs raakt ons allemaal” gestart, met als doel inzichtelijk te maken wat de gevolgen van drugsgebruik zijn voor gezondheid, milieu, criminaliteit en samenleving.</w:t>
      </w:r>
      <w:r w:rsidRPr="005905DE" w:rsidR="009F78FD">
        <w:rPr>
          <w:rFonts w:ascii="Calibri" w:hAnsi="Calibri" w:eastAsia="Verdana" w:cs="Calibri"/>
          <w:color w:val="000000" w:themeColor="text1"/>
        </w:rPr>
        <w:t xml:space="preserve"> </w:t>
      </w:r>
    </w:p>
    <w:p w:rsidRPr="005905DE" w:rsidR="00595056" w:rsidP="005905DE" w:rsidRDefault="00B74354" w14:paraId="4258AD40" w14:textId="3B943208">
      <w:pPr>
        <w:spacing w:after="160"/>
        <w:rPr>
          <w:rFonts w:ascii="Calibri" w:hAnsi="Calibri" w:eastAsia="Verdana" w:cs="Calibri"/>
          <w:i/>
          <w:iCs/>
          <w:color w:val="000000" w:themeColor="text1"/>
        </w:rPr>
      </w:pPr>
      <w:r w:rsidRPr="005905DE">
        <w:rPr>
          <w:rFonts w:ascii="Calibri" w:hAnsi="Calibri" w:eastAsia="Verdana" w:cs="Calibri"/>
          <w:color w:val="000000" w:themeColor="text1"/>
        </w:rPr>
        <w:br/>
        <w:t xml:space="preserve">Het kabinet hecht </w:t>
      </w:r>
      <w:r w:rsidRPr="005905DE" w:rsidR="00236754">
        <w:rPr>
          <w:rFonts w:ascii="Calibri" w:hAnsi="Calibri" w:eastAsia="Verdana" w:cs="Calibri"/>
          <w:color w:val="000000" w:themeColor="text1"/>
        </w:rPr>
        <w:t xml:space="preserve">binnen de geldende juridische kaders </w:t>
      </w:r>
      <w:r w:rsidRPr="005905DE">
        <w:rPr>
          <w:rFonts w:ascii="Calibri" w:hAnsi="Calibri" w:eastAsia="Verdana" w:cs="Calibri"/>
          <w:color w:val="000000" w:themeColor="text1"/>
        </w:rPr>
        <w:t xml:space="preserve">groot belang aan </w:t>
      </w:r>
      <w:r w:rsidRPr="005905DE" w:rsidR="00083F88">
        <w:rPr>
          <w:rFonts w:ascii="Calibri" w:hAnsi="Calibri" w:eastAsia="Verdana" w:cs="Calibri"/>
          <w:color w:val="000000" w:themeColor="text1"/>
        </w:rPr>
        <w:t xml:space="preserve">een goede </w:t>
      </w:r>
      <w:r w:rsidRPr="005905DE">
        <w:rPr>
          <w:rFonts w:ascii="Calibri" w:hAnsi="Calibri" w:eastAsia="Verdana" w:cs="Calibri"/>
          <w:color w:val="000000" w:themeColor="text1"/>
        </w:rPr>
        <w:t>internationale samenwerking en informatie-uitwisseling,</w:t>
      </w:r>
      <w:r w:rsidRPr="005905DE" w:rsidR="00202F90">
        <w:rPr>
          <w:rFonts w:ascii="Calibri" w:hAnsi="Calibri" w:eastAsia="Verdana" w:cs="Calibri"/>
          <w:color w:val="000000" w:themeColor="text1"/>
        </w:rPr>
        <w:t xml:space="preserve"> zowel bilateraal als multilateraal binnen de EU en de V</w:t>
      </w:r>
      <w:r w:rsidRPr="005905DE" w:rsidR="008C3A39">
        <w:rPr>
          <w:rFonts w:ascii="Calibri" w:hAnsi="Calibri" w:eastAsia="Verdana" w:cs="Calibri"/>
          <w:color w:val="000000" w:themeColor="text1"/>
        </w:rPr>
        <w:t>er</w:t>
      </w:r>
      <w:r w:rsidRPr="005905DE" w:rsidR="00763FE8">
        <w:rPr>
          <w:rFonts w:ascii="Calibri" w:hAnsi="Calibri" w:eastAsia="Verdana" w:cs="Calibri"/>
          <w:color w:val="000000" w:themeColor="text1"/>
        </w:rPr>
        <w:t>e</w:t>
      </w:r>
      <w:r w:rsidRPr="005905DE" w:rsidR="008C3A39">
        <w:rPr>
          <w:rFonts w:ascii="Calibri" w:hAnsi="Calibri" w:eastAsia="Verdana" w:cs="Calibri"/>
          <w:color w:val="000000" w:themeColor="text1"/>
        </w:rPr>
        <w:t>nigde Naties (V</w:t>
      </w:r>
      <w:r w:rsidRPr="005905DE" w:rsidR="00202F90">
        <w:rPr>
          <w:rFonts w:ascii="Calibri" w:hAnsi="Calibri" w:eastAsia="Verdana" w:cs="Calibri"/>
          <w:color w:val="000000" w:themeColor="text1"/>
        </w:rPr>
        <w:t>N</w:t>
      </w:r>
      <w:r w:rsidRPr="005905DE" w:rsidR="008C3A39">
        <w:rPr>
          <w:rFonts w:ascii="Calibri" w:hAnsi="Calibri" w:eastAsia="Verdana" w:cs="Calibri"/>
          <w:color w:val="000000" w:themeColor="text1"/>
        </w:rPr>
        <w:t>)</w:t>
      </w:r>
      <w:r w:rsidRPr="005905DE">
        <w:rPr>
          <w:rFonts w:ascii="Calibri" w:hAnsi="Calibri" w:eastAsia="Verdana" w:cs="Calibri"/>
          <w:color w:val="000000" w:themeColor="text1"/>
        </w:rPr>
        <w:t>.</w:t>
      </w:r>
      <w:r w:rsidRPr="005905DE" w:rsidR="003D5167">
        <w:rPr>
          <w:rFonts w:ascii="Calibri" w:hAnsi="Calibri" w:eastAsia="Verdana" w:cs="Calibri"/>
          <w:color w:val="000000" w:themeColor="text1"/>
        </w:rPr>
        <w:br/>
      </w:r>
    </w:p>
    <w:p w:rsidRPr="005905DE" w:rsidR="00595056" w:rsidP="005905DE" w:rsidRDefault="00B74354" w14:paraId="5EFB4212" w14:textId="77777777">
      <w:pPr>
        <w:numPr>
          <w:ilvl w:val="0"/>
          <w:numId w:val="14"/>
        </w:numPr>
        <w:spacing w:after="160"/>
        <w:rPr>
          <w:rFonts w:ascii="Calibri" w:hAnsi="Calibri" w:eastAsia="Verdana" w:cs="Calibri"/>
          <w:i/>
          <w:iCs/>
          <w:color w:val="000000" w:themeColor="text1"/>
        </w:rPr>
      </w:pPr>
      <w:r w:rsidRPr="005905DE">
        <w:rPr>
          <w:rFonts w:ascii="Calibri" w:hAnsi="Calibri" w:eastAsia="Verdana" w:cs="Calibri"/>
          <w:i/>
          <w:iCs/>
          <w:color w:val="000000" w:themeColor="text1"/>
        </w:rPr>
        <w:t>Beoordeling + inzet ten aanzien van dit voorstel</w:t>
      </w:r>
    </w:p>
    <w:p w:rsidRPr="005905DE" w:rsidR="00AE169A" w:rsidP="005905DE" w:rsidRDefault="00B74354" w14:paraId="28B268B9" w14:textId="34B02148">
      <w:pPr>
        <w:spacing w:after="160"/>
        <w:rPr>
          <w:rFonts w:ascii="Calibri" w:hAnsi="Calibri" w:eastAsia="Verdana" w:cs="Calibri"/>
          <w:color w:val="000000" w:themeColor="text1"/>
        </w:rPr>
      </w:pPr>
      <w:r w:rsidRPr="005905DE">
        <w:rPr>
          <w:rFonts w:ascii="Calibri" w:hAnsi="Calibri" w:eastAsia="Verdana" w:cs="Calibri"/>
          <w:color w:val="000000" w:themeColor="text1"/>
        </w:rPr>
        <w:t xml:space="preserve">Het kabinet acht de </w:t>
      </w:r>
      <w:r w:rsidRPr="005905DE" w:rsidR="00406C90">
        <w:rPr>
          <w:rFonts w:ascii="Calibri" w:hAnsi="Calibri" w:eastAsia="Verdana" w:cs="Calibri"/>
          <w:color w:val="000000" w:themeColor="text1"/>
        </w:rPr>
        <w:t>EU-drugsstrategie</w:t>
      </w:r>
      <w:r w:rsidRPr="005905DE">
        <w:rPr>
          <w:rFonts w:ascii="Calibri" w:hAnsi="Calibri" w:eastAsia="Verdana" w:cs="Calibri"/>
          <w:color w:val="000000" w:themeColor="text1"/>
        </w:rPr>
        <w:t xml:space="preserve"> wenselijk en opportuun. De </w:t>
      </w:r>
      <w:r w:rsidRPr="005905DE" w:rsidR="00AE169A">
        <w:rPr>
          <w:rFonts w:ascii="Calibri" w:hAnsi="Calibri" w:eastAsia="Verdana" w:cs="Calibri"/>
          <w:color w:val="000000" w:themeColor="text1"/>
        </w:rPr>
        <w:t xml:space="preserve">brede inzet van de strategie op zowel criminaliteitsbestrijding, volksgezondheid, preventie en schadebeperking, sluit aan bij de inzet van het kabinet. </w:t>
      </w:r>
      <w:r w:rsidRPr="005905DE" w:rsidR="007A5DBB">
        <w:rPr>
          <w:rFonts w:ascii="Calibri" w:hAnsi="Calibri" w:eastAsia="Verdana" w:cs="Calibri"/>
          <w:color w:val="000000" w:themeColor="text1"/>
        </w:rPr>
        <w:t xml:space="preserve">Onder andere het in de strategie genoemde delen van best practices op het terrein van preventie van gebruik </w:t>
      </w:r>
      <w:r w:rsidRPr="005905DE" w:rsidR="008363C9">
        <w:rPr>
          <w:rFonts w:ascii="Calibri" w:hAnsi="Calibri" w:eastAsia="Verdana" w:cs="Calibri"/>
          <w:color w:val="000000" w:themeColor="text1"/>
        </w:rPr>
        <w:t xml:space="preserve">en het door de EUDA delen van nieuwe interventies en best practices op het gebied van schadebeperking kunnen </w:t>
      </w:r>
      <w:r w:rsidRPr="005905DE" w:rsidR="007A5DBB">
        <w:rPr>
          <w:rFonts w:ascii="Calibri" w:hAnsi="Calibri" w:eastAsia="Verdana" w:cs="Calibri"/>
          <w:color w:val="000000" w:themeColor="text1"/>
        </w:rPr>
        <w:t xml:space="preserve">daar een meerwaarde hebben. </w:t>
      </w:r>
      <w:r w:rsidRPr="005905DE" w:rsidR="008363C9">
        <w:rPr>
          <w:rFonts w:ascii="Calibri" w:hAnsi="Calibri" w:eastAsia="Verdana" w:cs="Calibri"/>
          <w:color w:val="000000" w:themeColor="text1"/>
        </w:rPr>
        <w:t xml:space="preserve">Bovendien is het belangrijk om de schade op het milieu van drugscriminaliteit tegen te gaan. De in de strategie genoemde ontwikkeling door de EU van methodes om inbeslag genomen drugs, precursoren en drugsafval velig en milieuvriendelijk te verwerken kunnen daar aan bijdragen. </w:t>
      </w:r>
    </w:p>
    <w:p w:rsidRPr="005905DE" w:rsidR="00AE169A" w:rsidP="005905DE" w:rsidRDefault="00AE169A" w14:paraId="3DD09731" w14:textId="77777777">
      <w:pPr>
        <w:pStyle w:val="Geenafstand"/>
        <w:rPr>
          <w:rFonts w:ascii="Calibri" w:hAnsi="Calibri" w:eastAsia="Verdana" w:cs="Calibri"/>
        </w:rPr>
      </w:pPr>
    </w:p>
    <w:p w:rsidRPr="005905DE" w:rsidR="00AE169A" w:rsidP="005905DE" w:rsidRDefault="00AE169A" w14:paraId="28035BEC" w14:textId="24FBD7A0">
      <w:pPr>
        <w:spacing w:after="160"/>
        <w:rPr>
          <w:rFonts w:ascii="Calibri" w:hAnsi="Calibri" w:eastAsia="Verdana" w:cs="Calibri"/>
          <w:color w:val="000000" w:themeColor="text1"/>
        </w:rPr>
      </w:pPr>
      <w:r w:rsidRPr="005905DE">
        <w:rPr>
          <w:rFonts w:ascii="Calibri" w:hAnsi="Calibri" w:eastAsia="Verdana" w:cs="Calibri"/>
          <w:color w:val="000000" w:themeColor="text1"/>
        </w:rPr>
        <w:t>D</w:t>
      </w:r>
      <w:r w:rsidRPr="005905DE" w:rsidR="00B74354">
        <w:rPr>
          <w:rFonts w:ascii="Calibri" w:hAnsi="Calibri" w:eastAsia="Verdana" w:cs="Calibri"/>
          <w:color w:val="000000" w:themeColor="text1"/>
        </w:rPr>
        <w:t xml:space="preserve">rugsproblematiek vormt een grensoverschrijdende uitdaging met grote maatschappelijke impact. Lidstaten kunnen ontwikkelingen rond nieuwe psychoactieve stoffen, synthetische drugs, precursorstromen, digitale handel en internationale smokkelroutes </w:t>
      </w:r>
      <w:r w:rsidRPr="005905DE" w:rsidR="00D80E9B">
        <w:rPr>
          <w:rFonts w:ascii="Calibri" w:hAnsi="Calibri" w:eastAsia="Verdana" w:cs="Calibri"/>
          <w:color w:val="000000" w:themeColor="text1"/>
        </w:rPr>
        <w:t xml:space="preserve">afzonderlijk </w:t>
      </w:r>
      <w:r w:rsidRPr="005905DE" w:rsidR="00B74354">
        <w:rPr>
          <w:rFonts w:ascii="Calibri" w:hAnsi="Calibri" w:eastAsia="Verdana" w:cs="Calibri"/>
          <w:color w:val="000000" w:themeColor="text1"/>
        </w:rPr>
        <w:t xml:space="preserve">niet </w:t>
      </w:r>
      <w:r w:rsidRPr="005905DE" w:rsidR="00D80E9B">
        <w:rPr>
          <w:rFonts w:ascii="Calibri" w:hAnsi="Calibri" w:eastAsia="Verdana" w:cs="Calibri"/>
          <w:color w:val="000000" w:themeColor="text1"/>
        </w:rPr>
        <w:t xml:space="preserve">altijd voldoende effectief </w:t>
      </w:r>
      <w:r w:rsidRPr="005905DE" w:rsidR="00B74354">
        <w:rPr>
          <w:rFonts w:ascii="Calibri" w:hAnsi="Calibri" w:eastAsia="Verdana" w:cs="Calibri"/>
          <w:color w:val="000000" w:themeColor="text1"/>
        </w:rPr>
        <w:t xml:space="preserve">tegengaan. Een gecoördineerd EU-kader kan bijdragen aan een betere informatiepositie, tijdige signalering, versterkte samenwerking en een meer effectieve aanpak van criminele netwerken. </w:t>
      </w:r>
      <w:r w:rsidRPr="005905DE" w:rsidR="00CF403C">
        <w:rPr>
          <w:rFonts w:ascii="Calibri" w:hAnsi="Calibri" w:eastAsia="Verdana" w:cs="Calibri"/>
          <w:color w:val="000000" w:themeColor="text1"/>
        </w:rPr>
        <w:t>H</w:t>
      </w:r>
      <w:r w:rsidRPr="005905DE" w:rsidR="00B74354">
        <w:rPr>
          <w:rFonts w:ascii="Calibri" w:hAnsi="Calibri" w:eastAsia="Verdana" w:cs="Calibri"/>
          <w:color w:val="000000" w:themeColor="text1"/>
        </w:rPr>
        <w:t xml:space="preserve">et kabinet omarmt de </w:t>
      </w:r>
      <w:r w:rsidRPr="005905DE" w:rsidR="00406C90">
        <w:rPr>
          <w:rFonts w:ascii="Calibri" w:hAnsi="Calibri" w:eastAsia="Verdana" w:cs="Calibri"/>
          <w:color w:val="000000" w:themeColor="text1"/>
        </w:rPr>
        <w:t>EU-drugsstrategie</w:t>
      </w:r>
      <w:r w:rsidRPr="005905DE" w:rsidR="00B74354">
        <w:rPr>
          <w:rFonts w:ascii="Calibri" w:hAnsi="Calibri" w:eastAsia="Verdana" w:cs="Calibri"/>
          <w:color w:val="000000" w:themeColor="text1"/>
        </w:rPr>
        <w:t xml:space="preserve"> als ondersteuning van de nationale inzet en onderschrijft met name de aandacht voor monitoring, vroegsignalering en dreigingsanalyses, de inzet op het tegengaan van georganiseerde criminaliteit en geweld, de focus op precursoren en logistieke knooppunten, en de versterkte internationale samenwerking met derde landen en partners. </w:t>
      </w:r>
    </w:p>
    <w:p w:rsidRPr="005905DE" w:rsidR="00AE169A" w:rsidP="005905DE" w:rsidRDefault="00AE169A" w14:paraId="6B18A44D" w14:textId="77777777">
      <w:pPr>
        <w:pStyle w:val="Geenafstand"/>
        <w:rPr>
          <w:rFonts w:ascii="Calibri" w:hAnsi="Calibri" w:eastAsia="Verdana" w:cs="Calibri"/>
        </w:rPr>
      </w:pPr>
    </w:p>
    <w:p w:rsidRPr="005905DE" w:rsidR="00595056" w:rsidP="005905DE" w:rsidRDefault="00B74354" w14:paraId="118F71A2" w14:textId="6573651B">
      <w:pPr>
        <w:spacing w:after="160"/>
        <w:rPr>
          <w:rFonts w:ascii="Calibri" w:hAnsi="Calibri" w:eastAsia="Verdana" w:cs="Calibri"/>
          <w:color w:val="000000" w:themeColor="text1"/>
        </w:rPr>
      </w:pPr>
      <w:r w:rsidRPr="005905DE">
        <w:rPr>
          <w:rFonts w:ascii="Calibri" w:hAnsi="Calibri" w:eastAsia="Verdana" w:cs="Calibri"/>
          <w:color w:val="000000" w:themeColor="text1"/>
        </w:rPr>
        <w:t xml:space="preserve">Het kabinet is positief over de verdere concretisering van </w:t>
      </w:r>
      <w:r w:rsidRPr="005905DE" w:rsidR="00083F88">
        <w:rPr>
          <w:rFonts w:ascii="Calibri" w:hAnsi="Calibri" w:eastAsia="Verdana" w:cs="Calibri"/>
          <w:color w:val="000000" w:themeColor="text1"/>
        </w:rPr>
        <w:t xml:space="preserve">een gedeelte van </w:t>
      </w:r>
      <w:r w:rsidRPr="005905DE">
        <w:rPr>
          <w:rFonts w:ascii="Calibri" w:hAnsi="Calibri" w:eastAsia="Verdana" w:cs="Calibri"/>
          <w:color w:val="000000" w:themeColor="text1"/>
        </w:rPr>
        <w:t>de strategie via het</w:t>
      </w:r>
      <w:r w:rsidRPr="005905DE" w:rsidR="008808A8">
        <w:rPr>
          <w:rFonts w:ascii="Calibri" w:hAnsi="Calibri" w:eastAsia="Verdana" w:cs="Calibri"/>
          <w:color w:val="000000" w:themeColor="text1"/>
        </w:rPr>
        <w:t xml:space="preserve"> </w:t>
      </w:r>
      <w:r w:rsidRPr="005905DE" w:rsidR="00BA7870">
        <w:rPr>
          <w:rFonts w:ascii="Calibri" w:hAnsi="Calibri" w:eastAsia="Verdana" w:cs="Calibri"/>
          <w:color w:val="000000" w:themeColor="text1"/>
        </w:rPr>
        <w:t>actieplan tegen drugshandel</w:t>
      </w:r>
      <w:r w:rsidRPr="005905DE">
        <w:rPr>
          <w:rFonts w:ascii="Calibri" w:hAnsi="Calibri" w:eastAsia="Verdana" w:cs="Calibri"/>
          <w:color w:val="000000" w:themeColor="text1"/>
        </w:rPr>
        <w:t>.</w:t>
      </w:r>
      <w:r w:rsidRPr="005905DE" w:rsidR="00763FE8">
        <w:rPr>
          <w:rStyle w:val="Voetnootmarkering"/>
          <w:rFonts w:ascii="Calibri" w:hAnsi="Calibri" w:eastAsia="Verdana" w:cs="Calibri"/>
          <w:color w:val="000000" w:themeColor="text1"/>
        </w:rPr>
        <w:footnoteReference w:id="13"/>
      </w:r>
      <w:r w:rsidRPr="005905DE">
        <w:rPr>
          <w:rFonts w:ascii="Calibri" w:hAnsi="Calibri" w:eastAsia="Verdana" w:cs="Calibri"/>
          <w:color w:val="000000" w:themeColor="text1"/>
        </w:rPr>
        <w:t xml:space="preserve"> Dit actieplan biedt een belangrijke basis voor versterkte samenwerking tussen lidstaten bij de aanpak van georganiseerde </w:t>
      </w:r>
      <w:r w:rsidRPr="005905DE" w:rsidR="00083F88">
        <w:rPr>
          <w:rFonts w:ascii="Calibri" w:hAnsi="Calibri" w:eastAsia="Verdana" w:cs="Calibri"/>
          <w:color w:val="000000" w:themeColor="text1"/>
        </w:rPr>
        <w:t>drugs</w:t>
      </w:r>
      <w:r w:rsidRPr="005905DE">
        <w:rPr>
          <w:rFonts w:ascii="Calibri" w:hAnsi="Calibri" w:eastAsia="Verdana" w:cs="Calibri"/>
          <w:color w:val="000000" w:themeColor="text1"/>
        </w:rPr>
        <w:t xml:space="preserve">criminaliteit, </w:t>
      </w:r>
      <w:r w:rsidRPr="005905DE" w:rsidR="00F60BC8">
        <w:rPr>
          <w:rFonts w:ascii="Calibri" w:hAnsi="Calibri" w:eastAsia="Verdana" w:cs="Calibri"/>
          <w:color w:val="000000" w:themeColor="text1"/>
        </w:rPr>
        <w:t xml:space="preserve">bijvoorbeeld ten aanzien van het </w:t>
      </w:r>
      <w:r w:rsidRPr="005905DE">
        <w:rPr>
          <w:rFonts w:ascii="Calibri" w:hAnsi="Calibri" w:eastAsia="Verdana" w:cs="Calibri"/>
          <w:color w:val="000000" w:themeColor="text1"/>
        </w:rPr>
        <w:t xml:space="preserve">geweld en </w:t>
      </w:r>
      <w:r w:rsidRPr="005905DE" w:rsidR="00F60BC8">
        <w:rPr>
          <w:rFonts w:ascii="Calibri" w:hAnsi="Calibri" w:eastAsia="Verdana" w:cs="Calibri"/>
          <w:color w:val="000000" w:themeColor="text1"/>
        </w:rPr>
        <w:t xml:space="preserve">de </w:t>
      </w:r>
      <w:r w:rsidRPr="005905DE">
        <w:rPr>
          <w:rFonts w:ascii="Calibri" w:hAnsi="Calibri" w:eastAsia="Verdana" w:cs="Calibri"/>
          <w:color w:val="000000" w:themeColor="text1"/>
        </w:rPr>
        <w:t>logistiek</w:t>
      </w:r>
      <w:r w:rsidRPr="005905DE" w:rsidR="00F60BC8">
        <w:rPr>
          <w:rFonts w:ascii="Calibri" w:hAnsi="Calibri" w:eastAsia="Verdana" w:cs="Calibri"/>
          <w:color w:val="000000" w:themeColor="text1"/>
        </w:rPr>
        <w:t xml:space="preserve"> die hier onderdeel van zijn</w:t>
      </w:r>
      <w:r w:rsidRPr="005905DE">
        <w:rPr>
          <w:rFonts w:ascii="Calibri" w:hAnsi="Calibri" w:eastAsia="Verdana" w:cs="Calibri"/>
          <w:color w:val="000000" w:themeColor="text1"/>
        </w:rPr>
        <w:t xml:space="preserve">. </w:t>
      </w:r>
      <w:r w:rsidRPr="005905DE" w:rsidR="001E3FCF">
        <w:rPr>
          <w:rFonts w:ascii="Calibri" w:hAnsi="Calibri" w:eastAsia="Verdana" w:cs="Calibri"/>
          <w:color w:val="000000" w:themeColor="text1"/>
        </w:rPr>
        <w:t>H</w:t>
      </w:r>
      <w:r w:rsidRPr="005905DE" w:rsidR="00083F88">
        <w:rPr>
          <w:rFonts w:ascii="Calibri" w:hAnsi="Calibri" w:eastAsia="Verdana" w:cs="Calibri"/>
          <w:color w:val="000000" w:themeColor="text1"/>
        </w:rPr>
        <w:t xml:space="preserve">et </w:t>
      </w:r>
      <w:r w:rsidRPr="005905DE" w:rsidR="00877B3D">
        <w:rPr>
          <w:rFonts w:ascii="Calibri" w:hAnsi="Calibri" w:eastAsia="Verdana" w:cs="Calibri"/>
          <w:color w:val="000000" w:themeColor="text1"/>
        </w:rPr>
        <w:t>kabinets</w:t>
      </w:r>
      <w:r w:rsidRPr="005905DE" w:rsidR="00083F88">
        <w:rPr>
          <w:rFonts w:ascii="Calibri" w:hAnsi="Calibri" w:eastAsia="Verdana" w:cs="Calibri"/>
          <w:color w:val="000000" w:themeColor="text1"/>
        </w:rPr>
        <w:t xml:space="preserve">standpunt </w:t>
      </w:r>
      <w:r w:rsidRPr="005905DE" w:rsidR="001E3FCF">
        <w:rPr>
          <w:rFonts w:ascii="Calibri" w:hAnsi="Calibri" w:eastAsia="Verdana" w:cs="Calibri"/>
          <w:color w:val="000000" w:themeColor="text1"/>
        </w:rPr>
        <w:t xml:space="preserve">over de </w:t>
      </w:r>
      <w:r w:rsidRPr="005905DE" w:rsidR="00FB784C">
        <w:rPr>
          <w:rFonts w:ascii="Calibri" w:hAnsi="Calibri" w:eastAsia="Verdana" w:cs="Calibri"/>
          <w:color w:val="000000" w:themeColor="text1"/>
        </w:rPr>
        <w:t>m</w:t>
      </w:r>
      <w:r w:rsidRPr="005905DE" w:rsidR="001E3FCF">
        <w:rPr>
          <w:rFonts w:ascii="Calibri" w:hAnsi="Calibri" w:eastAsia="Verdana" w:cs="Calibri"/>
          <w:color w:val="000000" w:themeColor="text1"/>
        </w:rPr>
        <w:t xml:space="preserve">ededeling dat </w:t>
      </w:r>
      <w:r w:rsidRPr="005905DE" w:rsidR="00083F88">
        <w:rPr>
          <w:rFonts w:ascii="Calibri" w:hAnsi="Calibri" w:eastAsia="Verdana" w:cs="Calibri"/>
          <w:color w:val="000000" w:themeColor="text1"/>
        </w:rPr>
        <w:t xml:space="preserve">ten aanzien van dit actieplan </w:t>
      </w:r>
      <w:r w:rsidRPr="005905DE" w:rsidR="001E3FCF">
        <w:rPr>
          <w:rFonts w:ascii="Calibri" w:hAnsi="Calibri" w:eastAsia="Verdana" w:cs="Calibri"/>
          <w:color w:val="000000" w:themeColor="text1"/>
        </w:rPr>
        <w:t xml:space="preserve">wordt opgesteld in de vorm van een BNC-fiche, zal </w:t>
      </w:r>
      <w:r w:rsidRPr="005905DE" w:rsidR="00734EA7">
        <w:rPr>
          <w:rFonts w:ascii="Calibri" w:hAnsi="Calibri" w:eastAsia="Verdana" w:cs="Calibri"/>
          <w:color w:val="000000" w:themeColor="text1"/>
        </w:rPr>
        <w:t xml:space="preserve">binnenkort aan </w:t>
      </w:r>
      <w:r w:rsidRPr="005905DE" w:rsidR="00E50BCB">
        <w:rPr>
          <w:rFonts w:ascii="Calibri" w:hAnsi="Calibri" w:eastAsia="Verdana" w:cs="Calibri"/>
          <w:color w:val="000000" w:themeColor="text1"/>
        </w:rPr>
        <w:t>de</w:t>
      </w:r>
      <w:r w:rsidRPr="005905DE" w:rsidR="00734EA7">
        <w:rPr>
          <w:rFonts w:ascii="Calibri" w:hAnsi="Calibri" w:eastAsia="Verdana" w:cs="Calibri"/>
          <w:color w:val="000000" w:themeColor="text1"/>
        </w:rPr>
        <w:t xml:space="preserve"> Kamer gezonden worden.</w:t>
      </w:r>
    </w:p>
    <w:p w:rsidRPr="005905DE" w:rsidR="00072BD0" w:rsidP="005905DE" w:rsidRDefault="00072BD0" w14:paraId="2F895D5A" w14:textId="4B5639B3">
      <w:pPr>
        <w:spacing w:after="160"/>
        <w:rPr>
          <w:rFonts w:ascii="Calibri" w:hAnsi="Calibri" w:eastAsia="Verdana" w:cs="Calibri"/>
          <w:color w:val="000000" w:themeColor="text1"/>
        </w:rPr>
      </w:pPr>
      <w:r w:rsidRPr="005905DE">
        <w:rPr>
          <w:rFonts w:ascii="Calibri" w:hAnsi="Calibri" w:eastAsia="Verdana" w:cs="Calibri"/>
          <w:color w:val="000000" w:themeColor="text1"/>
        </w:rPr>
        <w:t xml:space="preserve">Het kabinet ziet daarnaast </w:t>
      </w:r>
      <w:r w:rsidRPr="005905DE" w:rsidR="00E107A5">
        <w:rPr>
          <w:rFonts w:ascii="Calibri" w:hAnsi="Calibri" w:eastAsia="Verdana" w:cs="Calibri"/>
          <w:color w:val="000000" w:themeColor="text1"/>
        </w:rPr>
        <w:t xml:space="preserve">nog </w:t>
      </w:r>
      <w:r w:rsidRPr="005905DE">
        <w:rPr>
          <w:rFonts w:ascii="Calibri" w:hAnsi="Calibri" w:eastAsia="Verdana" w:cs="Calibri"/>
          <w:color w:val="000000" w:themeColor="text1"/>
        </w:rPr>
        <w:t xml:space="preserve">kansen om de uitvoering van de </w:t>
      </w:r>
      <w:r w:rsidRPr="005905DE" w:rsidR="00406C90">
        <w:rPr>
          <w:rFonts w:ascii="Calibri" w:hAnsi="Calibri" w:eastAsia="Verdana" w:cs="Calibri"/>
          <w:color w:val="000000" w:themeColor="text1"/>
        </w:rPr>
        <w:t>EU-drugsstrategie</w:t>
      </w:r>
      <w:r w:rsidRPr="005905DE">
        <w:rPr>
          <w:rFonts w:ascii="Calibri" w:hAnsi="Calibri" w:eastAsia="Verdana" w:cs="Calibri"/>
          <w:color w:val="000000" w:themeColor="text1"/>
        </w:rPr>
        <w:t xml:space="preserve"> verder te versterken </w:t>
      </w:r>
      <w:r w:rsidRPr="005905DE" w:rsidR="00234A9F">
        <w:rPr>
          <w:rFonts w:ascii="Calibri" w:hAnsi="Calibri" w:eastAsia="Verdana" w:cs="Calibri"/>
          <w:color w:val="000000" w:themeColor="text1"/>
        </w:rPr>
        <w:t xml:space="preserve">met Europese samenwerking </w:t>
      </w:r>
      <w:r w:rsidRPr="005905DE">
        <w:rPr>
          <w:rFonts w:ascii="Calibri" w:hAnsi="Calibri" w:eastAsia="Verdana" w:cs="Calibri"/>
          <w:color w:val="000000" w:themeColor="text1"/>
        </w:rPr>
        <w:t>op het terrein van preventie, behandeling</w:t>
      </w:r>
      <w:r w:rsidRPr="005905DE" w:rsidR="00400CDD">
        <w:rPr>
          <w:rFonts w:ascii="Calibri" w:hAnsi="Calibri" w:eastAsia="Verdana" w:cs="Calibri"/>
          <w:color w:val="000000" w:themeColor="text1"/>
        </w:rPr>
        <w:t xml:space="preserve">, harm reduction </w:t>
      </w:r>
      <w:r w:rsidRPr="005905DE">
        <w:rPr>
          <w:rFonts w:ascii="Calibri" w:hAnsi="Calibri" w:eastAsia="Verdana" w:cs="Calibri"/>
          <w:color w:val="000000" w:themeColor="text1"/>
        </w:rPr>
        <w:t>en schadebeperking</w:t>
      </w:r>
      <w:r w:rsidRPr="005905DE" w:rsidR="00234A9F">
        <w:rPr>
          <w:rFonts w:ascii="Calibri" w:hAnsi="Calibri" w:eastAsia="Verdana" w:cs="Calibri"/>
          <w:color w:val="000000" w:themeColor="text1"/>
        </w:rPr>
        <w:t>.</w:t>
      </w:r>
      <w:r w:rsidRPr="005905DE">
        <w:rPr>
          <w:rFonts w:ascii="Calibri" w:hAnsi="Calibri" w:eastAsia="Verdana" w:cs="Calibri"/>
          <w:color w:val="000000" w:themeColor="text1"/>
        </w:rPr>
        <w:t xml:space="preserve"> Het kabinet zal deze mogelijkheden in de verdere besprekingen en implementatiefase actief blijven inbrengen.</w:t>
      </w:r>
    </w:p>
    <w:p w:rsidRPr="005905DE" w:rsidR="00595056" w:rsidP="005905DE" w:rsidRDefault="00595056" w14:paraId="777107FD" w14:textId="77777777">
      <w:pPr>
        <w:spacing w:after="160"/>
        <w:ind w:left="360"/>
        <w:rPr>
          <w:rFonts w:ascii="Calibri" w:hAnsi="Calibri" w:eastAsia="Verdana" w:cs="Calibri"/>
          <w:i/>
          <w:iCs/>
          <w:color w:val="000000" w:themeColor="text1"/>
        </w:rPr>
      </w:pPr>
    </w:p>
    <w:p w:rsidRPr="005905DE" w:rsidR="00840053" w:rsidP="005905DE" w:rsidRDefault="00B74354" w14:paraId="1A5A9810" w14:textId="20886213">
      <w:pPr>
        <w:numPr>
          <w:ilvl w:val="0"/>
          <w:numId w:val="14"/>
        </w:numPr>
        <w:spacing w:after="160"/>
        <w:rPr>
          <w:rFonts w:ascii="Calibri" w:hAnsi="Calibri" w:eastAsia="Verdana" w:cs="Calibri"/>
          <w:i/>
          <w:iCs/>
          <w:color w:val="000000" w:themeColor="text1"/>
        </w:rPr>
      </w:pPr>
      <w:r w:rsidRPr="005905DE">
        <w:rPr>
          <w:rFonts w:ascii="Calibri" w:hAnsi="Calibri" w:eastAsia="Verdana" w:cs="Calibri"/>
          <w:i/>
          <w:iCs/>
          <w:color w:val="000000" w:themeColor="text1"/>
        </w:rPr>
        <w:t>Eerste inschatting van krachtenveld</w:t>
      </w:r>
    </w:p>
    <w:p w:rsidRPr="005905DE" w:rsidR="00595056" w:rsidP="005905DE" w:rsidRDefault="008C3A39" w14:paraId="464C794F" w14:textId="32E73359">
      <w:pPr>
        <w:spacing w:after="160"/>
        <w:rPr>
          <w:rFonts w:ascii="Calibri" w:hAnsi="Calibri" w:eastAsia="Verdana" w:cs="Calibri"/>
          <w:color w:val="000000" w:themeColor="text1"/>
        </w:rPr>
      </w:pPr>
      <w:r w:rsidRPr="005905DE">
        <w:rPr>
          <w:rFonts w:ascii="Calibri" w:hAnsi="Calibri" w:eastAsia="Verdana" w:cs="Calibri"/>
          <w:color w:val="000000" w:themeColor="text1"/>
        </w:rPr>
        <w:t xml:space="preserve">Als eerste initiële reactie hebben veel </w:t>
      </w:r>
      <w:r w:rsidRPr="005905DE" w:rsidR="001E3FCF">
        <w:rPr>
          <w:rFonts w:ascii="Calibri" w:hAnsi="Calibri" w:eastAsia="Verdana" w:cs="Calibri"/>
          <w:color w:val="000000" w:themeColor="text1"/>
        </w:rPr>
        <w:t>l</w:t>
      </w:r>
      <w:r w:rsidRPr="005905DE">
        <w:rPr>
          <w:rFonts w:ascii="Calibri" w:hAnsi="Calibri" w:eastAsia="Verdana" w:cs="Calibri"/>
          <w:color w:val="000000" w:themeColor="text1"/>
        </w:rPr>
        <w:t xml:space="preserve">idstaten in algemene zin </w:t>
      </w:r>
      <w:r w:rsidRPr="005905DE" w:rsidR="00B74354">
        <w:rPr>
          <w:rFonts w:ascii="Calibri" w:hAnsi="Calibri" w:eastAsia="Verdana" w:cs="Calibri"/>
          <w:color w:val="000000" w:themeColor="text1"/>
        </w:rPr>
        <w:t xml:space="preserve">positief gereageerd op de </w:t>
      </w:r>
      <w:r w:rsidRPr="005905DE" w:rsidR="00406C90">
        <w:rPr>
          <w:rFonts w:ascii="Calibri" w:hAnsi="Calibri" w:eastAsia="Verdana" w:cs="Calibri"/>
          <w:color w:val="000000" w:themeColor="text1"/>
        </w:rPr>
        <w:t>EU-drugsstrategie</w:t>
      </w:r>
      <w:r w:rsidRPr="005905DE" w:rsidR="00B74354">
        <w:rPr>
          <w:rFonts w:ascii="Calibri" w:hAnsi="Calibri" w:eastAsia="Verdana" w:cs="Calibri"/>
          <w:color w:val="000000" w:themeColor="text1"/>
        </w:rPr>
        <w:t xml:space="preserve">. </w:t>
      </w:r>
      <w:r w:rsidRPr="005905DE" w:rsidR="0050769E">
        <w:rPr>
          <w:rFonts w:ascii="Calibri" w:hAnsi="Calibri" w:eastAsia="Verdana" w:cs="Calibri"/>
          <w:color w:val="000000" w:themeColor="text1"/>
        </w:rPr>
        <w:t xml:space="preserve">Veel lidstaten zien de strategie als een bruikbaar kader voor het Europese drugsbeleid voor de komende periode, maar signaleren aandachtspunten bij de verdere uitwerking. Daarbij zijn vragen gesteld over het ontbreken van een breed actieplan voor de gehele strategie, </w:t>
      </w:r>
      <w:r w:rsidRPr="005905DE" w:rsidR="0050769E">
        <w:rPr>
          <w:rFonts w:ascii="Calibri" w:hAnsi="Calibri" w:eastAsia="Verdana" w:cs="Calibri"/>
          <w:color w:val="000000" w:themeColor="text1"/>
        </w:rPr>
        <w:lastRenderedPageBreak/>
        <w:t>naast het reeds gepresenteerde actieplan gericht op de bestrijding van drugshandel. In dat verband is gesproken over de verhouding tussen de strategische ambities en de concrete invulling daarvan, met name ten aanzien van preventie, behandeling en schadebeperking in relatie tot de meer operationeel uitgewerkte veiligheidsmaatregelen. Ook is gevraagd naar de samenhang met andere Commissiedocumenten.</w:t>
      </w:r>
      <w:r w:rsidRPr="005905DE" w:rsidR="0050769E">
        <w:rPr>
          <w:rFonts w:ascii="Calibri" w:hAnsi="Calibri" w:eastAsia="Verdana" w:cs="Calibri"/>
          <w:color w:val="000000" w:themeColor="text1"/>
          <w:vertAlign w:val="superscript"/>
        </w:rPr>
        <w:footnoteReference w:id="14"/>
      </w:r>
      <w:r w:rsidRPr="005905DE" w:rsidR="0050769E">
        <w:rPr>
          <w:rFonts w:ascii="Calibri" w:hAnsi="Calibri" w:eastAsia="Verdana" w:cs="Calibri"/>
          <w:color w:val="000000" w:themeColor="text1"/>
        </w:rPr>
        <w:t xml:space="preserve"> Verder is behoefte uitgesproken aan duidelijkheid over de implementatie van de strategie. Dit betreft onder meer de rol van de Raad, de wijze van monitoring en evaluatie en het moment van eventuele bijstelling</w:t>
      </w:r>
      <w:r w:rsidRPr="005905DE" w:rsidR="00B74354">
        <w:rPr>
          <w:rFonts w:ascii="Calibri" w:hAnsi="Calibri" w:eastAsia="Verdana" w:cs="Calibri"/>
          <w:color w:val="000000" w:themeColor="text1"/>
        </w:rPr>
        <w:t xml:space="preserve">. </w:t>
      </w:r>
      <w:r w:rsidRPr="005905DE" w:rsidR="005B4B12">
        <w:rPr>
          <w:rFonts w:ascii="Calibri" w:hAnsi="Calibri" w:eastAsia="Verdana" w:cs="Calibri"/>
          <w:color w:val="000000" w:themeColor="text1"/>
        </w:rPr>
        <w:t>De Commissie heeft aangegeven dat verdere uitwerking zal plaatsvinden in een implementatiekader, waarbij lidstaten zullen worden betrokken. Ten aanzien van de externe dimensie is in brede kring steun uitgesproken voor het versterken van de samenwerking met derde landen en internationale partners.</w:t>
      </w:r>
      <w:r w:rsidRPr="005905DE" w:rsidR="005B4B12">
        <w:rPr>
          <w:rFonts w:ascii="Calibri" w:hAnsi="Calibri" w:eastAsia="Verdana" w:cs="Calibri"/>
          <w:i/>
          <w:iCs/>
          <w:color w:val="000000" w:themeColor="text1"/>
        </w:rPr>
        <w:t xml:space="preserve"> </w:t>
      </w:r>
      <w:r w:rsidRPr="005905DE" w:rsidR="008808A8">
        <w:rPr>
          <w:rFonts w:ascii="Calibri" w:hAnsi="Calibri" w:eastAsia="Verdana" w:cs="Calibri"/>
          <w:color w:val="000000" w:themeColor="text1"/>
        </w:rPr>
        <w:t>Het Europees Parlement heeft zich (nog) niet uitgesproken over de strategie.</w:t>
      </w:r>
    </w:p>
    <w:p w:rsidRPr="005905DE" w:rsidR="00595056" w:rsidP="005905DE" w:rsidRDefault="00595056" w14:paraId="7ED6A409" w14:textId="77777777">
      <w:pPr>
        <w:spacing w:after="160"/>
        <w:ind w:left="360"/>
        <w:rPr>
          <w:rFonts w:ascii="Calibri" w:hAnsi="Calibri" w:eastAsia="Verdana" w:cs="Calibri"/>
          <w:color w:val="000000" w:themeColor="text1"/>
        </w:rPr>
      </w:pPr>
    </w:p>
    <w:p w:rsidRPr="005905DE" w:rsidR="00595056" w:rsidP="005905DE" w:rsidRDefault="00B74354" w14:paraId="0B5FF365" w14:textId="77777777">
      <w:pPr>
        <w:numPr>
          <w:ilvl w:val="0"/>
          <w:numId w:val="12"/>
        </w:numPr>
        <w:spacing w:after="160"/>
        <w:rPr>
          <w:rFonts w:ascii="Calibri" w:hAnsi="Calibri" w:eastAsia="Verdana" w:cs="Calibri"/>
          <w:b/>
          <w:bCs/>
          <w:color w:val="000000" w:themeColor="text1"/>
        </w:rPr>
      </w:pPr>
      <w:r w:rsidRPr="005905DE">
        <w:rPr>
          <w:rFonts w:ascii="Calibri" w:hAnsi="Calibri" w:eastAsia="Verdana" w:cs="Calibri"/>
          <w:b/>
          <w:bCs/>
          <w:color w:val="000000" w:themeColor="text1"/>
        </w:rPr>
        <w:t>Grondhouding ten aanzien van bevoegdheid, subsidiariteit, proportionaliteit, financiële gevolgen en gevolgen voor regeldruk, concurrentiekracht en geopolitieke aspecten</w:t>
      </w:r>
    </w:p>
    <w:p w:rsidRPr="005905DE" w:rsidR="00840053" w:rsidP="005905DE" w:rsidRDefault="00B74354" w14:paraId="1AB2A97D" w14:textId="531CCF77">
      <w:pPr>
        <w:numPr>
          <w:ilvl w:val="0"/>
          <w:numId w:val="15"/>
        </w:numPr>
        <w:spacing w:after="160"/>
        <w:rPr>
          <w:rFonts w:ascii="Calibri" w:hAnsi="Calibri" w:eastAsia="Verdana" w:cs="Calibri"/>
          <w:i/>
          <w:iCs/>
          <w:color w:val="000000" w:themeColor="text1"/>
        </w:rPr>
      </w:pPr>
      <w:bookmarkStart w:name="_Hlk216902933" w:id="0"/>
      <w:r w:rsidRPr="005905DE">
        <w:rPr>
          <w:rFonts w:ascii="Calibri" w:hAnsi="Calibri" w:eastAsia="Verdana" w:cs="Calibri"/>
          <w:i/>
          <w:iCs/>
          <w:color w:val="000000" w:themeColor="text1"/>
        </w:rPr>
        <w:t>Bevoegdheid</w:t>
      </w:r>
    </w:p>
    <w:p w:rsidRPr="005905DE" w:rsidR="00374DC3" w:rsidP="005905DE" w:rsidRDefault="00E36FAE" w14:paraId="68D665B4" w14:textId="3D8C41CC">
      <w:pPr>
        <w:spacing w:after="160"/>
        <w:rPr>
          <w:rFonts w:ascii="Calibri" w:hAnsi="Calibri" w:eastAsia="Verdana" w:cs="Calibri"/>
          <w:i/>
          <w:iCs/>
          <w:color w:val="000000" w:themeColor="text1"/>
        </w:rPr>
      </w:pPr>
      <w:r w:rsidRPr="005905DE">
        <w:rPr>
          <w:rFonts w:ascii="Calibri" w:hAnsi="Calibri" w:eastAsia="Verdana" w:cs="Calibri"/>
          <w:color w:val="000000" w:themeColor="text1"/>
        </w:rPr>
        <w:t>De grondhouding</w:t>
      </w:r>
      <w:r w:rsidRPr="005905DE" w:rsidR="00B74354">
        <w:rPr>
          <w:rFonts w:ascii="Calibri" w:hAnsi="Calibri" w:eastAsia="Verdana" w:cs="Calibri"/>
          <w:color w:val="000000" w:themeColor="text1"/>
        </w:rPr>
        <w:t xml:space="preserve"> van het kabinet is positief. De mededeling heeft betrekking op </w:t>
      </w:r>
      <w:r w:rsidRPr="005905DE" w:rsidR="00202F90">
        <w:rPr>
          <w:rFonts w:ascii="Calibri" w:hAnsi="Calibri" w:eastAsia="Verdana" w:cs="Calibri"/>
          <w:color w:val="000000" w:themeColor="text1"/>
        </w:rPr>
        <w:t>het strategisch kader voor het drugsbeleid van de EU.</w:t>
      </w:r>
      <w:r w:rsidRPr="005905DE" w:rsidR="00B74354">
        <w:rPr>
          <w:rFonts w:ascii="Calibri" w:hAnsi="Calibri" w:eastAsia="Verdana" w:cs="Calibri"/>
          <w:color w:val="000000" w:themeColor="text1"/>
        </w:rPr>
        <w:t xml:space="preserve"> </w:t>
      </w:r>
      <w:r w:rsidRPr="005905DE" w:rsidR="007D6556">
        <w:rPr>
          <w:rFonts w:ascii="Calibri" w:hAnsi="Calibri" w:eastAsia="Verdana" w:cs="Calibri"/>
          <w:color w:val="000000" w:themeColor="text1"/>
        </w:rPr>
        <w:t>Op het terrein van bescherming en verbetering van de menselijke gezondheid is sprake van een ondersteunende, coördinerende en aanvullende bevoegdheid van de Unie (artikel 6 onder a, VWEU).</w:t>
      </w:r>
      <w:bookmarkEnd w:id="0"/>
      <w:r w:rsidRPr="005905DE" w:rsidR="007D6556">
        <w:rPr>
          <w:rFonts w:ascii="Calibri" w:hAnsi="Calibri" w:eastAsia="Verdana" w:cs="Calibri"/>
          <w:color w:val="000000" w:themeColor="text1"/>
        </w:rPr>
        <w:t xml:space="preserve"> </w:t>
      </w:r>
      <w:r w:rsidRPr="005905DE" w:rsidR="00B74354">
        <w:rPr>
          <w:rFonts w:ascii="Calibri" w:hAnsi="Calibri" w:eastAsia="Verdana" w:cs="Calibri"/>
          <w:color w:val="000000" w:themeColor="text1"/>
        </w:rPr>
        <w:t>Op het terrein van de ruimte van vrijheid, veiligheid en recht is sprake van een</w:t>
      </w:r>
      <w:r w:rsidRPr="005905DE" w:rsidR="00577EF1">
        <w:rPr>
          <w:rFonts w:ascii="Calibri" w:hAnsi="Calibri" w:eastAsia="Verdana" w:cs="Calibri"/>
          <w:color w:val="000000" w:themeColor="text1"/>
        </w:rPr>
        <w:t xml:space="preserve"> </w:t>
      </w:r>
      <w:r w:rsidRPr="005905DE" w:rsidR="00B74354">
        <w:rPr>
          <w:rFonts w:ascii="Calibri" w:hAnsi="Calibri" w:eastAsia="Verdana" w:cs="Calibri"/>
          <w:color w:val="000000" w:themeColor="text1"/>
        </w:rPr>
        <w:t>gedeelde bevoegdheid tussen de EU en lidstaten</w:t>
      </w:r>
      <w:r w:rsidRPr="005905DE" w:rsidR="00781F21">
        <w:rPr>
          <w:rFonts w:ascii="Calibri" w:hAnsi="Calibri" w:eastAsia="Verdana" w:cs="Calibri"/>
          <w:color w:val="000000" w:themeColor="text1"/>
        </w:rPr>
        <w:t xml:space="preserve"> </w:t>
      </w:r>
      <w:r w:rsidRPr="005905DE" w:rsidR="00B74354">
        <w:rPr>
          <w:rFonts w:ascii="Calibri" w:hAnsi="Calibri" w:eastAsia="Verdana" w:cs="Calibri"/>
          <w:color w:val="000000" w:themeColor="text1"/>
        </w:rPr>
        <w:t xml:space="preserve">(artikel 4, lid 2, </w:t>
      </w:r>
      <w:r w:rsidRPr="005905DE" w:rsidR="00265A59">
        <w:rPr>
          <w:rFonts w:ascii="Calibri" w:hAnsi="Calibri" w:eastAsia="Verdana" w:cs="Calibri"/>
          <w:color w:val="000000" w:themeColor="text1"/>
        </w:rPr>
        <w:t>onder</w:t>
      </w:r>
      <w:r w:rsidRPr="005905DE" w:rsidR="00B74354">
        <w:rPr>
          <w:rFonts w:ascii="Calibri" w:hAnsi="Calibri" w:eastAsia="Verdana" w:cs="Calibri"/>
          <w:color w:val="000000" w:themeColor="text1"/>
        </w:rPr>
        <w:t xml:space="preserve"> j, VWEU). </w:t>
      </w:r>
    </w:p>
    <w:p w:rsidRPr="005905DE" w:rsidR="00374DC3" w:rsidP="005905DE" w:rsidRDefault="00374DC3" w14:paraId="58498023" w14:textId="77777777">
      <w:pPr>
        <w:spacing w:after="160"/>
        <w:rPr>
          <w:rFonts w:ascii="Calibri" w:hAnsi="Calibri" w:eastAsia="Verdana" w:cs="Calibri"/>
          <w:i/>
          <w:iCs/>
          <w:color w:val="000000" w:themeColor="text1"/>
        </w:rPr>
      </w:pPr>
    </w:p>
    <w:p w:rsidRPr="005905DE" w:rsidR="00840053" w:rsidP="005905DE" w:rsidRDefault="00B74354" w14:paraId="7B08198D" w14:textId="00C93B13">
      <w:pPr>
        <w:numPr>
          <w:ilvl w:val="0"/>
          <w:numId w:val="15"/>
        </w:numPr>
        <w:spacing w:after="160"/>
        <w:rPr>
          <w:rFonts w:ascii="Calibri" w:hAnsi="Calibri" w:eastAsia="Verdana" w:cs="Calibri"/>
          <w:i/>
          <w:iCs/>
          <w:color w:val="000000" w:themeColor="text1"/>
        </w:rPr>
      </w:pPr>
      <w:r w:rsidRPr="005905DE">
        <w:rPr>
          <w:rFonts w:ascii="Calibri" w:hAnsi="Calibri" w:eastAsia="Verdana" w:cs="Calibri"/>
          <w:i/>
          <w:iCs/>
          <w:color w:val="000000" w:themeColor="text1"/>
        </w:rPr>
        <w:t>Subsidiariteit</w:t>
      </w:r>
    </w:p>
    <w:p w:rsidRPr="005905DE" w:rsidR="00EF3E4A" w:rsidP="005905DE" w:rsidRDefault="00B74354" w14:paraId="6FC2748F" w14:textId="7BA0D027">
      <w:pPr>
        <w:spacing w:after="160"/>
        <w:rPr>
          <w:rFonts w:ascii="Calibri" w:hAnsi="Calibri" w:eastAsia="Verdana" w:cs="Calibri"/>
          <w:i/>
          <w:iCs/>
          <w:color w:val="000000" w:themeColor="text1"/>
        </w:rPr>
      </w:pPr>
      <w:r w:rsidRPr="005905DE">
        <w:rPr>
          <w:rFonts w:ascii="Calibri" w:hAnsi="Calibri" w:eastAsia="Verdana" w:cs="Calibri"/>
          <w:color w:val="000000" w:themeColor="text1"/>
        </w:rPr>
        <w:t xml:space="preserve">De grondhouding van het kabinet is positief. De mededeling heeft </w:t>
      </w:r>
      <w:r w:rsidRPr="005905DE" w:rsidR="00931B4F">
        <w:rPr>
          <w:rFonts w:ascii="Calibri" w:hAnsi="Calibri" w:eastAsia="Verdana" w:cs="Calibri"/>
          <w:color w:val="000000" w:themeColor="text1"/>
        </w:rPr>
        <w:t>als</w:t>
      </w:r>
      <w:r w:rsidRPr="005905DE">
        <w:rPr>
          <w:rFonts w:ascii="Calibri" w:hAnsi="Calibri" w:eastAsia="Verdana" w:cs="Calibri"/>
          <w:color w:val="000000" w:themeColor="text1"/>
        </w:rPr>
        <w:t xml:space="preserve"> doel</w:t>
      </w:r>
      <w:r w:rsidRPr="005905DE" w:rsidR="00A31DC7">
        <w:rPr>
          <w:rFonts w:ascii="Calibri" w:hAnsi="Calibri" w:eastAsia="Verdana" w:cs="Calibri"/>
          <w:color w:val="000000" w:themeColor="text1"/>
        </w:rPr>
        <w:t xml:space="preserve"> </w:t>
      </w:r>
      <w:r w:rsidRPr="005905DE" w:rsidR="007D6556">
        <w:rPr>
          <w:rFonts w:ascii="Calibri" w:hAnsi="Calibri" w:eastAsia="Verdana" w:cs="Calibri"/>
          <w:color w:val="000000" w:themeColor="text1"/>
        </w:rPr>
        <w:t xml:space="preserve">drugsgebruik en georganiseerde misdaad </w:t>
      </w:r>
      <w:r w:rsidRPr="005905DE" w:rsidR="00931B4F">
        <w:rPr>
          <w:rFonts w:ascii="Calibri" w:hAnsi="Calibri" w:eastAsia="Verdana" w:cs="Calibri"/>
          <w:color w:val="000000" w:themeColor="text1"/>
        </w:rPr>
        <w:t>terug te dringen</w:t>
      </w:r>
      <w:r w:rsidRPr="005905DE" w:rsidR="0098016E">
        <w:rPr>
          <w:rFonts w:ascii="Calibri" w:hAnsi="Calibri" w:eastAsia="Verdana" w:cs="Calibri"/>
          <w:color w:val="000000" w:themeColor="text1"/>
        </w:rPr>
        <w:t xml:space="preserve">. </w:t>
      </w:r>
      <w:r w:rsidRPr="005905DE" w:rsidR="00931B4F">
        <w:rPr>
          <w:rFonts w:ascii="Calibri" w:hAnsi="Calibri" w:eastAsia="Verdana" w:cs="Calibri"/>
          <w:color w:val="000000" w:themeColor="text1"/>
        </w:rPr>
        <w:t xml:space="preserve">De Commissie wil dit bereiken </w:t>
      </w:r>
      <w:r w:rsidRPr="005905DE" w:rsidR="008C512E">
        <w:rPr>
          <w:rFonts w:ascii="Calibri" w:hAnsi="Calibri" w:eastAsia="Verdana" w:cs="Calibri"/>
          <w:color w:val="000000" w:themeColor="text1"/>
        </w:rPr>
        <w:t>via</w:t>
      </w:r>
      <w:r w:rsidRPr="005905DE" w:rsidR="00931B4F">
        <w:rPr>
          <w:rFonts w:ascii="Calibri" w:hAnsi="Calibri" w:eastAsia="Verdana" w:cs="Calibri"/>
          <w:color w:val="000000" w:themeColor="text1"/>
        </w:rPr>
        <w:t xml:space="preserve"> </w:t>
      </w:r>
      <w:r w:rsidRPr="005905DE" w:rsidR="008C512E">
        <w:rPr>
          <w:rFonts w:ascii="Calibri" w:hAnsi="Calibri" w:eastAsia="Verdana" w:cs="Calibri"/>
          <w:color w:val="000000" w:themeColor="text1"/>
        </w:rPr>
        <w:t xml:space="preserve">wetenschappelijk bewezen </w:t>
      </w:r>
      <w:r w:rsidRPr="005905DE" w:rsidR="00931B4F">
        <w:rPr>
          <w:rFonts w:ascii="Calibri" w:hAnsi="Calibri" w:eastAsia="Verdana" w:cs="Calibri"/>
          <w:color w:val="000000" w:themeColor="text1"/>
        </w:rPr>
        <w:t>gezondheids-, sociale en veiligheidsmaatregelen</w:t>
      </w:r>
      <w:r w:rsidRPr="005905DE" w:rsidR="008A17D2">
        <w:rPr>
          <w:rFonts w:ascii="Calibri" w:hAnsi="Calibri" w:eastAsia="Verdana" w:cs="Calibri"/>
          <w:color w:val="000000" w:themeColor="text1"/>
        </w:rPr>
        <w:t xml:space="preserve">. </w:t>
      </w:r>
      <w:r w:rsidRPr="005905DE" w:rsidR="002641B0">
        <w:rPr>
          <w:rFonts w:ascii="Calibri" w:hAnsi="Calibri" w:eastAsia="Verdana" w:cs="Calibri"/>
          <w:color w:val="000000" w:themeColor="text1"/>
        </w:rPr>
        <w:t>Ook overstijgen o</w:t>
      </w:r>
      <w:r w:rsidRPr="005905DE" w:rsidR="00577EF1">
        <w:rPr>
          <w:rFonts w:ascii="Calibri" w:hAnsi="Calibri" w:eastAsia="Verdana" w:cs="Calibri"/>
          <w:color w:val="000000" w:themeColor="text1"/>
        </w:rPr>
        <w:t>ntwikkelingen rond nieuwe en steeds krachtigere psychoactieve stoffen, synthetische drugs, precursorstromen, digitale handel en internationale smokkelroutes</w:t>
      </w:r>
      <w:r w:rsidRPr="005905DE" w:rsidR="002641B0">
        <w:rPr>
          <w:rFonts w:ascii="Calibri" w:hAnsi="Calibri" w:eastAsia="Verdana" w:cs="Calibri"/>
          <w:color w:val="000000" w:themeColor="text1"/>
        </w:rPr>
        <w:t xml:space="preserve">, </w:t>
      </w:r>
      <w:r w:rsidRPr="005905DE" w:rsidR="00577EF1">
        <w:rPr>
          <w:rFonts w:ascii="Calibri" w:hAnsi="Calibri" w:eastAsia="Verdana" w:cs="Calibri"/>
          <w:color w:val="000000" w:themeColor="text1"/>
        </w:rPr>
        <w:t xml:space="preserve">nationale grenzen. </w:t>
      </w:r>
      <w:r w:rsidRPr="005905DE">
        <w:rPr>
          <w:rFonts w:ascii="Calibri" w:hAnsi="Calibri" w:eastAsia="Verdana" w:cs="Calibri"/>
          <w:color w:val="000000" w:themeColor="text1"/>
        </w:rPr>
        <w:t xml:space="preserve">Gezien </w:t>
      </w:r>
      <w:r w:rsidRPr="005905DE" w:rsidR="002641B0">
        <w:rPr>
          <w:rFonts w:ascii="Calibri" w:hAnsi="Calibri" w:eastAsia="Verdana" w:cs="Calibri"/>
          <w:color w:val="000000" w:themeColor="text1"/>
        </w:rPr>
        <w:t>dit</w:t>
      </w:r>
      <w:r w:rsidRPr="005905DE">
        <w:rPr>
          <w:rFonts w:ascii="Calibri" w:hAnsi="Calibri" w:eastAsia="Verdana" w:cs="Calibri"/>
          <w:color w:val="000000" w:themeColor="text1"/>
        </w:rPr>
        <w:t xml:space="preserve"> grensoverschrijdende karakter van de drugsproblematiek, die </w:t>
      </w:r>
      <w:r w:rsidRPr="005905DE" w:rsidR="002641B0">
        <w:rPr>
          <w:rFonts w:ascii="Calibri" w:hAnsi="Calibri" w:eastAsia="Verdana" w:cs="Calibri"/>
          <w:color w:val="000000" w:themeColor="text1"/>
        </w:rPr>
        <w:t xml:space="preserve">bovendien </w:t>
      </w:r>
      <w:r w:rsidRPr="005905DE">
        <w:rPr>
          <w:rFonts w:ascii="Calibri" w:hAnsi="Calibri" w:eastAsia="Verdana" w:cs="Calibri"/>
          <w:color w:val="000000" w:themeColor="text1"/>
        </w:rPr>
        <w:t>zowel de volksgezondheid als de veiligheid raakt, kan deze uitdaging onvoldoende door de lidstaten afzonderlijk op centraal, regionaal of lokaal niveau worden verwezenlijkt</w:t>
      </w:r>
      <w:r w:rsidRPr="005905DE" w:rsidR="002641B0">
        <w:rPr>
          <w:rFonts w:ascii="Calibri" w:hAnsi="Calibri" w:eastAsia="Verdana" w:cs="Calibri"/>
          <w:color w:val="000000" w:themeColor="text1"/>
        </w:rPr>
        <w:t>. D</w:t>
      </w:r>
      <w:r w:rsidRPr="005905DE" w:rsidR="00577EF1">
        <w:rPr>
          <w:rFonts w:ascii="Calibri" w:hAnsi="Calibri" w:eastAsia="Verdana" w:cs="Calibri"/>
          <w:color w:val="000000" w:themeColor="text1"/>
        </w:rPr>
        <w:t>aarom is een</w:t>
      </w:r>
      <w:r w:rsidRPr="005905DE" w:rsidR="003E17C9">
        <w:rPr>
          <w:rFonts w:ascii="Calibri" w:hAnsi="Calibri" w:eastAsia="Verdana" w:cs="Calibri"/>
          <w:color w:val="000000" w:themeColor="text1"/>
        </w:rPr>
        <w:t xml:space="preserve"> (versterkte)</w:t>
      </w:r>
      <w:r w:rsidRPr="005905DE" w:rsidR="00577EF1">
        <w:rPr>
          <w:rFonts w:ascii="Calibri" w:hAnsi="Calibri" w:eastAsia="Verdana" w:cs="Calibri"/>
          <w:color w:val="000000" w:themeColor="text1"/>
        </w:rPr>
        <w:t xml:space="preserve"> EU-aanpak nodig</w:t>
      </w:r>
      <w:r w:rsidRPr="005905DE">
        <w:rPr>
          <w:rFonts w:ascii="Calibri" w:hAnsi="Calibri" w:eastAsia="Verdana" w:cs="Calibri"/>
          <w:color w:val="000000" w:themeColor="text1"/>
        </w:rPr>
        <w:t>. Door monitoring, vroegsignalering, kennisuitwisseling en versterkte samenwerking tussen lidstaten en Europese agentschappen wordt de effectiviteit van nationale beleidsinspanningen vergroot en</w:t>
      </w:r>
      <w:r w:rsidRPr="005905DE" w:rsidR="00653D81">
        <w:rPr>
          <w:rFonts w:ascii="Calibri" w:hAnsi="Calibri" w:eastAsia="Verdana" w:cs="Calibri"/>
          <w:color w:val="000000" w:themeColor="text1"/>
        </w:rPr>
        <w:t xml:space="preserve"> </w:t>
      </w:r>
      <w:r w:rsidRPr="005905DE" w:rsidR="00A31DC7">
        <w:rPr>
          <w:rFonts w:ascii="Calibri" w:hAnsi="Calibri" w:eastAsia="Verdana" w:cs="Calibri"/>
          <w:color w:val="000000" w:themeColor="text1"/>
        </w:rPr>
        <w:t>kan</w:t>
      </w:r>
      <w:r w:rsidRPr="005905DE">
        <w:rPr>
          <w:rFonts w:ascii="Calibri" w:hAnsi="Calibri" w:eastAsia="Verdana" w:cs="Calibri"/>
          <w:color w:val="000000" w:themeColor="text1"/>
        </w:rPr>
        <w:t xml:space="preserve"> beter </w:t>
      </w:r>
      <w:r w:rsidRPr="005905DE" w:rsidR="00A31DC7">
        <w:rPr>
          <w:rFonts w:ascii="Calibri" w:hAnsi="Calibri" w:eastAsia="Verdana" w:cs="Calibri"/>
          <w:color w:val="000000" w:themeColor="text1"/>
        </w:rPr>
        <w:t xml:space="preserve">worden </w:t>
      </w:r>
      <w:r w:rsidRPr="005905DE">
        <w:rPr>
          <w:rFonts w:ascii="Calibri" w:hAnsi="Calibri" w:eastAsia="Verdana" w:cs="Calibri"/>
          <w:color w:val="000000" w:themeColor="text1"/>
        </w:rPr>
        <w:t xml:space="preserve">ingespeeld op grensoverschrijdende risico’s. Daarnaast versterkt gezamenlijk optreden op EU-niveau de informatiepositie, operationele samenwerking en gezamenlijke verstoringscapaciteit bij de aanpak van grensoverschrijdende georganiseerde criminaliteit. Om die redenen is optreden op het niveau van de EU gerechtvaardigd. </w:t>
      </w:r>
      <w:r w:rsidRPr="005905DE" w:rsidR="00EF3E4A">
        <w:rPr>
          <w:rFonts w:ascii="Calibri" w:hAnsi="Calibri" w:eastAsia="Verdana" w:cs="Calibri"/>
          <w:color w:val="000000" w:themeColor="text1"/>
        </w:rPr>
        <w:br/>
      </w:r>
    </w:p>
    <w:p w:rsidRPr="005905DE" w:rsidR="00840053" w:rsidP="005905DE" w:rsidRDefault="00B74354" w14:paraId="7262468C" w14:textId="3F3955A8">
      <w:pPr>
        <w:numPr>
          <w:ilvl w:val="0"/>
          <w:numId w:val="15"/>
        </w:numPr>
        <w:spacing w:after="160"/>
        <w:rPr>
          <w:rFonts w:ascii="Calibri" w:hAnsi="Calibri" w:eastAsia="Verdana" w:cs="Calibri"/>
          <w:i/>
          <w:iCs/>
          <w:color w:val="000000" w:themeColor="text1"/>
        </w:rPr>
      </w:pPr>
      <w:r w:rsidRPr="005905DE">
        <w:rPr>
          <w:rFonts w:ascii="Calibri" w:hAnsi="Calibri" w:eastAsia="Verdana" w:cs="Calibri"/>
          <w:i/>
          <w:iCs/>
          <w:color w:val="000000" w:themeColor="text1"/>
        </w:rPr>
        <w:t>Proportionaliteit</w:t>
      </w:r>
    </w:p>
    <w:p w:rsidRPr="005905DE" w:rsidR="00595056" w:rsidP="005905DE" w:rsidRDefault="00656663" w14:paraId="17CCFB7C" w14:textId="195D2D9D">
      <w:pPr>
        <w:spacing w:after="160"/>
        <w:rPr>
          <w:rFonts w:ascii="Calibri" w:hAnsi="Calibri" w:eastAsia="Verdana" w:cs="Calibri"/>
          <w:color w:val="000000" w:themeColor="text1"/>
          <w:lang w:val="nl-NL"/>
        </w:rPr>
      </w:pPr>
      <w:r w:rsidRPr="005905DE">
        <w:rPr>
          <w:rFonts w:ascii="Calibri" w:hAnsi="Calibri" w:eastAsia="Verdana" w:cs="Calibri"/>
          <w:color w:val="000000" w:themeColor="text1"/>
        </w:rPr>
        <w:t xml:space="preserve">De grondhouding van het kabinet is positief. De mededeling heeft als doel drugsgebruik en georganiseerde misdaad terug te dringen. De Commissie wil dit bereiken met versterkte </w:t>
      </w:r>
      <w:r w:rsidRPr="005905DE">
        <w:rPr>
          <w:rFonts w:ascii="Calibri" w:hAnsi="Calibri" w:eastAsia="Verdana" w:cs="Calibri"/>
          <w:color w:val="000000" w:themeColor="text1"/>
        </w:rPr>
        <w:lastRenderedPageBreak/>
        <w:t xml:space="preserve">gezondheids-, sociale en veiligheidsmaatregelen, gebaseerd op wetenschappelijk bewijs. De voorgestelde maatregelen zijn geschikt om deze doelstelling te bereiken. </w:t>
      </w:r>
      <w:r w:rsidRPr="005905DE" w:rsidR="00E8451D">
        <w:rPr>
          <w:rFonts w:ascii="Calibri" w:hAnsi="Calibri" w:eastAsia="Verdana" w:cs="Calibri"/>
          <w:color w:val="000000" w:themeColor="text1"/>
        </w:rPr>
        <w:t>Zo</w:t>
      </w:r>
      <w:r w:rsidRPr="005905DE">
        <w:rPr>
          <w:rFonts w:ascii="Calibri" w:hAnsi="Calibri" w:eastAsia="Verdana" w:cs="Calibri"/>
          <w:color w:val="000000" w:themeColor="text1"/>
        </w:rPr>
        <w:t xml:space="preserve"> wordt ingezet op evidence-based preventie, risicobewustzijn, vrijwillige behandeling en sociale re-integratie ter vermindering van problematisch drugsgebruik. </w:t>
      </w:r>
      <w:r w:rsidRPr="005905DE" w:rsidR="00E8451D">
        <w:rPr>
          <w:rFonts w:ascii="Calibri" w:hAnsi="Calibri" w:eastAsia="Verdana" w:cs="Calibri"/>
          <w:color w:val="000000" w:themeColor="text1"/>
        </w:rPr>
        <w:t>Daarnaast</w:t>
      </w:r>
      <w:r w:rsidRPr="005905DE">
        <w:rPr>
          <w:rFonts w:ascii="Calibri" w:hAnsi="Calibri" w:eastAsia="Verdana" w:cs="Calibri"/>
          <w:color w:val="000000" w:themeColor="text1"/>
        </w:rPr>
        <w:t xml:space="preserve"> wordt voorzien in concreet en operationeel uitgewerkte veiligheidsmaatregelen, die via acties, tijdlijnen en koppelingen aan bestaande structuren zoals EMPACT, Europol, Frontex en</w:t>
      </w:r>
      <w:r w:rsidRPr="005905DE" w:rsidR="00877B3D">
        <w:rPr>
          <w:rFonts w:ascii="Calibri" w:hAnsi="Calibri" w:eastAsia="Verdana" w:cs="Calibri"/>
          <w:color w:val="000000" w:themeColor="text1"/>
        </w:rPr>
        <w:t xml:space="preserve"> het Maritime Analysis and Operations Centre- Narcotics</w:t>
      </w:r>
      <w:r w:rsidRPr="005905DE">
        <w:rPr>
          <w:rFonts w:ascii="Calibri" w:hAnsi="Calibri" w:eastAsia="Verdana" w:cs="Calibri"/>
          <w:color w:val="000000" w:themeColor="text1"/>
        </w:rPr>
        <w:t xml:space="preserve"> </w:t>
      </w:r>
      <w:r w:rsidRPr="005905DE" w:rsidR="00877B3D">
        <w:rPr>
          <w:rFonts w:ascii="Calibri" w:hAnsi="Calibri" w:eastAsia="Verdana" w:cs="Calibri"/>
          <w:color w:val="000000" w:themeColor="text1"/>
        </w:rPr>
        <w:t>(</w:t>
      </w:r>
      <w:r w:rsidRPr="005905DE">
        <w:rPr>
          <w:rFonts w:ascii="Calibri" w:hAnsi="Calibri" w:eastAsia="Verdana" w:cs="Calibri"/>
          <w:color w:val="000000" w:themeColor="text1"/>
        </w:rPr>
        <w:t>MAOC-N</w:t>
      </w:r>
      <w:r w:rsidRPr="005905DE" w:rsidR="00877B3D">
        <w:rPr>
          <w:rFonts w:ascii="Calibri" w:hAnsi="Calibri" w:eastAsia="Verdana" w:cs="Calibri"/>
          <w:color w:val="000000" w:themeColor="text1"/>
        </w:rPr>
        <w:t>)</w:t>
      </w:r>
      <w:r w:rsidRPr="005905DE">
        <w:rPr>
          <w:rFonts w:ascii="Calibri" w:hAnsi="Calibri" w:eastAsia="Verdana" w:cs="Calibri"/>
          <w:color w:val="000000" w:themeColor="text1"/>
        </w:rPr>
        <w:t xml:space="preserve"> aansluiten bij de internationale aard van drugsmarkten en grensoverschrijdende georganiseerde criminaliteit. Voor wat betreft de maatregelen </w:t>
      </w:r>
      <w:r w:rsidRPr="005905DE" w:rsidR="00C6114F">
        <w:rPr>
          <w:rFonts w:ascii="Calibri" w:hAnsi="Calibri" w:eastAsia="Verdana" w:cs="Calibri"/>
          <w:color w:val="000000" w:themeColor="text1"/>
        </w:rPr>
        <w:t xml:space="preserve">in onderhavige strategie </w:t>
      </w:r>
      <w:r w:rsidRPr="005905DE">
        <w:rPr>
          <w:rFonts w:ascii="Calibri" w:hAnsi="Calibri" w:eastAsia="Verdana" w:cs="Calibri"/>
          <w:color w:val="000000" w:themeColor="text1"/>
        </w:rPr>
        <w:t xml:space="preserve">geldt dat deze een niet-bindend karakter hebben. Verschillende maatregelen bouwen </w:t>
      </w:r>
      <w:r w:rsidRPr="005905DE" w:rsidR="00394CDD">
        <w:rPr>
          <w:rFonts w:ascii="Calibri" w:hAnsi="Calibri" w:eastAsia="Verdana" w:cs="Calibri"/>
          <w:color w:val="000000" w:themeColor="text1"/>
        </w:rPr>
        <w:t xml:space="preserve">bovendien </w:t>
      </w:r>
      <w:r w:rsidRPr="005905DE">
        <w:rPr>
          <w:rFonts w:ascii="Calibri" w:hAnsi="Calibri" w:eastAsia="Verdana" w:cs="Calibri"/>
          <w:color w:val="000000" w:themeColor="text1"/>
        </w:rPr>
        <w:t>voort op bestaande samenwerkingsstructuren en versterken eerdere initiatieven</w:t>
      </w:r>
      <w:r w:rsidRPr="005905DE" w:rsidR="00394CDD">
        <w:rPr>
          <w:rFonts w:ascii="Calibri" w:hAnsi="Calibri" w:eastAsia="Verdana" w:cs="Calibri"/>
          <w:color w:val="000000" w:themeColor="text1"/>
        </w:rPr>
        <w:t>.</w:t>
      </w:r>
      <w:r w:rsidRPr="005905DE" w:rsidR="00430FDB">
        <w:rPr>
          <w:rFonts w:ascii="Calibri" w:hAnsi="Calibri" w:eastAsia="Verdana" w:cs="Calibri"/>
          <w:color w:val="000000" w:themeColor="text1"/>
        </w:rPr>
        <w:t xml:space="preserve"> </w:t>
      </w:r>
      <w:r w:rsidRPr="005905DE">
        <w:rPr>
          <w:rFonts w:ascii="Calibri" w:hAnsi="Calibri" w:eastAsia="Verdana" w:cs="Calibri"/>
          <w:color w:val="000000" w:themeColor="text1"/>
        </w:rPr>
        <w:t>Lidstaten behouden verder ten aanzien van de voorgestelde maatregelen</w:t>
      </w:r>
      <w:r w:rsidRPr="005905DE" w:rsidR="000C46C2">
        <w:rPr>
          <w:rFonts w:ascii="Calibri" w:hAnsi="Calibri" w:eastAsia="Verdana" w:cs="Calibri"/>
          <w:color w:val="000000" w:themeColor="text1"/>
        </w:rPr>
        <w:t xml:space="preserve"> voldoende</w:t>
      </w:r>
      <w:r w:rsidRPr="005905DE">
        <w:rPr>
          <w:rFonts w:ascii="Calibri" w:hAnsi="Calibri" w:eastAsia="Verdana" w:cs="Calibri"/>
          <w:color w:val="000000" w:themeColor="text1"/>
        </w:rPr>
        <w:t xml:space="preserve"> ruimte bij</w:t>
      </w:r>
      <w:r w:rsidRPr="005905DE" w:rsidR="000C46C2">
        <w:rPr>
          <w:rFonts w:ascii="Calibri" w:hAnsi="Calibri" w:eastAsia="Verdana" w:cs="Calibri"/>
          <w:color w:val="000000" w:themeColor="text1"/>
        </w:rPr>
        <w:t xml:space="preserve"> de invulling van de maatregelen en bij</w:t>
      </w:r>
      <w:r w:rsidRPr="005905DE">
        <w:rPr>
          <w:rFonts w:ascii="Calibri" w:hAnsi="Calibri" w:eastAsia="Verdana" w:cs="Calibri"/>
          <w:color w:val="000000" w:themeColor="text1"/>
        </w:rPr>
        <w:t xml:space="preserve"> de inrichting en uitvoering </w:t>
      </w:r>
      <w:r w:rsidRPr="005905DE" w:rsidR="00710F28">
        <w:rPr>
          <w:rFonts w:ascii="Calibri" w:hAnsi="Calibri" w:eastAsia="Verdana" w:cs="Calibri"/>
          <w:color w:val="000000" w:themeColor="text1"/>
        </w:rPr>
        <w:t>hier</w:t>
      </w:r>
      <w:r w:rsidRPr="005905DE">
        <w:rPr>
          <w:rFonts w:ascii="Calibri" w:hAnsi="Calibri" w:eastAsia="Verdana" w:cs="Calibri"/>
          <w:color w:val="000000" w:themeColor="text1"/>
        </w:rPr>
        <w:t xml:space="preserve">van </w:t>
      </w:r>
      <w:r w:rsidRPr="005905DE" w:rsidR="00710F28">
        <w:rPr>
          <w:rFonts w:ascii="Calibri" w:hAnsi="Calibri" w:eastAsia="Verdana" w:cs="Calibri"/>
          <w:color w:val="000000" w:themeColor="text1"/>
        </w:rPr>
        <w:t xml:space="preserve">in </w:t>
      </w:r>
      <w:r w:rsidRPr="005905DE">
        <w:rPr>
          <w:rFonts w:ascii="Calibri" w:hAnsi="Calibri" w:eastAsia="Verdana" w:cs="Calibri"/>
          <w:color w:val="000000" w:themeColor="text1"/>
        </w:rPr>
        <w:t xml:space="preserve">hun nationale beleid. </w:t>
      </w:r>
      <w:r w:rsidRPr="005905DE" w:rsidR="000C46C2">
        <w:rPr>
          <w:rFonts w:ascii="Calibri" w:hAnsi="Calibri" w:eastAsia="Verdana" w:cs="Calibri"/>
          <w:color w:val="000000" w:themeColor="text1"/>
        </w:rPr>
        <w:t xml:space="preserve">Hiermee </w:t>
      </w:r>
      <w:r w:rsidRPr="005905DE">
        <w:rPr>
          <w:rFonts w:ascii="Calibri" w:hAnsi="Calibri" w:eastAsia="Verdana" w:cs="Calibri"/>
          <w:color w:val="000000" w:themeColor="text1"/>
        </w:rPr>
        <w:t xml:space="preserve">gaat het voorgestelde optreden niet verder dan noodzakelijk. </w:t>
      </w:r>
      <w:r w:rsidRPr="005905DE" w:rsidR="00072BD0">
        <w:rPr>
          <w:rFonts w:ascii="Calibri" w:hAnsi="Calibri" w:eastAsia="Verdana" w:cs="Calibri"/>
          <w:color w:val="000000" w:themeColor="text1"/>
        </w:rPr>
        <w:br/>
      </w:r>
    </w:p>
    <w:p w:rsidRPr="005905DE" w:rsidR="00840053" w:rsidP="005905DE" w:rsidRDefault="00B74354" w14:paraId="7E2BB8C0" w14:textId="6E5BA465">
      <w:pPr>
        <w:numPr>
          <w:ilvl w:val="0"/>
          <w:numId w:val="15"/>
        </w:numPr>
        <w:spacing w:after="160"/>
        <w:rPr>
          <w:rFonts w:ascii="Calibri" w:hAnsi="Calibri" w:eastAsia="Verdana" w:cs="Calibri"/>
          <w:i/>
          <w:iCs/>
          <w:color w:val="000000" w:themeColor="text1"/>
        </w:rPr>
      </w:pPr>
      <w:r w:rsidRPr="005905DE">
        <w:rPr>
          <w:rFonts w:ascii="Calibri" w:hAnsi="Calibri" w:eastAsia="Verdana" w:cs="Calibri"/>
          <w:i/>
          <w:iCs/>
          <w:color w:val="000000" w:themeColor="text1"/>
        </w:rPr>
        <w:t>Financiële gevolgen</w:t>
      </w:r>
    </w:p>
    <w:p w:rsidRPr="005905DE" w:rsidR="00595056" w:rsidP="005905DE" w:rsidRDefault="00B74354" w14:paraId="2DD88B4E" w14:textId="1597DDFC">
      <w:pPr>
        <w:spacing w:after="160"/>
        <w:rPr>
          <w:rFonts w:ascii="Calibri" w:hAnsi="Calibri" w:eastAsia="Verdana" w:cs="Calibri"/>
          <w:i/>
          <w:iCs/>
          <w:color w:val="000000" w:themeColor="text1"/>
        </w:rPr>
      </w:pPr>
      <w:r w:rsidRPr="005905DE">
        <w:rPr>
          <w:rFonts w:ascii="Calibri" w:hAnsi="Calibri" w:eastAsia="Verdana" w:cs="Calibri"/>
          <w:color w:val="000000" w:themeColor="text1"/>
        </w:rPr>
        <w:t xml:space="preserve">Er worden in beginsel geen directe consequenties voorzien voor de nationale begroting. De strategie bevat voornamelijk niet-bindende maatregelen en legt lidstaten geen directe financiële verplichtingen op. Veel van de voorgestelde acties worden uitgevoerd door bestaande EU-agentschappen, met name de EUDA, Europol en Frontex, en worden grotendeels gedekt binnen de reeds vastgestelde meerjarenbegroting. Het kabinet is van mening dat eventuele benodigde EU-middelen gevonden dienen te worden binnen de in de Raad afgesproken financiële kaders van het MFK 2021–2027 en dienen te passen binnen een prudente ontwikkeling van de jaarbegroting. Het kabinet wil niet vooruitlopen op de integrale afweging van middelen na 2027. </w:t>
      </w:r>
    </w:p>
    <w:p w:rsidRPr="005905DE" w:rsidR="00840053" w:rsidP="005905DE" w:rsidRDefault="00840053" w14:paraId="3B662C91" w14:textId="77777777">
      <w:pPr>
        <w:spacing w:after="160"/>
        <w:rPr>
          <w:rFonts w:ascii="Calibri" w:hAnsi="Calibri" w:eastAsia="Verdana" w:cs="Calibri"/>
          <w:color w:val="000000" w:themeColor="text1"/>
        </w:rPr>
      </w:pPr>
    </w:p>
    <w:p w:rsidRPr="005905DE" w:rsidR="00E50BCB" w:rsidP="005905DE" w:rsidRDefault="00B74354" w14:paraId="144EF355" w14:textId="6C30C561">
      <w:pPr>
        <w:spacing w:after="160"/>
        <w:rPr>
          <w:rFonts w:ascii="Calibri" w:hAnsi="Calibri" w:eastAsia="Verdana" w:cs="Calibri"/>
          <w:color w:val="000000" w:themeColor="text1"/>
        </w:rPr>
      </w:pPr>
      <w:r w:rsidRPr="005905DE">
        <w:rPr>
          <w:rFonts w:ascii="Calibri" w:hAnsi="Calibri" w:eastAsia="Verdana" w:cs="Calibri"/>
          <w:color w:val="000000" w:themeColor="text1"/>
        </w:rPr>
        <w:t>Tegelijkertijd kan de uitvoering van de strategie, met name aan de veiligheidskant, indirecte financiële gevolgen hebben voor lidstaten. De strategie bevat geen indicatie dat aanvullende of geoormerkte EU-financiering beschikbaar wordt gesteld om deze extra belasting op te vangen, waardoor druk kan ontstaan op nationale budgetten. Wel kunnen lidstaten in beginsel gebruikmaken van bestaande EU-financieringsinstrumenten, voor zover activiteiten binnen de doelstellingen en voorwaarden van die programma’s passen. In de mededeling worden onder meer het European Social Fund Plus (ESF+), het European Regional Development Fund (ERDF) en Horizon Europe genoemd als programma’s die activiteiten op het terrein van sociale inclusie, onderzoek en innovatie kunnen ondersteunen. Daarnaast sluit de strategie beleidsmatig aan bij andere</w:t>
      </w:r>
      <w:r w:rsidRPr="005905DE" w:rsidR="00877B3D">
        <w:rPr>
          <w:rFonts w:ascii="Calibri" w:hAnsi="Calibri" w:eastAsia="Verdana" w:cs="Calibri"/>
          <w:color w:val="000000" w:themeColor="text1"/>
        </w:rPr>
        <w:t xml:space="preserve"> </w:t>
      </w:r>
      <w:r w:rsidRPr="005905DE">
        <w:rPr>
          <w:rFonts w:ascii="Calibri" w:hAnsi="Calibri" w:eastAsia="Verdana" w:cs="Calibri"/>
          <w:color w:val="000000" w:themeColor="text1"/>
        </w:rPr>
        <w:t>EU-financieringsinstrumenten, zoals het Internal Security Fund (ISF), EU4Health, het Digital Europe Programme en het Citizens, Equality, Rights and Values Programme (CERV), evenals relevante onderdelen van het Justi</w:t>
      </w:r>
      <w:r w:rsidRPr="005905DE" w:rsidR="00A47D5B">
        <w:rPr>
          <w:rFonts w:ascii="Calibri" w:hAnsi="Calibri" w:eastAsia="Verdana" w:cs="Calibri"/>
          <w:color w:val="000000" w:themeColor="text1"/>
        </w:rPr>
        <w:t>ti</w:t>
      </w:r>
      <w:r w:rsidRPr="005905DE">
        <w:rPr>
          <w:rFonts w:ascii="Calibri" w:hAnsi="Calibri" w:eastAsia="Verdana" w:cs="Calibri"/>
          <w:color w:val="000000" w:themeColor="text1"/>
        </w:rPr>
        <w:t>e Programm</w:t>
      </w:r>
      <w:r w:rsidRPr="005905DE" w:rsidR="00A47D5B">
        <w:rPr>
          <w:rFonts w:ascii="Calibri" w:hAnsi="Calibri" w:eastAsia="Verdana" w:cs="Calibri"/>
          <w:color w:val="000000" w:themeColor="text1"/>
        </w:rPr>
        <w:t>a</w:t>
      </w:r>
      <w:r w:rsidRPr="005905DE">
        <w:rPr>
          <w:rFonts w:ascii="Calibri" w:hAnsi="Calibri" w:eastAsia="Verdana" w:cs="Calibri"/>
          <w:color w:val="000000" w:themeColor="text1"/>
        </w:rPr>
        <w:t xml:space="preserve">, hoewel deze niet expliciet in de mededeling zijn opgenomen. Aan de gezondheidskant zijn de voorgestelde maatregelen overwegend adviserend en ondersteunend van aard, waardoor de directe financiële impact beperkt lijkt. Wel kan versterking van monitoring, preventie-infrastructuur en dataverzameling leiden tot extra uitvoeringslasten voor nationale autoriteiten. </w:t>
      </w:r>
      <w:r w:rsidRPr="005905DE">
        <w:rPr>
          <w:rFonts w:ascii="Calibri" w:hAnsi="Calibri" w:eastAsia="Verdana" w:cs="Calibri"/>
          <w:color w:val="000000" w:themeColor="text1"/>
        </w:rPr>
        <w:br/>
      </w:r>
    </w:p>
    <w:p w:rsidRPr="005905DE" w:rsidR="00595056" w:rsidP="005905DE" w:rsidRDefault="00B74354" w14:paraId="289F8639" w14:textId="0DA45015">
      <w:pPr>
        <w:spacing w:after="160"/>
        <w:rPr>
          <w:rFonts w:ascii="Calibri" w:hAnsi="Calibri" w:eastAsia="Verdana" w:cs="Calibri"/>
          <w:color w:val="000000" w:themeColor="text1"/>
        </w:rPr>
      </w:pPr>
      <w:r w:rsidRPr="005905DE">
        <w:rPr>
          <w:rFonts w:ascii="Calibri" w:hAnsi="Calibri" w:eastAsia="Verdana" w:cs="Calibri"/>
          <w:color w:val="000000" w:themeColor="text1"/>
        </w:rPr>
        <w:t xml:space="preserve">Het kabinet acht de strategie in beginsel financieel uitvoerbaar, maar benadrukt dat de betaalbaarheid sterk afhankelijk is van de wijze waarop de Commissie en EU-agentschappen de implementatie vormgeven en van de mate waarin operationele veiligheidsmaatregelen in de praktijk druk zetten op nationale capaciteit. Het kabinet zal de verdere uitwerking van de strategie </w:t>
      </w:r>
      <w:r w:rsidRPr="005905DE" w:rsidR="008808A8">
        <w:rPr>
          <w:rFonts w:ascii="Calibri" w:hAnsi="Calibri" w:eastAsia="Verdana" w:cs="Calibri"/>
          <w:color w:val="000000" w:themeColor="text1"/>
        </w:rPr>
        <w:t xml:space="preserve">dan ook volgen </w:t>
      </w:r>
      <w:r w:rsidRPr="005905DE">
        <w:rPr>
          <w:rFonts w:ascii="Calibri" w:hAnsi="Calibri" w:eastAsia="Verdana" w:cs="Calibri"/>
          <w:color w:val="000000" w:themeColor="text1"/>
        </w:rPr>
        <w:t xml:space="preserve">en aandacht blijven vragen voor een evenwichtige lastenverdeling en transparantie over toekomstige financiële consequenties. Eventuele budgettaire gevolgen zullen conform de regels van de budgetdiscipline worden ingepast op de begrotingen van de beleidsverantwoordelijke </w:t>
      </w:r>
      <w:r w:rsidRPr="005905DE">
        <w:rPr>
          <w:rFonts w:ascii="Calibri" w:hAnsi="Calibri" w:eastAsia="Verdana" w:cs="Calibri"/>
          <w:color w:val="000000" w:themeColor="text1"/>
        </w:rPr>
        <w:lastRenderedPageBreak/>
        <w:t>departementen.</w:t>
      </w:r>
      <w:r w:rsidRPr="005905DE">
        <w:rPr>
          <w:rFonts w:ascii="Calibri" w:hAnsi="Calibri" w:eastAsia="Verdana" w:cs="Calibri"/>
          <w:color w:val="000000" w:themeColor="text1"/>
        </w:rPr>
        <w:br/>
      </w:r>
    </w:p>
    <w:p w:rsidRPr="005905DE" w:rsidR="00840053" w:rsidP="005905DE" w:rsidRDefault="00B74354" w14:paraId="68A90250" w14:textId="36CA98EB">
      <w:pPr>
        <w:numPr>
          <w:ilvl w:val="0"/>
          <w:numId w:val="15"/>
        </w:numPr>
        <w:spacing w:after="160"/>
        <w:rPr>
          <w:rFonts w:ascii="Calibri" w:hAnsi="Calibri" w:eastAsia="Verdana" w:cs="Calibri"/>
          <w:i/>
          <w:iCs/>
          <w:color w:val="000000" w:themeColor="text1"/>
        </w:rPr>
      </w:pPr>
      <w:r w:rsidRPr="005905DE">
        <w:rPr>
          <w:rFonts w:ascii="Calibri" w:hAnsi="Calibri" w:eastAsia="Verdana" w:cs="Calibri"/>
          <w:i/>
          <w:iCs/>
          <w:color w:val="000000" w:themeColor="text1"/>
        </w:rPr>
        <w:t>Gevolgen voor regeldruk, concurrentiekracht en geopolitieke aspecten</w:t>
      </w:r>
    </w:p>
    <w:p w:rsidRPr="005905DE" w:rsidR="00BE004D" w:rsidP="005905DE" w:rsidRDefault="00B74354" w14:paraId="6EFD3E6A" w14:textId="480C8071">
      <w:pPr>
        <w:spacing w:after="160"/>
        <w:rPr>
          <w:rFonts w:ascii="Calibri" w:hAnsi="Calibri" w:eastAsia="Verdana" w:cs="Calibri"/>
          <w:i/>
          <w:iCs/>
          <w:color w:val="000000" w:themeColor="text1"/>
        </w:rPr>
      </w:pPr>
      <w:r w:rsidRPr="005905DE">
        <w:rPr>
          <w:rFonts w:ascii="Calibri" w:hAnsi="Calibri" w:eastAsia="Verdana" w:cs="Calibri"/>
          <w:color w:val="000000" w:themeColor="text1"/>
        </w:rPr>
        <w:t xml:space="preserve">De </w:t>
      </w:r>
      <w:r w:rsidRPr="005905DE" w:rsidR="00406C90">
        <w:rPr>
          <w:rFonts w:ascii="Calibri" w:hAnsi="Calibri" w:eastAsia="Verdana" w:cs="Calibri"/>
          <w:color w:val="000000" w:themeColor="text1"/>
        </w:rPr>
        <w:t>EU-drugsstrategie</w:t>
      </w:r>
      <w:r w:rsidRPr="005905DE">
        <w:rPr>
          <w:rFonts w:ascii="Calibri" w:hAnsi="Calibri" w:eastAsia="Verdana" w:cs="Calibri"/>
          <w:color w:val="000000" w:themeColor="text1"/>
        </w:rPr>
        <w:t xml:space="preserve"> is een niet-bindende mededeling en introduceert geen nieuwe verplichtingen, waardoor geen directe gevolgen voor regeldruk voor burgers, bedrijven of overheden worden voorzien. Indien de strategie in een later stadium wordt uitgewerkt in concrete (bindende) afspraken of verplichtingen, bijvoorbeeld op het terrein van monitoring en dataverzameling, kan dit leiden tot directe administratieve lasten voor overheden. Deze mogelijke lasten vloeien echter niet voort uit de mededeling zelf, maar uit toekomstige besluitvorming. De omvang hiervan is afhankelijk van de aansluiting bij bestaande kaders. </w:t>
      </w:r>
    </w:p>
    <w:p w:rsidRPr="005905DE" w:rsidR="00BE004D" w:rsidP="005905DE" w:rsidRDefault="00BE004D" w14:paraId="424DA57C" w14:textId="77777777">
      <w:pPr>
        <w:spacing w:after="160"/>
        <w:ind w:left="360"/>
        <w:rPr>
          <w:rFonts w:ascii="Calibri" w:hAnsi="Calibri" w:eastAsia="Verdana" w:cs="Calibri"/>
          <w:i/>
          <w:iCs/>
          <w:color w:val="000000" w:themeColor="text1"/>
        </w:rPr>
      </w:pPr>
    </w:p>
    <w:p w:rsidRPr="005905DE" w:rsidR="00595056" w:rsidP="005905DE" w:rsidRDefault="00B74354" w14:paraId="0AECF6C0" w14:textId="1317DA6E">
      <w:pPr>
        <w:spacing w:after="160"/>
        <w:rPr>
          <w:rFonts w:ascii="Calibri" w:hAnsi="Calibri" w:eastAsia="Verdana" w:cs="Calibri"/>
          <w:i/>
          <w:iCs/>
          <w:color w:val="000000" w:themeColor="text1"/>
        </w:rPr>
      </w:pPr>
      <w:r w:rsidRPr="005905DE">
        <w:rPr>
          <w:rFonts w:ascii="Calibri" w:hAnsi="Calibri" w:eastAsia="Verdana" w:cs="Calibri"/>
          <w:color w:val="000000" w:themeColor="text1"/>
        </w:rPr>
        <w:t xml:space="preserve">Voor het bedrijfsleven </w:t>
      </w:r>
      <w:r w:rsidRPr="005905DE" w:rsidR="00877B3D">
        <w:rPr>
          <w:rFonts w:ascii="Calibri" w:hAnsi="Calibri" w:eastAsia="Verdana" w:cs="Calibri"/>
          <w:color w:val="000000" w:themeColor="text1"/>
        </w:rPr>
        <w:t>zullen naar verwachting</w:t>
      </w:r>
      <w:r w:rsidRPr="005905DE">
        <w:rPr>
          <w:rFonts w:ascii="Calibri" w:hAnsi="Calibri" w:eastAsia="Verdana" w:cs="Calibri"/>
          <w:color w:val="000000" w:themeColor="text1"/>
        </w:rPr>
        <w:t xml:space="preserve"> geen directe regeldrukeffecten </w:t>
      </w:r>
      <w:r w:rsidRPr="005905DE" w:rsidR="00877B3D">
        <w:rPr>
          <w:rFonts w:ascii="Calibri" w:hAnsi="Calibri" w:eastAsia="Verdana" w:cs="Calibri"/>
          <w:color w:val="000000" w:themeColor="text1"/>
        </w:rPr>
        <w:t>volgen</w:t>
      </w:r>
      <w:r w:rsidRPr="005905DE">
        <w:rPr>
          <w:rFonts w:ascii="Calibri" w:hAnsi="Calibri" w:eastAsia="Verdana" w:cs="Calibri"/>
          <w:color w:val="000000" w:themeColor="text1"/>
        </w:rPr>
        <w:t xml:space="preserve">: indirecte effecten kunnen zich voordoen in sectoren zoals logistiek, havens en digitale diensten als gevolg van intensiever toezicht en handhaving. Voor burgers worden </w:t>
      </w:r>
      <w:r w:rsidRPr="005905DE" w:rsidR="00C835E8">
        <w:rPr>
          <w:rFonts w:ascii="Calibri" w:hAnsi="Calibri" w:eastAsia="Verdana" w:cs="Calibri"/>
          <w:color w:val="000000" w:themeColor="text1"/>
        </w:rPr>
        <w:t>geen regeldrukeffecten</w:t>
      </w:r>
      <w:r w:rsidRPr="005905DE">
        <w:rPr>
          <w:rFonts w:ascii="Calibri" w:hAnsi="Calibri" w:eastAsia="Verdana" w:cs="Calibri"/>
          <w:color w:val="000000" w:themeColor="text1"/>
        </w:rPr>
        <w:t xml:space="preserve"> voorzien.</w:t>
      </w:r>
    </w:p>
    <w:p w:rsidRPr="005905DE" w:rsidR="00595056" w:rsidP="005905DE" w:rsidRDefault="00B74354" w14:paraId="3FC2E683" w14:textId="77777777">
      <w:pPr>
        <w:spacing w:after="160"/>
        <w:rPr>
          <w:rFonts w:ascii="Calibri" w:hAnsi="Calibri" w:eastAsia="Verdana" w:cs="Calibri"/>
          <w:color w:val="000000" w:themeColor="text1"/>
        </w:rPr>
      </w:pPr>
      <w:r w:rsidRPr="005905DE">
        <w:rPr>
          <w:rFonts w:ascii="Calibri" w:hAnsi="Calibri" w:eastAsia="Verdana" w:cs="Calibri"/>
          <w:color w:val="000000" w:themeColor="text1"/>
        </w:rPr>
        <w:t xml:space="preserve">De strategie bevat geen maatregelen die rechtstreeks ingrijpen op markttoegang of concurrentie en heeft daarmee geen directe gevolgen voor het Europese concurrentievermogen. Indirect kan de inzet op veiligheid en de aanpak van georganiseerde criminaliteit bijdragen aan een stabieler en veiliger ondernemingsklimaat binnen de EU. </w:t>
      </w:r>
    </w:p>
    <w:p w:rsidRPr="005905DE" w:rsidR="00840053" w:rsidP="005905DE" w:rsidRDefault="00840053" w14:paraId="2D52A021" w14:textId="77777777">
      <w:pPr>
        <w:spacing w:after="160"/>
        <w:rPr>
          <w:rFonts w:ascii="Calibri" w:hAnsi="Calibri" w:eastAsia="Verdana" w:cs="Calibri"/>
          <w:color w:val="000000" w:themeColor="text1"/>
        </w:rPr>
      </w:pPr>
    </w:p>
    <w:p w:rsidRPr="005905DE" w:rsidR="009C41F9" w:rsidP="005905DE" w:rsidRDefault="00B74354" w14:paraId="083FF988" w14:textId="397FF62F">
      <w:pPr>
        <w:spacing w:after="160"/>
        <w:rPr>
          <w:rFonts w:ascii="Calibri" w:hAnsi="Calibri" w:eastAsia="Verdana" w:cs="Calibri"/>
          <w:color w:val="000000" w:themeColor="text1"/>
        </w:rPr>
      </w:pPr>
      <w:r w:rsidRPr="005905DE">
        <w:rPr>
          <w:rFonts w:ascii="Calibri" w:hAnsi="Calibri" w:eastAsia="Verdana" w:cs="Calibri"/>
          <w:color w:val="000000" w:themeColor="text1"/>
        </w:rPr>
        <w:t xml:space="preserve">De strategie heeft een uitgesproken externe en geopolitieke dimensie, doordat de EU haar samenwerking met derde landen structureel wil intensiveren bij de aanpak van drugshandel. De inzet richt zich nadrukkelijk op bron-, transit- en bestemmingslanden en omvat versterkte beleidsdialogen en operationele samenwerking met overheden en autoriteiten in onder meer de zuidelijke Mediterrane regio, Noord-Afrika, </w:t>
      </w:r>
      <w:r w:rsidRPr="005905DE" w:rsidR="00544DD5">
        <w:rPr>
          <w:rFonts w:ascii="Calibri" w:hAnsi="Calibri" w:eastAsia="Verdana" w:cs="Calibri"/>
          <w:color w:val="000000" w:themeColor="text1"/>
        </w:rPr>
        <w:t xml:space="preserve">West-Afrika, </w:t>
      </w:r>
      <w:r w:rsidRPr="005905DE">
        <w:rPr>
          <w:rFonts w:ascii="Calibri" w:hAnsi="Calibri" w:eastAsia="Verdana" w:cs="Calibri"/>
          <w:color w:val="000000" w:themeColor="text1"/>
        </w:rPr>
        <w:t xml:space="preserve">het Midden-Oosten en de Golfregio. Daarnaast benadrukt de strategie samenwerking met strategische partners zoals de Verenigde Staten, Mexico, China en India bij de aanpak van synthetische drugs en precursorstromen, evenals met Latijns-Amerika, West-Afrika en de Westelijke Balkan bij het verstoren van smokkelroutes en het versterken van de weerbaarheid van logistieke knooppunten. Daarbij </w:t>
      </w:r>
      <w:r w:rsidRPr="005905DE" w:rsidR="009C41F9">
        <w:rPr>
          <w:rFonts w:ascii="Calibri" w:hAnsi="Calibri" w:eastAsia="Verdana" w:cs="Calibri"/>
          <w:color w:val="000000" w:themeColor="text1"/>
        </w:rPr>
        <w:t xml:space="preserve">zal </w:t>
      </w:r>
      <w:r w:rsidRPr="005905DE">
        <w:rPr>
          <w:rFonts w:ascii="Calibri" w:hAnsi="Calibri" w:eastAsia="Verdana" w:cs="Calibri"/>
          <w:color w:val="000000" w:themeColor="text1"/>
        </w:rPr>
        <w:t>gebruik</w:t>
      </w:r>
      <w:r w:rsidRPr="005905DE" w:rsidR="009C41F9">
        <w:rPr>
          <w:rFonts w:ascii="Calibri" w:hAnsi="Calibri" w:eastAsia="Verdana" w:cs="Calibri"/>
          <w:color w:val="000000" w:themeColor="text1"/>
        </w:rPr>
        <w:t xml:space="preserve"> </w:t>
      </w:r>
      <w:r w:rsidRPr="005905DE">
        <w:rPr>
          <w:rFonts w:ascii="Calibri" w:hAnsi="Calibri" w:eastAsia="Verdana" w:cs="Calibri"/>
          <w:color w:val="000000" w:themeColor="text1"/>
        </w:rPr>
        <w:t xml:space="preserve">gemaakt </w:t>
      </w:r>
      <w:r w:rsidRPr="005905DE" w:rsidR="009C41F9">
        <w:rPr>
          <w:rFonts w:ascii="Calibri" w:hAnsi="Calibri" w:eastAsia="Verdana" w:cs="Calibri"/>
          <w:color w:val="000000" w:themeColor="text1"/>
        </w:rPr>
        <w:t xml:space="preserve">worden </w:t>
      </w:r>
      <w:r w:rsidRPr="005905DE">
        <w:rPr>
          <w:rFonts w:ascii="Calibri" w:hAnsi="Calibri" w:eastAsia="Verdana" w:cs="Calibri"/>
          <w:color w:val="000000" w:themeColor="text1"/>
        </w:rPr>
        <w:t xml:space="preserve">van </w:t>
      </w:r>
      <w:r w:rsidRPr="005905DE" w:rsidR="009C41F9">
        <w:rPr>
          <w:rFonts w:ascii="Calibri" w:hAnsi="Calibri" w:eastAsia="Verdana" w:cs="Calibri"/>
          <w:color w:val="000000" w:themeColor="text1"/>
        </w:rPr>
        <w:t xml:space="preserve">onder andere </w:t>
      </w:r>
      <w:r w:rsidRPr="005905DE">
        <w:rPr>
          <w:rFonts w:ascii="Calibri" w:hAnsi="Calibri" w:eastAsia="Verdana" w:cs="Calibri"/>
          <w:color w:val="000000" w:themeColor="text1"/>
        </w:rPr>
        <w:t xml:space="preserve">diplomatieke dialogen, </w:t>
      </w:r>
      <w:r w:rsidRPr="005905DE" w:rsidR="009C41F9">
        <w:rPr>
          <w:rFonts w:ascii="Calibri" w:hAnsi="Calibri" w:eastAsia="Verdana" w:cs="Calibri"/>
          <w:color w:val="000000" w:themeColor="text1"/>
        </w:rPr>
        <w:t xml:space="preserve">politieke en </w:t>
      </w:r>
      <w:r w:rsidRPr="005905DE">
        <w:rPr>
          <w:rFonts w:ascii="Calibri" w:hAnsi="Calibri" w:eastAsia="Verdana" w:cs="Calibri"/>
          <w:color w:val="000000" w:themeColor="text1"/>
        </w:rPr>
        <w:t>financiële instrumenten</w:t>
      </w:r>
      <w:r w:rsidRPr="005905DE" w:rsidR="009C41F9">
        <w:rPr>
          <w:rFonts w:ascii="Calibri" w:hAnsi="Calibri" w:eastAsia="Verdana" w:cs="Calibri"/>
          <w:color w:val="000000" w:themeColor="text1"/>
        </w:rPr>
        <w:t>. Het gehele spectrum aan EU</w:t>
      </w:r>
      <w:r w:rsidRPr="005905DE" w:rsidR="00877B3D">
        <w:rPr>
          <w:rFonts w:ascii="Calibri" w:hAnsi="Calibri" w:eastAsia="Verdana" w:cs="Calibri"/>
          <w:color w:val="000000" w:themeColor="text1"/>
        </w:rPr>
        <w:t>-</w:t>
      </w:r>
      <w:r w:rsidRPr="005905DE" w:rsidR="009C41F9">
        <w:rPr>
          <w:rFonts w:ascii="Calibri" w:hAnsi="Calibri" w:eastAsia="Verdana" w:cs="Calibri"/>
          <w:color w:val="000000" w:themeColor="text1"/>
        </w:rPr>
        <w:t xml:space="preserve">instrumenten, </w:t>
      </w:r>
      <w:r w:rsidRPr="005905DE">
        <w:rPr>
          <w:rFonts w:ascii="Calibri" w:hAnsi="Calibri" w:eastAsia="Verdana" w:cs="Calibri"/>
          <w:color w:val="000000" w:themeColor="text1"/>
        </w:rPr>
        <w:t>zoals NDICI</w:t>
      </w:r>
      <w:r w:rsidRPr="005905DE" w:rsidR="00E50BCB">
        <w:rPr>
          <w:rFonts w:ascii="Calibri" w:hAnsi="Calibri" w:eastAsia="Verdana" w:cs="Calibri"/>
          <w:color w:val="000000" w:themeColor="text1"/>
        </w:rPr>
        <w:t>,</w:t>
      </w:r>
      <w:r w:rsidRPr="005905DE" w:rsidR="009C41F9">
        <w:rPr>
          <w:rFonts w:ascii="Calibri" w:hAnsi="Calibri" w:eastAsia="Verdana" w:cs="Calibri"/>
          <w:color w:val="000000" w:themeColor="text1"/>
        </w:rPr>
        <w:t xml:space="preserve"> en specifieke missies kan ingezet worden</w:t>
      </w:r>
      <w:r w:rsidRPr="005905DE" w:rsidR="004E78B3">
        <w:rPr>
          <w:rFonts w:ascii="Calibri" w:hAnsi="Calibri" w:eastAsia="Verdana" w:cs="Calibri"/>
          <w:color w:val="000000" w:themeColor="text1"/>
        </w:rPr>
        <w:t>, net als de</w:t>
      </w:r>
      <w:r w:rsidRPr="005905DE">
        <w:rPr>
          <w:rFonts w:ascii="Calibri" w:hAnsi="Calibri" w:eastAsia="Verdana" w:cs="Calibri"/>
          <w:color w:val="000000" w:themeColor="text1"/>
        </w:rPr>
        <w:t xml:space="preserve"> operationele inzet van EU-agentschappen (waaronder Europol, Eurojust en EUDA)</w:t>
      </w:r>
      <w:r w:rsidRPr="005905DE" w:rsidR="004E78B3">
        <w:rPr>
          <w:rFonts w:ascii="Calibri" w:hAnsi="Calibri" w:eastAsia="Verdana" w:cs="Calibri"/>
          <w:color w:val="000000" w:themeColor="text1"/>
        </w:rPr>
        <w:t>.</w:t>
      </w:r>
      <w:r w:rsidRPr="005905DE" w:rsidR="00F60BC8">
        <w:rPr>
          <w:rFonts w:ascii="Calibri" w:hAnsi="Calibri" w:eastAsia="Verdana" w:cs="Calibri"/>
          <w:color w:val="000000" w:themeColor="text1"/>
        </w:rPr>
        <w:t xml:space="preserve"> Ook wordt d</w:t>
      </w:r>
      <w:r w:rsidRPr="005905DE" w:rsidR="004E78B3">
        <w:rPr>
          <w:rFonts w:ascii="Calibri" w:hAnsi="Calibri" w:eastAsia="Verdana" w:cs="Calibri"/>
          <w:color w:val="000000" w:themeColor="text1"/>
        </w:rPr>
        <w:t>e mogelijkheid</w:t>
      </w:r>
      <w:r w:rsidRPr="005905DE" w:rsidR="00F756E9">
        <w:rPr>
          <w:rFonts w:ascii="Calibri" w:hAnsi="Calibri" w:eastAsia="Verdana" w:cs="Calibri"/>
          <w:color w:val="000000" w:themeColor="text1"/>
        </w:rPr>
        <w:t xml:space="preserve"> voor</w:t>
      </w:r>
      <w:r w:rsidRPr="005905DE" w:rsidR="004E78B3">
        <w:rPr>
          <w:rFonts w:ascii="Calibri" w:hAnsi="Calibri" w:eastAsia="Verdana" w:cs="Calibri"/>
          <w:color w:val="000000" w:themeColor="text1"/>
        </w:rPr>
        <w:t xml:space="preserve"> een horizontaal sanctieregime </w:t>
      </w:r>
      <w:r w:rsidRPr="005905DE">
        <w:rPr>
          <w:rFonts w:ascii="Calibri" w:hAnsi="Calibri" w:eastAsia="Verdana" w:cs="Calibri"/>
          <w:color w:val="000000" w:themeColor="text1"/>
        </w:rPr>
        <w:t>tegen transnationale criminele netwerken</w:t>
      </w:r>
      <w:r w:rsidRPr="005905DE" w:rsidR="004E78B3">
        <w:rPr>
          <w:rFonts w:ascii="Calibri" w:hAnsi="Calibri" w:eastAsia="Verdana" w:cs="Calibri"/>
          <w:color w:val="000000" w:themeColor="text1"/>
        </w:rPr>
        <w:t xml:space="preserve"> </w:t>
      </w:r>
      <w:r w:rsidRPr="005905DE" w:rsidR="00F756E9">
        <w:rPr>
          <w:rFonts w:ascii="Calibri" w:hAnsi="Calibri" w:eastAsia="Verdana" w:cs="Calibri"/>
          <w:color w:val="000000" w:themeColor="text1"/>
        </w:rPr>
        <w:t>verkend</w:t>
      </w:r>
      <w:r w:rsidRPr="005905DE">
        <w:rPr>
          <w:rFonts w:ascii="Calibri" w:hAnsi="Calibri" w:eastAsia="Verdana" w:cs="Calibri"/>
          <w:color w:val="000000" w:themeColor="text1"/>
        </w:rPr>
        <w:t xml:space="preserve">. </w:t>
      </w:r>
    </w:p>
    <w:p w:rsidRPr="005905DE" w:rsidR="00877B3D" w:rsidP="005905DE" w:rsidRDefault="00877B3D" w14:paraId="50D56299" w14:textId="77777777">
      <w:pPr>
        <w:spacing w:after="160"/>
        <w:rPr>
          <w:rFonts w:ascii="Calibri" w:hAnsi="Calibri" w:eastAsia="Verdana" w:cs="Calibri"/>
          <w:color w:val="000000" w:themeColor="text1"/>
        </w:rPr>
      </w:pPr>
    </w:p>
    <w:p w:rsidRPr="005905DE" w:rsidR="00595056" w:rsidP="005905DE" w:rsidRDefault="00B74354" w14:paraId="3312035C" w14:textId="3DDC7434">
      <w:pPr>
        <w:spacing w:after="160"/>
        <w:rPr>
          <w:rFonts w:ascii="Calibri" w:hAnsi="Calibri" w:eastAsia="Verdana" w:cs="Calibri"/>
          <w:color w:val="000000" w:themeColor="text1"/>
        </w:rPr>
      </w:pPr>
      <w:r w:rsidRPr="005905DE">
        <w:rPr>
          <w:rFonts w:ascii="Calibri" w:hAnsi="Calibri" w:eastAsia="Verdana" w:cs="Calibri"/>
          <w:color w:val="000000" w:themeColor="text1"/>
        </w:rPr>
        <w:t>De strategie bouwt voort op bestaande internationale verplichtingen en kaders, waaronder VN-drugsverdragen en mensenrechteninstrumenten, en bevestigt het EU-uitgangspunt van een gebalanceerde, evidence-based en mensenrechtengebaseerde benadering, met aandacht voor alternatieve en duurzame ontwikkelingsprogramma’s in getroffen regio’s. Daarmee raakt de strategie direct aan het externe optreden van de EU en aan de samenhang tussen veiligheidsbeleid, gezondheidsbeleid en mensenrechtenbeleid.</w:t>
      </w:r>
    </w:p>
    <w:p w:rsidRPr="005905DE" w:rsidR="004F4B77" w:rsidP="005905DE" w:rsidRDefault="004F4B77" w14:paraId="077D162C" w14:textId="5944D1B8">
      <w:pPr>
        <w:spacing w:after="160"/>
        <w:rPr>
          <w:rFonts w:ascii="Calibri" w:hAnsi="Calibri" w:eastAsia="Verdana" w:cs="Calibri"/>
          <w:color w:val="000000" w:themeColor="text1"/>
        </w:rPr>
      </w:pPr>
    </w:p>
    <w:p w:rsidRPr="005905DE" w:rsidR="004F4B77" w:rsidP="005905DE" w:rsidRDefault="004F4B77" w14:paraId="737A7CBE" w14:textId="77777777">
      <w:pPr>
        <w:spacing w:after="160"/>
        <w:rPr>
          <w:rFonts w:ascii="Calibri" w:hAnsi="Calibri" w:cs="Calibri"/>
          <w:lang w:val="nl-NL"/>
        </w:rPr>
      </w:pPr>
    </w:p>
    <w:sectPr w:rsidRPr="005905DE" w:rsidR="004F4B77">
      <w:headerReference w:type="even" r:id="rId12"/>
      <w:footerReference w:type="even" r:id="rId13"/>
      <w:headerReference w:type="first" r:id="rId14"/>
      <w:footerReference w:type="first" r:id="rId15"/>
      <w:pgSz w:w="11906" w:h="16838"/>
      <w:pgMar w:top="1440" w:right="1440" w:bottom="1440" w:left="1440" w:header="708" w:footer="708" w:gutter="0"/>
      <w:pgNumType w:start="1"/>
      <w:cols w:space="708"/>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C810B" w14:textId="77777777" w:rsidR="00CD5955" w:rsidRDefault="00CD5955">
      <w:r>
        <w:separator/>
      </w:r>
    </w:p>
  </w:endnote>
  <w:endnote w:type="continuationSeparator" w:id="0">
    <w:p w14:paraId="533B8325" w14:textId="77777777" w:rsidR="00CD5955" w:rsidRDefault="00CD5955">
      <w:r>
        <w:continuationSeparator/>
      </w:r>
    </w:p>
  </w:endnote>
  <w:endnote w:type="continuationNotice" w:id="1">
    <w:p w14:paraId="356862F9" w14:textId="77777777" w:rsidR="00CD5955" w:rsidRDefault="00CD59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65F993A-DA61-498D-8CEB-A5DB9AE0E81D}"/>
    <w:embedBold r:id="rId2" w:fontKey="{2B85F25D-0CCA-4A1D-B82F-E55049D8D786}"/>
    <w:embedItalic r:id="rId3" w:fontKey="{0A04DD1F-52E6-4411-8526-FE5A9200BB4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80EF905-31FE-4F9F-B8FB-8C15FB91DD34}"/>
  </w:font>
  <w:font w:name="Calibri">
    <w:panose1 w:val="020F0502020204030204"/>
    <w:charset w:val="00"/>
    <w:family w:val="swiss"/>
    <w:pitch w:val="variable"/>
    <w:sig w:usb0="E4002EFF" w:usb1="C200247B" w:usb2="00000009" w:usb3="00000000" w:csb0="000001FF" w:csb1="00000000"/>
    <w:embedRegular r:id="rId5" w:fontKey="{E7EE6F83-C858-4873-8635-091C9DFD6EE7}"/>
    <w:embedBold r:id="rId6" w:fontKey="{A77911BA-23AD-4E54-9762-B0D850D565CA}"/>
    <w:embedItalic r:id="rId7" w:fontKey="{A5115C87-E214-442C-9F89-15E9C6C51FDE}"/>
    <w:embedBoldItalic r:id="rId8" w:fontKey="{8096BBD9-232F-451D-A3C0-BE7676140799}"/>
  </w:font>
  <w:font w:name="Aptos">
    <w:charset w:val="00"/>
    <w:family w:val="swiss"/>
    <w:pitch w:val="variable"/>
    <w:sig w:usb0="20000287" w:usb1="00000003" w:usb2="00000000" w:usb3="00000000" w:csb0="0000019F" w:csb1="00000000"/>
    <w:embedRegular r:id="rId9" w:fontKey="{D84AEBDE-080C-466D-BF4F-E42175129BAC}"/>
    <w:embedItalic r:id="rId10" w:fontKey="{6D9117AB-B03F-4B48-AB2A-D88C6D1FB8EA}"/>
  </w:font>
  <w:font w:name="Open Sans">
    <w:charset w:val="00"/>
    <w:family w:val="swiss"/>
    <w:pitch w:val="variable"/>
    <w:sig w:usb0="E00002EF" w:usb1="4000205B" w:usb2="00000028" w:usb3="00000000" w:csb0="0000019F" w:csb1="00000000"/>
    <w:embedRegular r:id="rId11" w:fontKey="{632C0722-CB87-4B4F-9AB0-49BCAFFF79D2}"/>
  </w:font>
  <w:font w:name="Cambria">
    <w:panose1 w:val="02040503050406030204"/>
    <w:charset w:val="00"/>
    <w:family w:val="roman"/>
    <w:pitch w:val="variable"/>
    <w:sig w:usb0="E00006FF" w:usb1="420024FF" w:usb2="02000000" w:usb3="00000000" w:csb0="0000019F" w:csb1="00000000"/>
    <w:embedRegular r:id="rId12" w:fontKey="{6E79CBF3-6C5B-41D1-A9D1-6605B28DAF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237D" w14:textId="06B97B86" w:rsidR="00595056" w:rsidRDefault="006F5EE1">
    <w:pPr>
      <w:pBdr>
        <w:top w:val="nil"/>
        <w:left w:val="nil"/>
        <w:bottom w:val="nil"/>
        <w:right w:val="nil"/>
        <w:between w:val="nil"/>
      </w:pBdr>
      <w:tabs>
        <w:tab w:val="center" w:pos="4252"/>
        <w:tab w:val="right" w:pos="8504"/>
      </w:tabs>
      <w:spacing w:after="360"/>
      <w:ind w:left="3969"/>
      <w:jc w:val="center"/>
      <w:rPr>
        <w:rFonts w:ascii="Open Sans" w:eastAsia="Open Sans" w:hAnsi="Open Sans" w:cs="Open Sans"/>
        <w:color w:val="000000"/>
        <w:sz w:val="14"/>
        <w:szCs w:val="14"/>
      </w:rPr>
    </w:pPr>
    <w:r>
      <w:rPr>
        <w:rFonts w:ascii="Open Sans" w:eastAsia="Open Sans" w:hAnsi="Open Sans" w:cs="Open Sans"/>
        <w:noProof/>
        <w:color w:val="000000"/>
        <w:sz w:val="14"/>
        <w:szCs w:val="14"/>
      </w:rPr>
      <mc:AlternateContent>
        <mc:Choice Requires="wps">
          <w:drawing>
            <wp:anchor distT="0" distB="0" distL="0" distR="0" simplePos="0" relativeHeight="251658241" behindDoc="0" locked="0" layoutInCell="1" allowOverlap="1" wp14:anchorId="14C48120" wp14:editId="13C06010">
              <wp:simplePos x="635" y="635"/>
              <wp:positionH relativeFrom="page">
                <wp:align>left</wp:align>
              </wp:positionH>
              <wp:positionV relativeFrom="page">
                <wp:align>bottom</wp:align>
              </wp:positionV>
              <wp:extent cx="1009015" cy="345440"/>
              <wp:effectExtent l="0" t="0" r="635" b="0"/>
              <wp:wrapNone/>
              <wp:docPr id="1890002644"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9015" cy="345440"/>
                      </a:xfrm>
                      <a:prstGeom prst="rect">
                        <a:avLst/>
                      </a:prstGeom>
                      <a:noFill/>
                      <a:ln>
                        <a:noFill/>
                      </a:ln>
                    </wps:spPr>
                    <wps:txbx>
                      <w:txbxContent>
                        <w:p w14:paraId="07B87A5A" w14:textId="4B3A926E" w:rsidR="006F5EE1" w:rsidRPr="006F5EE1" w:rsidRDefault="006F5EE1" w:rsidP="006F5EE1">
                          <w:pPr>
                            <w:rPr>
                              <w:rFonts w:ascii="Aptos" w:eastAsia="Aptos" w:hAnsi="Aptos" w:cs="Aptos"/>
                              <w:noProof/>
                              <w:color w:val="000000"/>
                              <w:sz w:val="20"/>
                              <w:szCs w:val="20"/>
                            </w:rPr>
                          </w:pPr>
                          <w:r w:rsidRPr="006F5EE1">
                            <w:rPr>
                              <w:rFonts w:ascii="Aptos" w:eastAsia="Aptos" w:hAnsi="Aptos" w:cs="Aptos"/>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C48120" id="_x0000_t202" coordsize="21600,21600" o:spt="202" path="m,l,21600r21600,l21600,xe">
              <v:stroke joinstyle="miter"/>
              <v:path gradientshapeok="t" o:connecttype="rect"/>
            </v:shapetype>
            <v:shape id="Tekstvak 2" o:spid="_x0000_s1026" type="#_x0000_t202" alt="Intern gebruik" style="position:absolute;left:0;text-align:left;margin-left:0;margin-top:0;width:79.45pt;height:27.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" filled="f" stroked="f">
              <v:textbox style="mso-fit-shape-to-text:t" inset="20pt,0,0,15pt">
                <w:txbxContent>
                  <w:p w14:paraId="07B87A5A" w14:textId="4B3A926E" w:rsidR="006F5EE1" w:rsidRPr="006F5EE1" w:rsidRDefault="006F5EE1" w:rsidP="006F5EE1">
                    <w:pPr>
                      <w:rPr>
                        <w:rFonts w:ascii="Aptos" w:eastAsia="Aptos" w:hAnsi="Aptos" w:cs="Aptos"/>
                        <w:noProof/>
                        <w:color w:val="000000"/>
                        <w:sz w:val="20"/>
                        <w:szCs w:val="20"/>
                      </w:rPr>
                    </w:pPr>
                    <w:r w:rsidRPr="006F5EE1">
                      <w:rPr>
                        <w:rFonts w:ascii="Aptos" w:eastAsia="Aptos" w:hAnsi="Aptos" w:cs="Aptos"/>
                        <w:noProof/>
                        <w:color w:val="000000"/>
                        <w:sz w:val="20"/>
                        <w:szCs w:val="20"/>
                      </w:rPr>
                      <w:t>Intern gebruik</w:t>
                    </w:r>
                  </w:p>
                </w:txbxContent>
              </v:textbox>
              <w10:wrap anchorx="page" anchory="page"/>
            </v:shape>
          </w:pict>
        </mc:Fallback>
      </mc:AlternateContent>
    </w:r>
    <w:r w:rsidR="00B74354">
      <w:rPr>
        <w:rFonts w:ascii="Open Sans" w:eastAsia="Open Sans" w:hAnsi="Open Sans" w:cs="Open Sans"/>
        <w:color w:val="000000"/>
        <w:sz w:val="14"/>
        <w:szCs w:val="14"/>
      </w:rPr>
      <w:fldChar w:fldCharType="begin"/>
    </w:r>
    <w:r w:rsidR="00B74354">
      <w:rPr>
        <w:rFonts w:ascii="Open Sans" w:eastAsia="Open Sans" w:hAnsi="Open Sans" w:cs="Open Sans"/>
        <w:color w:val="000000"/>
        <w:sz w:val="14"/>
        <w:szCs w:val="14"/>
      </w:rPr>
      <w:instrText>PAGE</w:instrText>
    </w:r>
    <w:r w:rsidR="00B74354">
      <w:rPr>
        <w:rFonts w:ascii="Open Sans" w:eastAsia="Open Sans" w:hAnsi="Open Sans" w:cs="Open Sans"/>
        <w:color w:val="000000"/>
        <w:sz w:val="14"/>
        <w:szCs w:val="14"/>
      </w:rPr>
      <w:fldChar w:fldCharType="separate"/>
    </w:r>
    <w:r w:rsidR="00B74354">
      <w:rPr>
        <w:rFonts w:ascii="Open Sans" w:eastAsia="Open Sans" w:hAnsi="Open Sans" w:cs="Open Sans"/>
        <w:color w:val="000000"/>
        <w:sz w:val="14"/>
        <w:szCs w:val="14"/>
      </w:rPr>
      <w:fldChar w:fldCharType="end"/>
    </w:r>
  </w:p>
  <w:p w14:paraId="5E4E5A2F" w14:textId="77777777" w:rsidR="00595056" w:rsidRDefault="00595056">
    <w:pPr>
      <w:pBdr>
        <w:top w:val="nil"/>
        <w:left w:val="nil"/>
        <w:bottom w:val="nil"/>
        <w:right w:val="nil"/>
        <w:between w:val="nil"/>
      </w:pBdr>
      <w:tabs>
        <w:tab w:val="center" w:pos="4252"/>
        <w:tab w:val="right" w:pos="8504"/>
      </w:tabs>
      <w:spacing w:after="360"/>
      <w:ind w:left="3969"/>
      <w:rPr>
        <w:rFonts w:ascii="Open Sans" w:eastAsia="Open Sans" w:hAnsi="Open Sans" w:cs="Open Sans"/>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CC406" w14:textId="7B27D6B6" w:rsidR="00595056" w:rsidRDefault="006F5EE1">
    <w:pPr>
      <w:pBdr>
        <w:top w:val="nil"/>
        <w:left w:val="nil"/>
        <w:bottom w:val="nil"/>
        <w:right w:val="nil"/>
        <w:between w:val="nil"/>
      </w:pBdr>
      <w:tabs>
        <w:tab w:val="center" w:pos="4252"/>
        <w:tab w:val="right" w:pos="8504"/>
      </w:tabs>
      <w:spacing w:after="360"/>
      <w:ind w:left="3969"/>
      <w:rPr>
        <w:rFonts w:ascii="Open Sans" w:eastAsia="Open Sans" w:hAnsi="Open Sans" w:cs="Open Sans"/>
        <w:color w:val="000000"/>
        <w:sz w:val="14"/>
        <w:szCs w:val="14"/>
      </w:rPr>
    </w:pPr>
    <w:r>
      <w:rPr>
        <w:rFonts w:ascii="Open Sans" w:eastAsia="Open Sans" w:hAnsi="Open Sans" w:cs="Open Sans"/>
        <w:noProof/>
        <w:color w:val="000000"/>
        <w:sz w:val="14"/>
        <w:szCs w:val="14"/>
      </w:rPr>
      <mc:AlternateContent>
        <mc:Choice Requires="wps">
          <w:drawing>
            <wp:anchor distT="0" distB="0" distL="0" distR="0" simplePos="0" relativeHeight="251658240" behindDoc="0" locked="0" layoutInCell="1" allowOverlap="1" wp14:anchorId="42650179" wp14:editId="74CC1C11">
              <wp:simplePos x="635" y="635"/>
              <wp:positionH relativeFrom="page">
                <wp:align>left</wp:align>
              </wp:positionH>
              <wp:positionV relativeFrom="page">
                <wp:align>bottom</wp:align>
              </wp:positionV>
              <wp:extent cx="1009015" cy="345440"/>
              <wp:effectExtent l="0" t="0" r="635" b="0"/>
              <wp:wrapNone/>
              <wp:docPr id="750823385" name="Tekstvak 1"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9015" cy="345440"/>
                      </a:xfrm>
                      <a:prstGeom prst="rect">
                        <a:avLst/>
                      </a:prstGeom>
                      <a:noFill/>
                      <a:ln>
                        <a:noFill/>
                      </a:ln>
                    </wps:spPr>
                    <wps:txbx>
                      <w:txbxContent>
                        <w:p w14:paraId="660EE363" w14:textId="64362BD3" w:rsidR="006F5EE1" w:rsidRPr="006F5EE1" w:rsidRDefault="006F5EE1" w:rsidP="006F5EE1">
                          <w:pPr>
                            <w:rPr>
                              <w:rFonts w:ascii="Aptos" w:eastAsia="Aptos" w:hAnsi="Aptos" w:cs="Aptos"/>
                              <w:noProof/>
                              <w:color w:val="000000"/>
                              <w:sz w:val="20"/>
                              <w:szCs w:val="20"/>
                            </w:rPr>
                          </w:pPr>
                          <w:r w:rsidRPr="006F5EE1">
                            <w:rPr>
                              <w:rFonts w:ascii="Aptos" w:eastAsia="Aptos" w:hAnsi="Aptos" w:cs="Aptos"/>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650179" id="_x0000_t202" coordsize="21600,21600" o:spt="202" path="m,l,21600r21600,l21600,xe">
              <v:stroke joinstyle="miter"/>
              <v:path gradientshapeok="t" o:connecttype="rect"/>
            </v:shapetype>
            <v:shape id="Tekstvak 1" o:spid="_x0000_s1028" type="#_x0000_t202" alt="Intern gebruik" style="position:absolute;left:0;text-align:left;margin-left:0;margin-top:0;width:79.4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" filled="f" stroked="f">
              <v:textbox style="mso-fit-shape-to-text:t" inset="20pt,0,0,15pt">
                <w:txbxContent>
                  <w:p w14:paraId="660EE363" w14:textId="64362BD3" w:rsidR="006F5EE1" w:rsidRPr="006F5EE1" w:rsidRDefault="006F5EE1" w:rsidP="006F5EE1">
                    <w:pPr>
                      <w:rPr>
                        <w:rFonts w:ascii="Aptos" w:eastAsia="Aptos" w:hAnsi="Aptos" w:cs="Aptos"/>
                        <w:noProof/>
                        <w:color w:val="000000"/>
                        <w:sz w:val="20"/>
                        <w:szCs w:val="20"/>
                      </w:rPr>
                    </w:pPr>
                    <w:r w:rsidRPr="006F5EE1">
                      <w:rPr>
                        <w:rFonts w:ascii="Aptos" w:eastAsia="Aptos" w:hAnsi="Aptos" w:cs="Aptos"/>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6254C" w14:textId="77777777" w:rsidR="00CD5955" w:rsidRDefault="00CD5955">
      <w:r>
        <w:separator/>
      </w:r>
    </w:p>
  </w:footnote>
  <w:footnote w:type="continuationSeparator" w:id="0">
    <w:p w14:paraId="3999976C" w14:textId="77777777" w:rsidR="00CD5955" w:rsidRDefault="00CD5955">
      <w:r>
        <w:continuationSeparator/>
      </w:r>
    </w:p>
  </w:footnote>
  <w:footnote w:type="continuationNotice" w:id="1">
    <w:p w14:paraId="0B01AA2C" w14:textId="77777777" w:rsidR="00CD5955" w:rsidRDefault="00CD5955"/>
  </w:footnote>
  <w:footnote w:id="2">
    <w:p w14:paraId="6D9E0E75" w14:textId="44B51796" w:rsidR="00763FE8" w:rsidRPr="005905DE" w:rsidRDefault="00763FE8">
      <w:pPr>
        <w:pStyle w:val="Voetnoottekst"/>
        <w:rPr>
          <w:rFonts w:ascii="Calibri" w:hAnsi="Calibri" w:cs="Calibri"/>
        </w:rPr>
      </w:pPr>
      <w:r w:rsidRPr="005905DE">
        <w:rPr>
          <w:rStyle w:val="Voetnootmarkering"/>
          <w:rFonts w:ascii="Calibri" w:hAnsi="Calibri" w:cs="Calibri"/>
        </w:rPr>
        <w:footnoteRef/>
      </w:r>
      <w:r w:rsidRPr="005905DE">
        <w:rPr>
          <w:rFonts w:ascii="Calibri" w:hAnsi="Calibri" w:cs="Calibri"/>
        </w:rPr>
        <w:t xml:space="preserve"> Online beschikbaar op: </w:t>
      </w:r>
      <w:hyperlink r:id="rId1" w:history="1">
        <w:r w:rsidRPr="005905DE">
          <w:rPr>
            <w:rStyle w:val="Hyperlink"/>
            <w:rFonts w:ascii="Calibri" w:hAnsi="Calibri" w:cs="Calibri"/>
          </w:rPr>
          <w:t>https://ec.europa.eu/commission/presscorner/detail/en/ip_25_2923</w:t>
        </w:r>
      </w:hyperlink>
      <w:r w:rsidRPr="005905DE">
        <w:rPr>
          <w:rFonts w:ascii="Calibri" w:hAnsi="Calibri" w:cs="Calibri"/>
        </w:rPr>
        <w:t xml:space="preserve"> </w:t>
      </w:r>
    </w:p>
  </w:footnote>
  <w:footnote w:id="3">
    <w:p w14:paraId="5CD5490E" w14:textId="24D55F0D" w:rsidR="00595056" w:rsidRPr="005905DE" w:rsidRDefault="00B74354">
      <w:pPr>
        <w:rPr>
          <w:rFonts w:ascii="Calibri" w:eastAsia="Verdana" w:hAnsi="Calibri" w:cs="Calibri"/>
          <w:sz w:val="20"/>
          <w:szCs w:val="20"/>
        </w:rPr>
      </w:pPr>
      <w:r w:rsidRPr="005905DE">
        <w:rPr>
          <w:rFonts w:ascii="Calibri" w:hAnsi="Calibri" w:cs="Calibri"/>
          <w:sz w:val="20"/>
          <w:szCs w:val="20"/>
          <w:vertAlign w:val="superscript"/>
        </w:rPr>
        <w:footnoteRef/>
      </w:r>
      <w:r w:rsidRPr="005905DE">
        <w:rPr>
          <w:rFonts w:ascii="Calibri" w:eastAsia="Verdana" w:hAnsi="Calibri" w:cs="Calibri"/>
          <w:sz w:val="20"/>
          <w:szCs w:val="20"/>
        </w:rPr>
        <w:t xml:space="preserve"> Online beschikbaar op: </w:t>
      </w:r>
      <w:hyperlink r:id="rId2" w:history="1">
        <w:r w:rsidR="00A32677" w:rsidRPr="005905DE">
          <w:rPr>
            <w:rStyle w:val="Hyperlink"/>
            <w:rFonts w:ascii="Calibri" w:eastAsia="Verdana" w:hAnsi="Calibri" w:cs="Calibri"/>
            <w:sz w:val="20"/>
            <w:szCs w:val="20"/>
          </w:rPr>
          <w:t>https://www.consilium.europa.eu/media/49194/eu-drugs-strategy-booklet.pdf</w:t>
        </w:r>
      </w:hyperlink>
      <w:r w:rsidR="00A32677" w:rsidRPr="005905DE">
        <w:rPr>
          <w:rFonts w:ascii="Calibri" w:eastAsia="Verdana" w:hAnsi="Calibri" w:cs="Calibri"/>
          <w:color w:val="1155CC"/>
          <w:sz w:val="20"/>
          <w:szCs w:val="20"/>
          <w:u w:val="single"/>
        </w:rPr>
        <w:t xml:space="preserve"> </w:t>
      </w:r>
      <w:r w:rsidRPr="005905DE">
        <w:rPr>
          <w:rFonts w:ascii="Calibri" w:eastAsia="Verdana" w:hAnsi="Calibri" w:cs="Calibri"/>
          <w:sz w:val="20"/>
          <w:szCs w:val="20"/>
        </w:rPr>
        <w:t xml:space="preserve"> </w:t>
      </w:r>
    </w:p>
  </w:footnote>
  <w:footnote w:id="4">
    <w:p w14:paraId="7D6088DB" w14:textId="6BA241C7" w:rsidR="00595056" w:rsidRPr="005905DE" w:rsidRDefault="00B74354">
      <w:pPr>
        <w:rPr>
          <w:rFonts w:ascii="Calibri" w:eastAsia="Verdana" w:hAnsi="Calibri" w:cs="Calibri"/>
          <w:sz w:val="20"/>
          <w:szCs w:val="20"/>
        </w:rPr>
      </w:pPr>
      <w:r w:rsidRPr="005905DE">
        <w:rPr>
          <w:rFonts w:ascii="Calibri" w:hAnsi="Calibri" w:cs="Calibri"/>
          <w:sz w:val="20"/>
          <w:szCs w:val="20"/>
          <w:vertAlign w:val="superscript"/>
        </w:rPr>
        <w:footnoteRef/>
      </w:r>
      <w:r w:rsidRPr="005905DE">
        <w:rPr>
          <w:rFonts w:ascii="Calibri" w:eastAsia="Verdana" w:hAnsi="Calibri" w:cs="Calibri"/>
          <w:sz w:val="20"/>
          <w:szCs w:val="20"/>
        </w:rPr>
        <w:t xml:space="preserve"> Online beschikbaar op: </w:t>
      </w:r>
      <w:hyperlink r:id="rId3" w:history="1">
        <w:r w:rsidR="00A32677" w:rsidRPr="005905DE">
          <w:rPr>
            <w:rStyle w:val="Hyperlink"/>
            <w:rFonts w:ascii="Calibri" w:eastAsia="Verdana" w:hAnsi="Calibri" w:cs="Calibri"/>
            <w:sz w:val="20"/>
            <w:szCs w:val="20"/>
          </w:rPr>
          <w:t>https://ec.europa.eu/transparency/documents-register/detail?ref=SWD(2025)188&amp;lang=en</w:t>
        </w:r>
      </w:hyperlink>
      <w:r w:rsidR="00A32677" w:rsidRPr="005905DE">
        <w:rPr>
          <w:rFonts w:ascii="Calibri" w:eastAsia="Verdana" w:hAnsi="Calibri" w:cs="Calibri"/>
          <w:sz w:val="20"/>
          <w:szCs w:val="20"/>
        </w:rPr>
        <w:t xml:space="preserve"> </w:t>
      </w:r>
    </w:p>
  </w:footnote>
  <w:footnote w:id="5">
    <w:p w14:paraId="7B6F338A" w14:textId="3FEE26C7" w:rsidR="00595056" w:rsidRPr="005905DE" w:rsidRDefault="00B74354">
      <w:pPr>
        <w:rPr>
          <w:rFonts w:ascii="Calibri" w:hAnsi="Calibri" w:cs="Calibri"/>
          <w:sz w:val="20"/>
          <w:szCs w:val="20"/>
        </w:rPr>
      </w:pPr>
      <w:r w:rsidRPr="005905DE">
        <w:rPr>
          <w:rFonts w:ascii="Calibri" w:hAnsi="Calibri" w:cs="Calibri"/>
          <w:sz w:val="20"/>
          <w:szCs w:val="20"/>
          <w:vertAlign w:val="superscript"/>
        </w:rPr>
        <w:footnoteRef/>
      </w:r>
      <w:r w:rsidRPr="005905DE">
        <w:rPr>
          <w:rFonts w:ascii="Calibri" w:hAnsi="Calibri" w:cs="Calibri"/>
          <w:sz w:val="20"/>
          <w:szCs w:val="20"/>
        </w:rPr>
        <w:t xml:space="preserve"> </w:t>
      </w:r>
      <w:r w:rsidR="007427C5" w:rsidRPr="005905DE">
        <w:rPr>
          <w:rFonts w:ascii="Calibri" w:hAnsi="Calibri" w:cs="Calibri"/>
          <w:sz w:val="20"/>
          <w:szCs w:val="20"/>
        </w:rPr>
        <w:t>O</w:t>
      </w:r>
      <w:r w:rsidR="007427C5" w:rsidRPr="005905DE">
        <w:rPr>
          <w:rFonts w:ascii="Calibri" w:eastAsia="Verdana" w:hAnsi="Calibri" w:cs="Calibri"/>
          <w:sz w:val="20"/>
          <w:szCs w:val="20"/>
        </w:rPr>
        <w:t xml:space="preserve">nline beschikbaar op: </w:t>
      </w:r>
      <w:hyperlink r:id="rId4" w:history="1">
        <w:r w:rsidR="00A32677" w:rsidRPr="005905DE">
          <w:rPr>
            <w:rStyle w:val="Hyperlink"/>
            <w:rFonts w:ascii="Calibri" w:hAnsi="Calibri" w:cs="Calibri"/>
            <w:sz w:val="20"/>
            <w:szCs w:val="20"/>
          </w:rPr>
          <w:t>https://eur-lex.europa.eu/legal-content/NL/TXT/HTML/?uri=CELEX:52025DC0148</w:t>
        </w:r>
      </w:hyperlink>
      <w:r w:rsidR="00A32677" w:rsidRPr="005905DE">
        <w:rPr>
          <w:rFonts w:ascii="Calibri" w:hAnsi="Calibri" w:cs="Calibri"/>
          <w:color w:val="1155CC"/>
          <w:sz w:val="20"/>
          <w:szCs w:val="20"/>
          <w:u w:val="single"/>
        </w:rPr>
        <w:t xml:space="preserve"> </w:t>
      </w:r>
      <w:r w:rsidR="009929FA" w:rsidRPr="005905DE">
        <w:rPr>
          <w:rFonts w:ascii="Calibri" w:hAnsi="Calibri" w:cs="Calibri"/>
          <w:sz w:val="20"/>
          <w:szCs w:val="20"/>
        </w:rPr>
        <w:t xml:space="preserve"> </w:t>
      </w:r>
    </w:p>
  </w:footnote>
  <w:footnote w:id="6">
    <w:p w14:paraId="771A610B" w14:textId="39E33C30" w:rsidR="007427C5" w:rsidRPr="005905DE" w:rsidRDefault="007427C5">
      <w:pPr>
        <w:pStyle w:val="Voetnoottekst"/>
        <w:rPr>
          <w:rFonts w:ascii="Calibri" w:hAnsi="Calibri" w:cs="Calibri"/>
        </w:rPr>
      </w:pPr>
      <w:r w:rsidRPr="005905DE">
        <w:rPr>
          <w:rStyle w:val="Voetnootmarkering"/>
          <w:rFonts w:ascii="Calibri" w:hAnsi="Calibri" w:cs="Calibri"/>
        </w:rPr>
        <w:footnoteRef/>
      </w:r>
      <w:r w:rsidRPr="005905DE">
        <w:rPr>
          <w:rFonts w:ascii="Calibri" w:hAnsi="Calibri" w:cs="Calibri"/>
        </w:rPr>
        <w:t xml:space="preserve"> Online beschikbaar op: </w:t>
      </w:r>
      <w:hyperlink r:id="rId5" w:history="1">
        <w:r w:rsidRPr="005905DE">
          <w:rPr>
            <w:rStyle w:val="Hyperlink"/>
            <w:rFonts w:ascii="Calibri" w:hAnsi="Calibri" w:cs="Calibri"/>
          </w:rPr>
          <w:t>https://eur-lex.europa.eu/legal-content/NL/TXT/HTML/?uri=CELEX:52025JC0130</w:t>
        </w:r>
      </w:hyperlink>
      <w:r w:rsidR="00A32677" w:rsidRPr="005905DE">
        <w:rPr>
          <w:rFonts w:ascii="Calibri" w:hAnsi="Calibri" w:cs="Calibri"/>
        </w:rPr>
        <w:t xml:space="preserve"> </w:t>
      </w:r>
    </w:p>
  </w:footnote>
  <w:footnote w:id="7">
    <w:p w14:paraId="4AB52BBC" w14:textId="02460F7B" w:rsidR="007427C5" w:rsidRPr="005905DE" w:rsidRDefault="007427C5">
      <w:pPr>
        <w:pStyle w:val="Voetnoottekst"/>
        <w:rPr>
          <w:rFonts w:ascii="Calibri" w:hAnsi="Calibri" w:cs="Calibri"/>
        </w:rPr>
      </w:pPr>
      <w:r w:rsidRPr="005905DE">
        <w:rPr>
          <w:rStyle w:val="Voetnootmarkering"/>
          <w:rFonts w:ascii="Calibri" w:hAnsi="Calibri" w:cs="Calibri"/>
        </w:rPr>
        <w:footnoteRef/>
      </w:r>
      <w:r w:rsidRPr="005905DE">
        <w:rPr>
          <w:rFonts w:ascii="Calibri" w:hAnsi="Calibri" w:cs="Calibri"/>
        </w:rPr>
        <w:t xml:space="preserve"> Online beschikbaar op: </w:t>
      </w:r>
      <w:hyperlink r:id="rId6" w:history="1">
        <w:r w:rsidRPr="005905DE">
          <w:rPr>
            <w:rStyle w:val="Hyperlink"/>
            <w:rFonts w:ascii="Calibri" w:hAnsi="Calibri" w:cs="Calibri"/>
          </w:rPr>
          <w:t>https://eur-lex.europa.eu/legal-content/NL/TXT/HTML/?uri=CELEX:52024DC0206</w:t>
        </w:r>
      </w:hyperlink>
      <w:r w:rsidRPr="005905DE">
        <w:rPr>
          <w:rFonts w:ascii="Calibri" w:hAnsi="Calibri" w:cs="Calibri"/>
        </w:rPr>
        <w:t xml:space="preserve"> </w:t>
      </w:r>
    </w:p>
  </w:footnote>
  <w:footnote w:id="8">
    <w:p w14:paraId="4A9E4396" w14:textId="164464C6" w:rsidR="007427C5" w:rsidRPr="005905DE" w:rsidRDefault="007427C5">
      <w:pPr>
        <w:pStyle w:val="Voetnoottekst"/>
        <w:rPr>
          <w:rFonts w:ascii="Calibri" w:hAnsi="Calibri" w:cs="Calibri"/>
        </w:rPr>
      </w:pPr>
      <w:r w:rsidRPr="005905DE">
        <w:rPr>
          <w:rStyle w:val="Voetnootmarkering"/>
          <w:rFonts w:ascii="Calibri" w:hAnsi="Calibri" w:cs="Calibri"/>
        </w:rPr>
        <w:footnoteRef/>
      </w:r>
      <w:r w:rsidRPr="005905DE">
        <w:rPr>
          <w:rFonts w:ascii="Calibri" w:hAnsi="Calibri" w:cs="Calibri"/>
        </w:rPr>
        <w:t xml:space="preserve"> </w:t>
      </w:r>
      <w:r w:rsidR="00556410" w:rsidRPr="005905DE">
        <w:rPr>
          <w:rFonts w:ascii="Calibri" w:hAnsi="Calibri" w:cs="Calibri"/>
        </w:rPr>
        <w:t xml:space="preserve">Verordening (EU) 2022/2371 Van het Europees Parlement en de Raad van 23 november 2022 inzake ernstige grensoverschrijdende gezondheidsbedreigingen en tot intrekking van Besluit nr. 1082/2013/EU, </w:t>
      </w:r>
      <w:r w:rsidR="0016168B" w:rsidRPr="005905DE">
        <w:rPr>
          <w:rFonts w:ascii="Calibri" w:hAnsi="Calibri" w:cs="Calibri"/>
        </w:rPr>
        <w:t xml:space="preserve">PbEU 2022, L 314. </w:t>
      </w:r>
    </w:p>
  </w:footnote>
  <w:footnote w:id="9">
    <w:p w14:paraId="545E226F" w14:textId="63EC2151" w:rsidR="002F445D" w:rsidRPr="005905DE" w:rsidRDefault="002F445D">
      <w:pPr>
        <w:pStyle w:val="Voetnoottekst"/>
        <w:rPr>
          <w:rFonts w:ascii="Calibri" w:hAnsi="Calibri" w:cs="Calibri"/>
          <w:lang w:val="nl-NL"/>
        </w:rPr>
      </w:pPr>
      <w:r w:rsidRPr="005905DE">
        <w:rPr>
          <w:rStyle w:val="Voetnootmarkering"/>
          <w:rFonts w:ascii="Calibri" w:hAnsi="Calibri" w:cs="Calibri"/>
        </w:rPr>
        <w:footnoteRef/>
      </w:r>
      <w:r w:rsidRPr="005905DE">
        <w:rPr>
          <w:rFonts w:ascii="Calibri" w:hAnsi="Calibri" w:cs="Calibri"/>
          <w:lang w:val="nl-NL"/>
        </w:rPr>
        <w:t xml:space="preserve"> Online beschikbaar op: </w:t>
      </w:r>
      <w:hyperlink r:id="rId7" w:history="1">
        <w:r w:rsidRPr="005905DE">
          <w:rPr>
            <w:rStyle w:val="Hyperlink"/>
            <w:rFonts w:ascii="Calibri" w:hAnsi="Calibri" w:cs="Calibri"/>
            <w:lang w:val="nl-NL"/>
          </w:rPr>
          <w:t>https://health.ec.europa.eu/non-communicable-diseases/healthier-together-eu-non-communicable-diseases-initiative_en</w:t>
        </w:r>
      </w:hyperlink>
      <w:r w:rsidRPr="005905DE">
        <w:rPr>
          <w:rFonts w:ascii="Calibri" w:hAnsi="Calibri" w:cs="Calibri"/>
          <w:lang w:val="nl-NL"/>
        </w:rPr>
        <w:t xml:space="preserve"> </w:t>
      </w:r>
    </w:p>
  </w:footnote>
  <w:footnote w:id="10">
    <w:p w14:paraId="72A0A8AF" w14:textId="40BD5156" w:rsidR="002F445D" w:rsidRPr="005905DE" w:rsidRDefault="002F445D">
      <w:pPr>
        <w:pStyle w:val="Voetnoottekst"/>
        <w:rPr>
          <w:rFonts w:ascii="Calibri" w:hAnsi="Calibri" w:cs="Calibri"/>
          <w:lang w:val="nl-NL"/>
        </w:rPr>
      </w:pPr>
      <w:r w:rsidRPr="005905DE">
        <w:rPr>
          <w:rStyle w:val="Voetnootmarkering"/>
          <w:rFonts w:ascii="Calibri" w:hAnsi="Calibri" w:cs="Calibri"/>
        </w:rPr>
        <w:footnoteRef/>
      </w:r>
      <w:r w:rsidRPr="005905DE">
        <w:rPr>
          <w:rFonts w:ascii="Calibri" w:hAnsi="Calibri" w:cs="Calibri"/>
          <w:lang w:val="nl-NL"/>
        </w:rPr>
        <w:t xml:space="preserve"> Online beschikbaar op: </w:t>
      </w:r>
      <w:hyperlink r:id="rId8" w:history="1">
        <w:r w:rsidRPr="005905DE">
          <w:rPr>
            <w:rStyle w:val="Hyperlink"/>
            <w:rFonts w:ascii="Calibri" w:hAnsi="Calibri" w:cs="Calibri"/>
            <w:lang w:val="nl-NL"/>
          </w:rPr>
          <w:t>https://health.ec.europa.eu/non-communicable-diseases/mental-health_en</w:t>
        </w:r>
      </w:hyperlink>
      <w:r w:rsidRPr="005905DE">
        <w:rPr>
          <w:rFonts w:ascii="Calibri" w:hAnsi="Calibri" w:cs="Calibri"/>
          <w:lang w:val="nl-NL"/>
        </w:rPr>
        <w:t xml:space="preserve"> </w:t>
      </w:r>
    </w:p>
  </w:footnote>
  <w:footnote w:id="11">
    <w:p w14:paraId="74192A3E" w14:textId="7483B2F8" w:rsidR="00595056" w:rsidRPr="005905DE" w:rsidRDefault="00B74354">
      <w:pPr>
        <w:rPr>
          <w:rFonts w:ascii="Calibri" w:eastAsia="Verdana" w:hAnsi="Calibri" w:cs="Calibri"/>
          <w:sz w:val="20"/>
          <w:szCs w:val="20"/>
        </w:rPr>
      </w:pPr>
      <w:r w:rsidRPr="005905DE">
        <w:rPr>
          <w:rFonts w:ascii="Calibri" w:hAnsi="Calibri" w:cs="Calibri"/>
          <w:sz w:val="20"/>
          <w:szCs w:val="20"/>
          <w:vertAlign w:val="superscript"/>
        </w:rPr>
        <w:footnoteRef/>
      </w:r>
      <w:r w:rsidRPr="005905DE">
        <w:rPr>
          <w:rFonts w:ascii="Calibri" w:eastAsia="Verdana" w:hAnsi="Calibri" w:cs="Calibri"/>
          <w:sz w:val="20"/>
          <w:szCs w:val="20"/>
        </w:rPr>
        <w:t xml:space="preserve"> Online beschikbaar op: </w:t>
      </w:r>
      <w:hyperlink r:id="rId9" w:history="1">
        <w:r w:rsidR="00A32677" w:rsidRPr="005905DE">
          <w:rPr>
            <w:rStyle w:val="Hyperlink"/>
            <w:rFonts w:ascii="Calibri" w:eastAsia="Verdana" w:hAnsi="Calibri" w:cs="Calibri"/>
            <w:sz w:val="20"/>
            <w:szCs w:val="20"/>
          </w:rPr>
          <w:t>https://eur-lex.europa.eu/legal-content/EN/TXT/PDF/?uri=CELEX:52025DC0744</w:t>
        </w:r>
      </w:hyperlink>
      <w:r w:rsidR="00A32677" w:rsidRPr="005905DE">
        <w:rPr>
          <w:rFonts w:ascii="Calibri" w:eastAsia="Verdana" w:hAnsi="Calibri" w:cs="Calibri"/>
          <w:color w:val="1155CC"/>
          <w:sz w:val="20"/>
          <w:szCs w:val="20"/>
          <w:u w:val="single"/>
        </w:rPr>
        <w:t xml:space="preserve"> </w:t>
      </w:r>
    </w:p>
  </w:footnote>
  <w:footnote w:id="12">
    <w:p w14:paraId="3B148766" w14:textId="1219980E" w:rsidR="002641B0" w:rsidRPr="005905DE" w:rsidRDefault="002641B0" w:rsidP="002641B0">
      <w:pPr>
        <w:rPr>
          <w:rFonts w:ascii="Calibri" w:hAnsi="Calibri" w:cs="Calibri"/>
          <w:sz w:val="20"/>
          <w:szCs w:val="20"/>
        </w:rPr>
      </w:pPr>
      <w:r w:rsidRPr="005905DE">
        <w:rPr>
          <w:rFonts w:ascii="Calibri" w:hAnsi="Calibri" w:cs="Calibri"/>
          <w:sz w:val="20"/>
          <w:szCs w:val="20"/>
          <w:vertAlign w:val="superscript"/>
        </w:rPr>
        <w:footnoteRef/>
      </w:r>
      <w:r w:rsidRPr="005905DE">
        <w:rPr>
          <w:rFonts w:ascii="Calibri" w:hAnsi="Calibri" w:cs="Calibri"/>
          <w:sz w:val="20"/>
          <w:szCs w:val="20"/>
        </w:rPr>
        <w:t xml:space="preserve"> Zie voor een uitgebreide uiteenzetting van het beleid de Kamerbrief Drugsbeleid van 22 mei 2025, waarin VWS en JenV de Kamer informeerden over hun gezamenlijke opdracht en de verantwoordelijkheidsverdeling in het drugsbeleid: </w:t>
      </w:r>
      <w:hyperlink r:id="rId10" w:history="1">
        <w:r w:rsidR="00A32677" w:rsidRPr="005905DE">
          <w:rPr>
            <w:rStyle w:val="Hyperlink"/>
            <w:rFonts w:ascii="Calibri" w:hAnsi="Calibri" w:cs="Calibri"/>
            <w:sz w:val="20"/>
            <w:szCs w:val="20"/>
          </w:rPr>
          <w:t>https://www.rijksoverheid.nl/documenten/kamerstukken/2025/05/22/kamerbrief-over-inzake-het-drugsbeleid</w:t>
        </w:r>
      </w:hyperlink>
      <w:r w:rsidR="00A32677" w:rsidRPr="005905DE">
        <w:rPr>
          <w:rFonts w:ascii="Calibri" w:hAnsi="Calibri" w:cs="Calibri"/>
          <w:color w:val="1155CC"/>
          <w:sz w:val="20"/>
          <w:szCs w:val="20"/>
          <w:u w:val="single"/>
        </w:rPr>
        <w:t xml:space="preserve"> </w:t>
      </w:r>
    </w:p>
  </w:footnote>
  <w:footnote w:id="13">
    <w:p w14:paraId="369FC880" w14:textId="66515508" w:rsidR="00763FE8" w:rsidRPr="005905DE" w:rsidRDefault="00763FE8">
      <w:pPr>
        <w:pStyle w:val="Voetnoottekst"/>
        <w:rPr>
          <w:rFonts w:ascii="Calibri" w:hAnsi="Calibri" w:cs="Calibri"/>
          <w:lang w:val="nl-NL"/>
        </w:rPr>
      </w:pPr>
      <w:r w:rsidRPr="005905DE">
        <w:rPr>
          <w:rStyle w:val="Voetnootmarkering"/>
          <w:rFonts w:ascii="Calibri" w:hAnsi="Calibri" w:cs="Calibri"/>
        </w:rPr>
        <w:footnoteRef/>
      </w:r>
      <w:r w:rsidRPr="005905DE">
        <w:rPr>
          <w:rFonts w:ascii="Calibri" w:hAnsi="Calibri" w:cs="Calibri"/>
          <w:lang w:val="nl-NL"/>
        </w:rPr>
        <w:t xml:space="preserve"> </w:t>
      </w:r>
      <w:hyperlink r:id="rId11" w:history="1">
        <w:r w:rsidR="00BA7870" w:rsidRPr="005905DE">
          <w:rPr>
            <w:rStyle w:val="Hyperlink"/>
            <w:rFonts w:ascii="Calibri" w:hAnsi="Calibri" w:cs="Calibri"/>
            <w:color w:val="000000" w:themeColor="text1"/>
            <w:u w:val="none"/>
            <w:lang w:val="nl-NL"/>
          </w:rPr>
          <w:t>Zie</w:t>
        </w:r>
      </w:hyperlink>
      <w:r w:rsidR="00BA7870" w:rsidRPr="005905DE">
        <w:rPr>
          <w:rFonts w:ascii="Calibri" w:hAnsi="Calibri" w:cs="Calibri"/>
          <w:color w:val="000000" w:themeColor="text1"/>
          <w:lang w:val="nl-NL"/>
        </w:rPr>
        <w:t xml:space="preserve"> </w:t>
      </w:r>
      <w:r w:rsidR="00BA7870" w:rsidRPr="005905DE">
        <w:rPr>
          <w:rFonts w:ascii="Calibri" w:hAnsi="Calibri" w:cs="Calibri"/>
          <w:lang w:val="nl-NL"/>
        </w:rPr>
        <w:t>BN</w:t>
      </w:r>
      <w:r w:rsidR="008808A8" w:rsidRPr="005905DE">
        <w:rPr>
          <w:rFonts w:ascii="Calibri" w:hAnsi="Calibri" w:cs="Calibri"/>
          <w:lang w:val="nl-NL"/>
        </w:rPr>
        <w:t>C</w:t>
      </w:r>
      <w:r w:rsidR="00BA7870" w:rsidRPr="005905DE">
        <w:rPr>
          <w:rFonts w:ascii="Calibri" w:hAnsi="Calibri" w:cs="Calibri"/>
          <w:lang w:val="nl-NL"/>
        </w:rPr>
        <w:t>-fiche Actieplan tegen drugshandel</w:t>
      </w:r>
      <w:r w:rsidRPr="005905DE">
        <w:rPr>
          <w:rFonts w:ascii="Calibri" w:hAnsi="Calibri" w:cs="Calibri"/>
          <w:lang w:val="nl-NL"/>
        </w:rPr>
        <w:t xml:space="preserve"> </w:t>
      </w:r>
    </w:p>
  </w:footnote>
  <w:footnote w:id="14">
    <w:p w14:paraId="5CD36870" w14:textId="77777777" w:rsidR="0050769E" w:rsidRPr="005905DE" w:rsidRDefault="0050769E" w:rsidP="0050769E">
      <w:pPr>
        <w:rPr>
          <w:rFonts w:ascii="Calibri" w:hAnsi="Calibri" w:cs="Calibri"/>
          <w:sz w:val="20"/>
          <w:szCs w:val="20"/>
          <w:lang w:val="nl-NL"/>
        </w:rPr>
      </w:pPr>
      <w:r w:rsidRPr="005905DE">
        <w:rPr>
          <w:rFonts w:ascii="Calibri" w:hAnsi="Calibri" w:cs="Calibri"/>
          <w:sz w:val="20"/>
          <w:szCs w:val="20"/>
          <w:vertAlign w:val="superscript"/>
        </w:rPr>
        <w:footnoteRef/>
      </w:r>
      <w:r w:rsidRPr="005905DE">
        <w:rPr>
          <w:rFonts w:ascii="Calibri" w:hAnsi="Calibri" w:cs="Calibri"/>
          <w:sz w:val="20"/>
          <w:szCs w:val="20"/>
          <w:lang w:val="nl-NL"/>
        </w:rPr>
        <w:t xml:space="preserve"> Zoals de verhouding tussen deze Strategie het EU-stappenplan voor de bestrijding van drugshandel en georganiseerde criminaliteit (Engels:“Roadmap to fight Drug Trafficking and Organised Crime) online beschikbaar op: </w:t>
      </w:r>
      <w:hyperlink r:id="rId12" w:history="1">
        <w:r w:rsidRPr="005905DE">
          <w:rPr>
            <w:rStyle w:val="Hyperlink"/>
            <w:rFonts w:ascii="Calibri" w:hAnsi="Calibri" w:cs="Calibri"/>
            <w:sz w:val="20"/>
            <w:szCs w:val="20"/>
            <w:lang w:val="nl-NL"/>
          </w:rPr>
          <w:t>https://eur-lex.europa.eu/legal-content/NL/TXT/HTML/?uri=CELEX:52023DC0641</w:t>
        </w:r>
      </w:hyperlink>
      <w:r w:rsidRPr="005905DE">
        <w:rPr>
          <w:rFonts w:ascii="Calibri" w:hAnsi="Calibri" w:cs="Calibri"/>
          <w:sz w:val="20"/>
          <w:szCs w:val="20"/>
          <w:lang w:val="nl-NL"/>
        </w:rPr>
        <w:t xml:space="preserve"> en het EU Action Plan against drug trafficking COM/2025/744, online beschikbaar op </w:t>
      </w:r>
      <w:hyperlink r:id="rId13" w:history="1">
        <w:r w:rsidRPr="005905DE">
          <w:rPr>
            <w:rStyle w:val="Hyperlink"/>
            <w:rFonts w:ascii="Calibri" w:hAnsi="Calibri" w:cs="Calibri"/>
            <w:sz w:val="20"/>
            <w:szCs w:val="20"/>
            <w:lang w:val="nl-NL"/>
          </w:rPr>
          <w:t>https://eur-lex.europa.eu/legal-content/NL/TXT/?uri=CELEX:52025DC0744</w:t>
        </w:r>
      </w:hyperlink>
      <w:r w:rsidRPr="005905DE">
        <w:rPr>
          <w:rFonts w:ascii="Calibri" w:hAnsi="Calibri" w:cs="Calibri"/>
          <w:sz w:val="20"/>
          <w:szCs w:val="20"/>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18BFF" w14:textId="77777777" w:rsidR="00595056" w:rsidRDefault="00595056">
    <w:pPr>
      <w:pBdr>
        <w:top w:val="nil"/>
        <w:left w:val="nil"/>
        <w:bottom w:val="nil"/>
        <w:right w:val="nil"/>
        <w:between w:val="nil"/>
      </w:pBdr>
      <w:spacing w:before="60"/>
      <w:rPr>
        <w:rFonts w:ascii="Open Sans" w:eastAsia="Open Sans" w:hAnsi="Open Sans" w:cs="Open Sans"/>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719DC" w14:textId="77777777" w:rsidR="00595056" w:rsidRDefault="00595056">
    <w:pPr>
      <w:pBdr>
        <w:top w:val="nil"/>
        <w:left w:val="nil"/>
        <w:bottom w:val="nil"/>
        <w:right w:val="nil"/>
        <w:between w:val="nil"/>
      </w:pBdr>
      <w:spacing w:before="60"/>
      <w:rPr>
        <w:rFonts w:ascii="Open Sans" w:eastAsia="Open Sans" w:hAnsi="Open Sans" w:cs="Open Sans"/>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0CD8"/>
    <w:multiLevelType w:val="multilevel"/>
    <w:tmpl w:val="ED7C4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948A3"/>
    <w:multiLevelType w:val="multilevel"/>
    <w:tmpl w:val="C9BCC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527CA0"/>
    <w:multiLevelType w:val="multilevel"/>
    <w:tmpl w:val="A3FC7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169C4"/>
    <w:multiLevelType w:val="multilevel"/>
    <w:tmpl w:val="A9640E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0E57AC"/>
    <w:multiLevelType w:val="multilevel"/>
    <w:tmpl w:val="5434D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6A353A"/>
    <w:multiLevelType w:val="multilevel"/>
    <w:tmpl w:val="5DECA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4F448A"/>
    <w:multiLevelType w:val="multilevel"/>
    <w:tmpl w:val="3D229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23732D"/>
    <w:multiLevelType w:val="multilevel"/>
    <w:tmpl w:val="C9068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7D7FCF"/>
    <w:multiLevelType w:val="multilevel"/>
    <w:tmpl w:val="DC52F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FC25E9"/>
    <w:multiLevelType w:val="multilevel"/>
    <w:tmpl w:val="44D4C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CC445D"/>
    <w:multiLevelType w:val="multilevel"/>
    <w:tmpl w:val="B4523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E879C8"/>
    <w:multiLevelType w:val="multilevel"/>
    <w:tmpl w:val="6C50B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B0193F"/>
    <w:multiLevelType w:val="multilevel"/>
    <w:tmpl w:val="8A20580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42D45F6"/>
    <w:multiLevelType w:val="multilevel"/>
    <w:tmpl w:val="83C8F860"/>
    <w:lvl w:ilvl="0">
      <w:start w:val="1"/>
      <w:numFmt w:val="lowerLetter"/>
      <w:lvlText w:val="%1)"/>
      <w:lvlJc w:val="left"/>
      <w:pPr>
        <w:ind w:left="360" w:hanging="360"/>
      </w:pPr>
      <w:rPr>
        <w:rFonts w:ascii="Verdana" w:eastAsia="Verdana" w:hAnsi="Verdana" w:cs="Verdana"/>
        <w:i/>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5935D7D"/>
    <w:multiLevelType w:val="multilevel"/>
    <w:tmpl w:val="79841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4E2682"/>
    <w:multiLevelType w:val="multilevel"/>
    <w:tmpl w:val="E79C0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532186"/>
    <w:multiLevelType w:val="multilevel"/>
    <w:tmpl w:val="A9C09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0B6789"/>
    <w:multiLevelType w:val="multilevel"/>
    <w:tmpl w:val="86226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652507"/>
    <w:multiLevelType w:val="multilevel"/>
    <w:tmpl w:val="6D8C2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984BC5"/>
    <w:multiLevelType w:val="multilevel"/>
    <w:tmpl w:val="3486701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A933BEE"/>
    <w:multiLevelType w:val="multilevel"/>
    <w:tmpl w:val="AFBEA2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85184730">
    <w:abstractNumId w:val="10"/>
  </w:num>
  <w:num w:numId="2" w16cid:durableId="1293294874">
    <w:abstractNumId w:val="4"/>
  </w:num>
  <w:num w:numId="3" w16cid:durableId="1732732546">
    <w:abstractNumId w:val="1"/>
  </w:num>
  <w:num w:numId="4" w16cid:durableId="1374889422">
    <w:abstractNumId w:val="11"/>
  </w:num>
  <w:num w:numId="5" w16cid:durableId="1696611933">
    <w:abstractNumId w:val="7"/>
  </w:num>
  <w:num w:numId="6" w16cid:durableId="1424763498">
    <w:abstractNumId w:val="2"/>
  </w:num>
  <w:num w:numId="7" w16cid:durableId="409231650">
    <w:abstractNumId w:val="0"/>
  </w:num>
  <w:num w:numId="8" w16cid:durableId="1276712056">
    <w:abstractNumId w:val="5"/>
  </w:num>
  <w:num w:numId="9" w16cid:durableId="1951739203">
    <w:abstractNumId w:val="9"/>
  </w:num>
  <w:num w:numId="10" w16cid:durableId="651562852">
    <w:abstractNumId w:val="17"/>
  </w:num>
  <w:num w:numId="11" w16cid:durableId="785344647">
    <w:abstractNumId w:val="13"/>
  </w:num>
  <w:num w:numId="12" w16cid:durableId="1663702999">
    <w:abstractNumId w:val="3"/>
  </w:num>
  <w:num w:numId="13" w16cid:durableId="1800762938">
    <w:abstractNumId w:val="20"/>
  </w:num>
  <w:num w:numId="14" w16cid:durableId="592785659">
    <w:abstractNumId w:val="12"/>
  </w:num>
  <w:num w:numId="15" w16cid:durableId="1603686302">
    <w:abstractNumId w:val="19"/>
  </w:num>
  <w:num w:numId="16" w16cid:durableId="1402094784">
    <w:abstractNumId w:val="8"/>
  </w:num>
  <w:num w:numId="17" w16cid:durableId="218981156">
    <w:abstractNumId w:val="6"/>
  </w:num>
  <w:num w:numId="18" w16cid:durableId="144318139">
    <w:abstractNumId w:val="18"/>
  </w:num>
  <w:num w:numId="19" w16cid:durableId="1163396842">
    <w:abstractNumId w:val="16"/>
  </w:num>
  <w:num w:numId="20" w16cid:durableId="609895606">
    <w:abstractNumId w:val="15"/>
  </w:num>
  <w:num w:numId="21" w16cid:durableId="19060677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056"/>
    <w:rsid w:val="00010819"/>
    <w:rsid w:val="00033DEE"/>
    <w:rsid w:val="000439D7"/>
    <w:rsid w:val="000542F6"/>
    <w:rsid w:val="00072BD0"/>
    <w:rsid w:val="00083F88"/>
    <w:rsid w:val="0009053A"/>
    <w:rsid w:val="000B62C0"/>
    <w:rsid w:val="000C1D11"/>
    <w:rsid w:val="000C46C2"/>
    <w:rsid w:val="000E4FB7"/>
    <w:rsid w:val="00104D06"/>
    <w:rsid w:val="00105EA8"/>
    <w:rsid w:val="001138C0"/>
    <w:rsid w:val="00121497"/>
    <w:rsid w:val="0012528D"/>
    <w:rsid w:val="00136C17"/>
    <w:rsid w:val="00156115"/>
    <w:rsid w:val="0016168B"/>
    <w:rsid w:val="00165663"/>
    <w:rsid w:val="00171ECB"/>
    <w:rsid w:val="00196C0E"/>
    <w:rsid w:val="001A0E99"/>
    <w:rsid w:val="001B4605"/>
    <w:rsid w:val="001C5C3F"/>
    <w:rsid w:val="001C765D"/>
    <w:rsid w:val="001E3FCF"/>
    <w:rsid w:val="001F1452"/>
    <w:rsid w:val="001F2B70"/>
    <w:rsid w:val="00202F90"/>
    <w:rsid w:val="00210FF8"/>
    <w:rsid w:val="00225039"/>
    <w:rsid w:val="00234A9F"/>
    <w:rsid w:val="00236754"/>
    <w:rsid w:val="0026183E"/>
    <w:rsid w:val="002641B0"/>
    <w:rsid w:val="00265A59"/>
    <w:rsid w:val="00282A11"/>
    <w:rsid w:val="002868EB"/>
    <w:rsid w:val="00290781"/>
    <w:rsid w:val="00296445"/>
    <w:rsid w:val="002A1401"/>
    <w:rsid w:val="002E1FA1"/>
    <w:rsid w:val="002E243C"/>
    <w:rsid w:val="002F3FE7"/>
    <w:rsid w:val="002F445D"/>
    <w:rsid w:val="00302B9B"/>
    <w:rsid w:val="0030422E"/>
    <w:rsid w:val="00306AC9"/>
    <w:rsid w:val="00310CCB"/>
    <w:rsid w:val="00315DC8"/>
    <w:rsid w:val="00316F50"/>
    <w:rsid w:val="00341944"/>
    <w:rsid w:val="00350E15"/>
    <w:rsid w:val="00365157"/>
    <w:rsid w:val="00370FA5"/>
    <w:rsid w:val="00374DC3"/>
    <w:rsid w:val="00381468"/>
    <w:rsid w:val="00394CDD"/>
    <w:rsid w:val="003A454B"/>
    <w:rsid w:val="003B341C"/>
    <w:rsid w:val="003C178B"/>
    <w:rsid w:val="003D342B"/>
    <w:rsid w:val="003D5167"/>
    <w:rsid w:val="003D5547"/>
    <w:rsid w:val="003E17C9"/>
    <w:rsid w:val="003F14AF"/>
    <w:rsid w:val="004002C4"/>
    <w:rsid w:val="00400CDD"/>
    <w:rsid w:val="00406C90"/>
    <w:rsid w:val="00413CF4"/>
    <w:rsid w:val="004240F2"/>
    <w:rsid w:val="00430FDB"/>
    <w:rsid w:val="0044465C"/>
    <w:rsid w:val="004D03A6"/>
    <w:rsid w:val="004D2EC2"/>
    <w:rsid w:val="004D7F24"/>
    <w:rsid w:val="004E78B3"/>
    <w:rsid w:val="004F4B77"/>
    <w:rsid w:val="004F529D"/>
    <w:rsid w:val="00504D4B"/>
    <w:rsid w:val="0050769E"/>
    <w:rsid w:val="00507B72"/>
    <w:rsid w:val="00530A8F"/>
    <w:rsid w:val="00544DD5"/>
    <w:rsid w:val="00556410"/>
    <w:rsid w:val="00561BD2"/>
    <w:rsid w:val="00563161"/>
    <w:rsid w:val="00577EF1"/>
    <w:rsid w:val="005835A6"/>
    <w:rsid w:val="005905DE"/>
    <w:rsid w:val="005907BC"/>
    <w:rsid w:val="00595056"/>
    <w:rsid w:val="005A1D0E"/>
    <w:rsid w:val="005B041B"/>
    <w:rsid w:val="005B4B12"/>
    <w:rsid w:val="005C0BB5"/>
    <w:rsid w:val="005C63D7"/>
    <w:rsid w:val="005C7065"/>
    <w:rsid w:val="005E14EA"/>
    <w:rsid w:val="005F0258"/>
    <w:rsid w:val="005F0B8C"/>
    <w:rsid w:val="00631290"/>
    <w:rsid w:val="00631E01"/>
    <w:rsid w:val="00641C34"/>
    <w:rsid w:val="00653D81"/>
    <w:rsid w:val="00656663"/>
    <w:rsid w:val="006848ED"/>
    <w:rsid w:val="006A4937"/>
    <w:rsid w:val="006A6A1B"/>
    <w:rsid w:val="006A7823"/>
    <w:rsid w:val="006C2AD3"/>
    <w:rsid w:val="006D0759"/>
    <w:rsid w:val="006F5EE1"/>
    <w:rsid w:val="00710F28"/>
    <w:rsid w:val="00734390"/>
    <w:rsid w:val="00734EA7"/>
    <w:rsid w:val="007427C5"/>
    <w:rsid w:val="00746E0C"/>
    <w:rsid w:val="00763FE8"/>
    <w:rsid w:val="007756DB"/>
    <w:rsid w:val="00781F21"/>
    <w:rsid w:val="0079694A"/>
    <w:rsid w:val="007A117F"/>
    <w:rsid w:val="007A5DBB"/>
    <w:rsid w:val="007D6556"/>
    <w:rsid w:val="007F2BE9"/>
    <w:rsid w:val="00826955"/>
    <w:rsid w:val="008363C9"/>
    <w:rsid w:val="00840053"/>
    <w:rsid w:val="00877516"/>
    <w:rsid w:val="00877B3D"/>
    <w:rsid w:val="008808A8"/>
    <w:rsid w:val="00886C0C"/>
    <w:rsid w:val="00891131"/>
    <w:rsid w:val="008979A4"/>
    <w:rsid w:val="008A17D2"/>
    <w:rsid w:val="008B5692"/>
    <w:rsid w:val="008C3A39"/>
    <w:rsid w:val="008C512E"/>
    <w:rsid w:val="008C67E7"/>
    <w:rsid w:val="008D4350"/>
    <w:rsid w:val="008E7ABA"/>
    <w:rsid w:val="00902249"/>
    <w:rsid w:val="009148F7"/>
    <w:rsid w:val="00926607"/>
    <w:rsid w:val="00931B4F"/>
    <w:rsid w:val="00941CCF"/>
    <w:rsid w:val="00965575"/>
    <w:rsid w:val="0098016E"/>
    <w:rsid w:val="009929FA"/>
    <w:rsid w:val="009A20FF"/>
    <w:rsid w:val="009B47CE"/>
    <w:rsid w:val="009C32AE"/>
    <w:rsid w:val="009C41F9"/>
    <w:rsid w:val="009D12D0"/>
    <w:rsid w:val="009F78FD"/>
    <w:rsid w:val="00A035D3"/>
    <w:rsid w:val="00A03DFF"/>
    <w:rsid w:val="00A20322"/>
    <w:rsid w:val="00A31DC7"/>
    <w:rsid w:val="00A32677"/>
    <w:rsid w:val="00A47D5B"/>
    <w:rsid w:val="00A54E70"/>
    <w:rsid w:val="00A62074"/>
    <w:rsid w:val="00A85202"/>
    <w:rsid w:val="00A933EC"/>
    <w:rsid w:val="00A95C21"/>
    <w:rsid w:val="00AC0D15"/>
    <w:rsid w:val="00AE169A"/>
    <w:rsid w:val="00AE6558"/>
    <w:rsid w:val="00AF4A38"/>
    <w:rsid w:val="00B036D3"/>
    <w:rsid w:val="00B6174C"/>
    <w:rsid w:val="00B72526"/>
    <w:rsid w:val="00B73F3A"/>
    <w:rsid w:val="00B74354"/>
    <w:rsid w:val="00BA7870"/>
    <w:rsid w:val="00BB01AC"/>
    <w:rsid w:val="00BC3187"/>
    <w:rsid w:val="00BE004D"/>
    <w:rsid w:val="00BE0AA7"/>
    <w:rsid w:val="00BE4CB0"/>
    <w:rsid w:val="00BE5F76"/>
    <w:rsid w:val="00BF2DB3"/>
    <w:rsid w:val="00C35450"/>
    <w:rsid w:val="00C458B2"/>
    <w:rsid w:val="00C60B37"/>
    <w:rsid w:val="00C6114F"/>
    <w:rsid w:val="00C835E8"/>
    <w:rsid w:val="00CA2C76"/>
    <w:rsid w:val="00CD0C1E"/>
    <w:rsid w:val="00CD5955"/>
    <w:rsid w:val="00CF403C"/>
    <w:rsid w:val="00D219A1"/>
    <w:rsid w:val="00D325D1"/>
    <w:rsid w:val="00D41C95"/>
    <w:rsid w:val="00D56434"/>
    <w:rsid w:val="00D5768B"/>
    <w:rsid w:val="00D57C96"/>
    <w:rsid w:val="00D73308"/>
    <w:rsid w:val="00D80E9B"/>
    <w:rsid w:val="00D86EC5"/>
    <w:rsid w:val="00DA6C54"/>
    <w:rsid w:val="00DD0D07"/>
    <w:rsid w:val="00DF0902"/>
    <w:rsid w:val="00E015F9"/>
    <w:rsid w:val="00E0729B"/>
    <w:rsid w:val="00E107A5"/>
    <w:rsid w:val="00E26E8D"/>
    <w:rsid w:val="00E30288"/>
    <w:rsid w:val="00E32F9A"/>
    <w:rsid w:val="00E36FAE"/>
    <w:rsid w:val="00E50BCB"/>
    <w:rsid w:val="00E628EF"/>
    <w:rsid w:val="00E64D94"/>
    <w:rsid w:val="00E8451D"/>
    <w:rsid w:val="00E87917"/>
    <w:rsid w:val="00E9573A"/>
    <w:rsid w:val="00EA0862"/>
    <w:rsid w:val="00EB0F34"/>
    <w:rsid w:val="00EB2C5D"/>
    <w:rsid w:val="00EC1FF4"/>
    <w:rsid w:val="00EE4AFF"/>
    <w:rsid w:val="00EE4F82"/>
    <w:rsid w:val="00EF3E4A"/>
    <w:rsid w:val="00EF4D2F"/>
    <w:rsid w:val="00F0765C"/>
    <w:rsid w:val="00F21D0F"/>
    <w:rsid w:val="00F2460C"/>
    <w:rsid w:val="00F26257"/>
    <w:rsid w:val="00F3126D"/>
    <w:rsid w:val="00F60BC8"/>
    <w:rsid w:val="00F63CE3"/>
    <w:rsid w:val="00F756E9"/>
    <w:rsid w:val="00F800AF"/>
    <w:rsid w:val="00F8661D"/>
    <w:rsid w:val="00FA358D"/>
    <w:rsid w:val="00FB4748"/>
    <w:rsid w:val="00FB784C"/>
    <w:rsid w:val="00FC2F0E"/>
    <w:rsid w:val="00FD0CE5"/>
    <w:rsid w:val="00FD4150"/>
    <w:rsid w:val="6C5870F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221E6"/>
  <w15:docId w15:val="{1DF3387F-ED52-4840-A1F7-03E8B91B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spacing w:after="560"/>
      <w:outlineLvl w:val="0"/>
    </w:pPr>
    <w:rPr>
      <w:sz w:val="28"/>
      <w:szCs w:val="28"/>
    </w:rPr>
  </w:style>
  <w:style w:type="paragraph" w:styleId="Kop2">
    <w:name w:val="heading 2"/>
    <w:basedOn w:val="Standaard"/>
    <w:next w:val="Standaard"/>
    <w:uiPriority w:val="9"/>
    <w:semiHidden/>
    <w:unhideWhenUsed/>
    <w:qFormat/>
    <w:pPr>
      <w:keepNext/>
      <w:spacing w:after="280"/>
      <w:outlineLvl w:val="1"/>
    </w:pPr>
    <w:rPr>
      <w:b/>
      <w:bCs/>
    </w:rPr>
  </w:style>
  <w:style w:type="paragraph" w:styleId="Kop3">
    <w:name w:val="heading 3"/>
    <w:basedOn w:val="Standaard"/>
    <w:next w:val="Standaard"/>
    <w:uiPriority w:val="9"/>
    <w:semiHidden/>
    <w:unhideWhenUsed/>
    <w:qFormat/>
    <w:pPr>
      <w:keepNext/>
      <w:outlineLvl w:val="2"/>
    </w:pPr>
    <w:rPr>
      <w:i/>
      <w:iCs/>
    </w:rPr>
  </w:style>
  <w:style w:type="paragraph" w:styleId="Kop4">
    <w:name w:val="heading 4"/>
    <w:basedOn w:val="Standaard"/>
    <w:next w:val="Standaard"/>
    <w:uiPriority w:val="9"/>
    <w:semiHidden/>
    <w:unhideWhenUsed/>
    <w:qFormat/>
    <w:pPr>
      <w:keepNext/>
      <w:outlineLvl w:val="3"/>
    </w:pPr>
    <w:rPr>
      <w:i/>
      <w:iCs/>
    </w:rPr>
  </w:style>
  <w:style w:type="paragraph" w:styleId="Kop5">
    <w:name w:val="heading 5"/>
    <w:basedOn w:val="Standaard"/>
    <w:next w:val="Standaard"/>
    <w:uiPriority w:val="9"/>
    <w:semiHidden/>
    <w:unhideWhenUsed/>
    <w:qFormat/>
    <w:pPr>
      <w:spacing w:before="240" w:after="60"/>
      <w:ind w:left="708" w:hanging="708"/>
      <w:outlineLvl w:val="4"/>
    </w:pPr>
    <w:rPr>
      <w:rFonts w:ascii="Arial" w:eastAsia="Arial" w:hAnsi="Arial" w:cs="Arial"/>
    </w:rPr>
  </w:style>
  <w:style w:type="paragraph" w:styleId="Kop6">
    <w:name w:val="heading 6"/>
    <w:basedOn w:val="Standaard"/>
    <w:next w:val="Standaard"/>
    <w:uiPriority w:val="9"/>
    <w:semiHidden/>
    <w:unhideWhenUsed/>
    <w:qFormat/>
    <w:pPr>
      <w:spacing w:before="240" w:after="60"/>
      <w:ind w:left="1416" w:hanging="708"/>
      <w:outlineLvl w:val="5"/>
    </w:pPr>
    <w:rPr>
      <w:rFonts w:ascii="Arial" w:eastAsia="Arial" w:hAnsi="Arial" w:cs="Arial"/>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Revisie">
    <w:name w:val="Revision"/>
    <w:hidden/>
    <w:uiPriority w:val="99"/>
    <w:semiHidden/>
    <w:rsid w:val="001F1452"/>
  </w:style>
  <w:style w:type="paragraph" w:styleId="Onderwerpvanopmerking">
    <w:name w:val="annotation subject"/>
    <w:basedOn w:val="Tekstopmerking"/>
    <w:next w:val="Tekstopmerking"/>
    <w:link w:val="OnderwerpvanopmerkingChar"/>
    <w:uiPriority w:val="99"/>
    <w:semiHidden/>
    <w:unhideWhenUsed/>
    <w:rsid w:val="00E9573A"/>
    <w:rPr>
      <w:b/>
      <w:bCs/>
    </w:rPr>
  </w:style>
  <w:style w:type="character" w:customStyle="1" w:styleId="OnderwerpvanopmerkingChar">
    <w:name w:val="Onderwerp van opmerking Char"/>
    <w:basedOn w:val="TekstopmerkingChar"/>
    <w:link w:val="Onderwerpvanopmerking"/>
    <w:uiPriority w:val="99"/>
    <w:semiHidden/>
    <w:rsid w:val="00E9573A"/>
    <w:rPr>
      <w:b/>
      <w:bCs/>
      <w:sz w:val="20"/>
      <w:szCs w:val="20"/>
    </w:rPr>
  </w:style>
  <w:style w:type="character" w:styleId="Hyperlink">
    <w:name w:val="Hyperlink"/>
    <w:basedOn w:val="Standaardalinea-lettertype"/>
    <w:uiPriority w:val="99"/>
    <w:unhideWhenUsed/>
    <w:rsid w:val="00265A59"/>
    <w:rPr>
      <w:color w:val="0000FF" w:themeColor="hyperlink"/>
      <w:u w:val="single"/>
    </w:rPr>
  </w:style>
  <w:style w:type="character" w:styleId="Onopgelostemelding">
    <w:name w:val="Unresolved Mention"/>
    <w:basedOn w:val="Standaardalinea-lettertype"/>
    <w:uiPriority w:val="99"/>
    <w:semiHidden/>
    <w:unhideWhenUsed/>
    <w:rsid w:val="00265A59"/>
    <w:rPr>
      <w:color w:val="605E5C"/>
      <w:shd w:val="clear" w:color="auto" w:fill="E1DFDD"/>
    </w:rPr>
  </w:style>
  <w:style w:type="paragraph" w:styleId="Voetnoottekst">
    <w:name w:val="footnote text"/>
    <w:basedOn w:val="Standaard"/>
    <w:link w:val="VoetnoottekstChar"/>
    <w:uiPriority w:val="99"/>
    <w:semiHidden/>
    <w:unhideWhenUsed/>
    <w:rsid w:val="007427C5"/>
    <w:rPr>
      <w:sz w:val="20"/>
      <w:szCs w:val="20"/>
    </w:rPr>
  </w:style>
  <w:style w:type="character" w:customStyle="1" w:styleId="VoetnoottekstChar">
    <w:name w:val="Voetnoottekst Char"/>
    <w:basedOn w:val="Standaardalinea-lettertype"/>
    <w:link w:val="Voetnoottekst"/>
    <w:uiPriority w:val="99"/>
    <w:semiHidden/>
    <w:rsid w:val="007427C5"/>
    <w:rPr>
      <w:sz w:val="20"/>
      <w:szCs w:val="20"/>
    </w:rPr>
  </w:style>
  <w:style w:type="character" w:styleId="Voetnootmarkering">
    <w:name w:val="footnote reference"/>
    <w:basedOn w:val="Standaardalinea-lettertype"/>
    <w:uiPriority w:val="99"/>
    <w:semiHidden/>
    <w:unhideWhenUsed/>
    <w:rsid w:val="007427C5"/>
    <w:rPr>
      <w:vertAlign w:val="superscript"/>
    </w:rPr>
  </w:style>
  <w:style w:type="character" w:styleId="GevolgdeHyperlink">
    <w:name w:val="FollowedHyperlink"/>
    <w:basedOn w:val="Standaardalinea-lettertype"/>
    <w:uiPriority w:val="99"/>
    <w:semiHidden/>
    <w:unhideWhenUsed/>
    <w:rsid w:val="008C67E7"/>
    <w:rPr>
      <w:color w:val="800080" w:themeColor="followedHyperlink"/>
      <w:u w:val="single"/>
    </w:rPr>
  </w:style>
  <w:style w:type="paragraph" w:styleId="Lijstalinea">
    <w:name w:val="List Paragraph"/>
    <w:basedOn w:val="Standaard"/>
    <w:uiPriority w:val="34"/>
    <w:qFormat/>
    <w:rsid w:val="00656663"/>
    <w:pPr>
      <w:ind w:left="720"/>
      <w:contextualSpacing/>
    </w:pPr>
  </w:style>
  <w:style w:type="paragraph" w:styleId="Koptekst">
    <w:name w:val="header"/>
    <w:basedOn w:val="Standaard"/>
    <w:link w:val="KoptekstChar"/>
    <w:uiPriority w:val="99"/>
    <w:unhideWhenUsed/>
    <w:rsid w:val="0044465C"/>
    <w:pPr>
      <w:tabs>
        <w:tab w:val="center" w:pos="4536"/>
        <w:tab w:val="right" w:pos="9072"/>
      </w:tabs>
    </w:pPr>
  </w:style>
  <w:style w:type="character" w:customStyle="1" w:styleId="KoptekstChar">
    <w:name w:val="Koptekst Char"/>
    <w:basedOn w:val="Standaardalinea-lettertype"/>
    <w:link w:val="Koptekst"/>
    <w:uiPriority w:val="99"/>
    <w:rsid w:val="0044465C"/>
  </w:style>
  <w:style w:type="paragraph" w:styleId="Voettekst">
    <w:name w:val="footer"/>
    <w:basedOn w:val="Standaard"/>
    <w:link w:val="VoettekstChar"/>
    <w:uiPriority w:val="99"/>
    <w:semiHidden/>
    <w:unhideWhenUsed/>
    <w:rsid w:val="0044465C"/>
    <w:pPr>
      <w:tabs>
        <w:tab w:val="center" w:pos="4536"/>
        <w:tab w:val="right" w:pos="9072"/>
      </w:tabs>
    </w:pPr>
  </w:style>
  <w:style w:type="character" w:customStyle="1" w:styleId="VoettekstChar">
    <w:name w:val="Voettekst Char"/>
    <w:basedOn w:val="Standaardalinea-lettertype"/>
    <w:link w:val="Voettekst"/>
    <w:uiPriority w:val="99"/>
    <w:semiHidden/>
    <w:rsid w:val="0044465C"/>
  </w:style>
  <w:style w:type="paragraph" w:styleId="Geenafstand">
    <w:name w:val="No Spacing"/>
    <w:uiPriority w:val="1"/>
    <w:qFormat/>
    <w:rsid w:val="00590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80724">
      <w:bodyDiv w:val="1"/>
      <w:marLeft w:val="0"/>
      <w:marRight w:val="0"/>
      <w:marTop w:val="0"/>
      <w:marBottom w:val="0"/>
      <w:divBdr>
        <w:top w:val="none" w:sz="0" w:space="0" w:color="auto"/>
        <w:left w:val="none" w:sz="0" w:space="0" w:color="auto"/>
        <w:bottom w:val="none" w:sz="0" w:space="0" w:color="auto"/>
        <w:right w:val="none" w:sz="0" w:space="0" w:color="auto"/>
      </w:divBdr>
    </w:div>
    <w:div w:id="805588212">
      <w:bodyDiv w:val="1"/>
      <w:marLeft w:val="0"/>
      <w:marRight w:val="0"/>
      <w:marTop w:val="0"/>
      <w:marBottom w:val="0"/>
      <w:divBdr>
        <w:top w:val="none" w:sz="0" w:space="0" w:color="auto"/>
        <w:left w:val="none" w:sz="0" w:space="0" w:color="auto"/>
        <w:bottom w:val="none" w:sz="0" w:space="0" w:color="auto"/>
        <w:right w:val="none" w:sz="0" w:space="0" w:color="auto"/>
      </w:divBdr>
    </w:div>
    <w:div w:id="870458532">
      <w:bodyDiv w:val="1"/>
      <w:marLeft w:val="0"/>
      <w:marRight w:val="0"/>
      <w:marTop w:val="0"/>
      <w:marBottom w:val="0"/>
      <w:divBdr>
        <w:top w:val="none" w:sz="0" w:space="0" w:color="auto"/>
        <w:left w:val="none" w:sz="0" w:space="0" w:color="auto"/>
        <w:bottom w:val="none" w:sz="0" w:space="0" w:color="auto"/>
        <w:right w:val="none" w:sz="0" w:space="0" w:color="auto"/>
      </w:divBdr>
    </w:div>
    <w:div w:id="186208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fontTable" Target="fontTable.xml" Id="rId16" /><Relationship Type="http://schemas.openxmlformats.org/officeDocument/2006/relationships/styles" Target="styles.xml" Id="rId6" /><Relationship Type="http://schemas.openxmlformats.org/officeDocument/2006/relationships/hyperlink" Target="https://eur-lex.europa.eu/legal-content/EN/ALL/?uri=comnat:COM_2025_0743_FIN"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health.ec.europa.eu/non-communicable-diseases/mental-health_en" TargetMode="External"/><Relationship Id="rId13" Type="http://schemas.openxmlformats.org/officeDocument/2006/relationships/hyperlink" Target="https://eur-lex.europa.eu/legal-content/NL/TXT/?uri=CELEX:52025DC0744" TargetMode="External"/><Relationship Id="rId3" Type="http://schemas.openxmlformats.org/officeDocument/2006/relationships/hyperlink" Target="https://ec.europa.eu/transparency/documents-register/detail?ref=SWD(2025)188&amp;lang=en" TargetMode="External"/><Relationship Id="rId7" Type="http://schemas.openxmlformats.org/officeDocument/2006/relationships/hyperlink" Target="https://health.ec.europa.eu/non-communicable-diseases/healthier-together-eu-non-communicable-diseases-initiative_en" TargetMode="External"/><Relationship Id="rId12" Type="http://schemas.openxmlformats.org/officeDocument/2006/relationships/hyperlink" Target="https://eur-lex.europa.eu/legal-content/NL/TXT/HTML/?uri=CELEX:52023DC0641" TargetMode="External"/><Relationship Id="rId2" Type="http://schemas.openxmlformats.org/officeDocument/2006/relationships/hyperlink" Target="https://www.consilium.europa.eu/media/49194/eu-drugs-strategy-booklet.pdf" TargetMode="External"/><Relationship Id="rId1" Type="http://schemas.openxmlformats.org/officeDocument/2006/relationships/hyperlink" Target="https://ec.europa.eu/commission/presscorner/detail/en/ip_25_2923" TargetMode="External"/><Relationship Id="rId6" Type="http://schemas.openxmlformats.org/officeDocument/2006/relationships/hyperlink" Target="https://eur-lex.europa.eu/legal-content/NL/TXT/HTML/?uri=CELEX:52024DC0206" TargetMode="External"/><Relationship Id="rId11" Type="http://schemas.openxmlformats.org/officeDocument/2006/relationships/hyperlink" Target="file://frd.shsdir.nl/orgData/VWS/VGP/1.%20Gezondheidsgedrag%20en%20Leefstijl/1.2%20Drugsbeleid/Internationaal%20drugsbeleid/2.%20Horizontal%20Working%20Party%20on%20Drugs%20(HDG)/EU%20Drugsstrategie%20dec%202025%20en%20BNC%20fiche/Opmerkingen%20nav%20BNC-ronde%2020%20jan/Zie" TargetMode="External"/><Relationship Id="rId5" Type="http://schemas.openxmlformats.org/officeDocument/2006/relationships/hyperlink" Target="https://eur-lex.europa.eu/legal-content/NL/TXT/HTML/?uri=CELEX:52025JC0130" TargetMode="External"/><Relationship Id="rId10" Type="http://schemas.openxmlformats.org/officeDocument/2006/relationships/hyperlink" Target="https://www.rijksoverheid.nl/documenten/kamerstukken/2025/05/22/kamerbrief-over-inzake-het-drugsbeleid" TargetMode="External"/><Relationship Id="rId4" Type="http://schemas.openxmlformats.org/officeDocument/2006/relationships/hyperlink" Target="https://eur-lex.europa.eu/legal-content/NL/TXT/HTML/?uri=CELEX:52025DC0148" TargetMode="External"/><Relationship Id="rId9" Type="http://schemas.openxmlformats.org/officeDocument/2006/relationships/hyperlink" Target="https://eur-lex.europa.eu/legal-content/EN/TXT/PDF/?uri=CELEX:52025DC07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38cb507-3f71-4afe-aaab-8382731a4345}" enabled="0" method="" siteId="{238cb507-3f71-4afe-aaab-8382731a4345}" removed="1"/>
  <clbl:label id="{681dcdd7-3e43-49fb-ac1e-2321f7e63421}" enabled="1" method="Standard" siteId="{1321633e-f6b9-44e2-a44f-59b9d264ecb7}" removed="0"/>
</clbl:labelList>
</file>

<file path=docProps/app.xml><?xml version="1.0" encoding="utf-8"?>
<ap:Properties xmlns:vt="http://schemas.openxmlformats.org/officeDocument/2006/docPropsVTypes" xmlns:ap="http://schemas.openxmlformats.org/officeDocument/2006/extended-properties">
  <ap:Pages>8</ap:Pages>
  <ap:Words>3458</ap:Words>
  <ap:Characters>19019</ap:Characters>
  <ap:DocSecurity>0</ap:DocSecurity>
  <ap:Lines>158</ap:Lines>
  <ap:Paragraphs>44</ap:Paragraphs>
  <ap:ScaleCrop>false</ap:ScaleCrop>
  <ap:LinksUpToDate>false</ap:LinksUpToDate>
  <ap:CharactersWithSpaces>22433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2026-01-27T16:38:00.0000000Z</lastPrinted>
  <dcterms:created xsi:type="dcterms:W3CDTF">2026-02-12T13:29:00.0000000Z</dcterms:created>
  <dcterms:modified xsi:type="dcterms:W3CDTF">2026-02-12T13:29:00.0000000Z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BZ_Forum">
    <vt:lpwstr>3;#EU|4d8f9873-61b3-4ee5-b6f7-0bb00c6df5e8</vt:lpwstr>
  </property>
  <property fmtid="{D5CDD505-2E9C-101B-9397-08002B2CF9AE}" pid="3" name="BZ_Classification">
    <vt:lpwstr>4;#UNCLASSIFIED|d92c6340-bc14-4cb2-a9a6-6deda93c493b</vt:lpwstr>
  </property>
  <property fmtid="{D5CDD505-2E9C-101B-9397-08002B2CF9AE}" pid="4" name="BZ_Country">
    <vt:lpwstr>2;#Not applicable|ec01d90b-9d0f-4785-8785-e1ea615196bf</vt:lpwstr>
  </property>
  <property fmtid="{D5CDD505-2E9C-101B-9397-08002B2CF9AE}" pid="5" name="BZ_Theme">
    <vt:lpwstr>1;#European cooperation (non-EU) general|32cb20cb-36c6-4655-9372-780089c6b4ef</vt:lpwstr>
  </property>
  <property fmtid="{D5CDD505-2E9C-101B-9397-08002B2CF9AE}" pid="6" name="ContentTypeId">
    <vt:lpwstr>0x01010038E60350FC170647B310166F2EB204D8</vt:lpwstr>
  </property>
  <property fmtid="{D5CDD505-2E9C-101B-9397-08002B2CF9AE}" pid="7" name="ClassificationContentMarkingFooterShapeIds">
    <vt:lpwstr>2cc0a7d9,70a726d4,3bfa82a5</vt:lpwstr>
  </property>
  <property fmtid="{D5CDD505-2E9C-101B-9397-08002B2CF9AE}" pid="8" name="ClassificationContentMarkingFooterFontProps">
    <vt:lpwstr>#000000,10,Aptos</vt:lpwstr>
  </property>
  <property fmtid="{D5CDD505-2E9C-101B-9397-08002B2CF9AE}" pid="9" name="ClassificationContentMarkingFooterText">
    <vt:lpwstr>Intern gebruik</vt:lpwstr>
  </property>
  <property fmtid="{D5CDD505-2E9C-101B-9397-08002B2CF9AE}" pid="10" name="gc2efd3bfea04f7f8169be07009f5536">
    <vt:lpwstr/>
  </property>
  <property fmtid="{D5CDD505-2E9C-101B-9397-08002B2CF9AE}" pid="11" name="BZForumOrganisation">
    <vt:lpwstr>2;#Not applicable|0049e722-bfb1-4a3f-9d08-af7366a9af40</vt:lpwstr>
  </property>
  <property fmtid="{D5CDD505-2E9C-101B-9397-08002B2CF9AE}" pid="12" name="BZTheme">
    <vt:lpwstr>1;#Not applicable|ec01d90b-9d0f-4785-8785-e1ea615196bf</vt:lpwstr>
  </property>
  <property fmtid="{D5CDD505-2E9C-101B-9397-08002B2CF9AE}" pid="13" name="BZDossierSendTo">
    <vt:lpwstr/>
  </property>
  <property fmtid="{D5CDD505-2E9C-101B-9397-08002B2CF9AE}" pid="14" name="BZDossierResponsibleDepartment">
    <vt:lpwstr/>
  </property>
  <property fmtid="{D5CDD505-2E9C-101B-9397-08002B2CF9AE}" pid="15" name="BZCountryState">
    <vt:lpwstr>3;#Not applicable|ec01d90b-9d0f-4785-8785-e1ea615196bf</vt:lpwstr>
  </property>
  <property fmtid="{D5CDD505-2E9C-101B-9397-08002B2CF9AE}" pid="16" name="BZDossierGovernmentOfficial">
    <vt:lpwstr/>
  </property>
  <property fmtid="{D5CDD505-2E9C-101B-9397-08002B2CF9AE}" pid="17" name="BZDossierProcessLocation">
    <vt:lpwstr/>
  </property>
  <property fmtid="{D5CDD505-2E9C-101B-9397-08002B2CF9AE}" pid="18" name="i42ef48d5fa942a0ad0d60e44f201751">
    <vt:lpwstr/>
  </property>
  <property fmtid="{D5CDD505-2E9C-101B-9397-08002B2CF9AE}" pid="19" name="BZDossierPublishingWOOCategory">
    <vt:lpwstr/>
  </property>
  <property fmtid="{D5CDD505-2E9C-101B-9397-08002B2CF9AE}" pid="20" name="f2fb2a8e39404f1ab554e4e4a49d2918">
    <vt:lpwstr/>
  </property>
  <property fmtid="{D5CDD505-2E9C-101B-9397-08002B2CF9AE}" pid="21" name="BZMarking">
    <vt:lpwstr>5;#NO MARKING|0a4eb9ae-69eb-4d9e-b573-43ab99ef8592</vt:lpwstr>
  </property>
  <property fmtid="{D5CDD505-2E9C-101B-9397-08002B2CF9AE}" pid="22" name="_dlc_DocIdItemGuid">
    <vt:lpwstr>a8755e82-fbef-444e-acb0-de41063de5c4</vt:lpwstr>
  </property>
  <property fmtid="{D5CDD505-2E9C-101B-9397-08002B2CF9AE}" pid="23" name="f8e003236e1c4ac2ab9051d5d8789bbb">
    <vt:lpwstr/>
  </property>
  <property fmtid="{D5CDD505-2E9C-101B-9397-08002B2CF9AE}" pid="24" name="BZClassification">
    <vt:lpwstr>4;#UNCLASSIFIED (U)|284e6a62-15ab-4017-be27-a1e965f4e940</vt:lpwstr>
  </property>
  <property fmtid="{D5CDD505-2E9C-101B-9397-08002B2CF9AE}" pid="25" name="p29721a54a5c4bbe9786e930fc91e270">
    <vt:lpwstr/>
  </property>
  <property fmtid="{D5CDD505-2E9C-101B-9397-08002B2CF9AE}" pid="26" name="BZDossierTemplate">
    <vt:lpwstr>ReguliereKamerbrief</vt:lpwstr>
  </property>
  <property fmtid="{D5CDD505-2E9C-101B-9397-08002B2CF9AE}" pid="27" name="e256f556a7b748329ab47889947c7d40">
    <vt:lpwstr/>
  </property>
  <property fmtid="{D5CDD505-2E9C-101B-9397-08002B2CF9AE}" pid="28" name="ed9282a3f18446ec8c17c7829edf82dd">
    <vt:lpwstr/>
  </property>
  <property fmtid="{D5CDD505-2E9C-101B-9397-08002B2CF9AE}" pid="29" name="BZDossierProcessType">
    <vt:lpwstr/>
  </property>
  <property fmtid="{D5CDD505-2E9C-101B-9397-08002B2CF9AE}" pid="30" name="URL">
    <vt:lpwstr>https://247.plaza.buzaservices.nl/subject/PV-RK2026012026/BZ2624656/Fiche%208%20-%20Herzienig%20EU-drugsstrategie.docx, </vt:lpwstr>
  </property>
  <property fmtid="{D5CDD505-2E9C-101B-9397-08002B2CF9AE}" pid="31" name="BZDossierBudgetManager">
    <vt:lpwstr/>
  </property>
</Properties>
</file>