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82D" w:rsidR="00715FA4" w:rsidP="00715FA4" w:rsidRDefault="00DD061A" w14:paraId="185191E9" w14:textId="38897E45">
      <w:pPr>
        <w:ind w:left="1440" w:hanging="1440"/>
        <w:rPr>
          <w:rFonts w:ascii="Calibri" w:hAnsi="Calibri" w:eastAsia="Aptos" w:cs="Calibri"/>
          <w:bCs/>
          <w:iCs w:val="0"/>
          <w:kern w:val="2"/>
          <w:sz w:val="22"/>
          <w:szCs w:val="22"/>
          <w:lang w:eastAsia="en-US"/>
          <w14:ligatures w14:val="standardContextual"/>
        </w:rPr>
      </w:pPr>
      <w:bookmarkStart w:name="_Hlk218514526" w:id="0"/>
      <w:r w:rsidRPr="004F382D">
        <w:rPr>
          <w:rFonts w:ascii="Calibri" w:hAnsi="Calibri" w:eastAsia="Aptos" w:cs="Calibri"/>
          <w:bCs/>
          <w:iCs w:val="0"/>
          <w:kern w:val="2"/>
          <w:sz w:val="22"/>
          <w:szCs w:val="22"/>
          <w:lang w:eastAsia="en-US"/>
          <w14:ligatures w14:val="standardContextual"/>
        </w:rPr>
        <w:t>22</w:t>
      </w:r>
      <w:r w:rsidRPr="004F382D" w:rsidR="00715FA4">
        <w:rPr>
          <w:rFonts w:ascii="Calibri" w:hAnsi="Calibri" w:eastAsia="Aptos" w:cs="Calibri"/>
          <w:bCs/>
          <w:iCs w:val="0"/>
          <w:kern w:val="2"/>
          <w:sz w:val="22"/>
          <w:szCs w:val="22"/>
          <w:lang w:eastAsia="en-US"/>
          <w14:ligatures w14:val="standardContextual"/>
        </w:rPr>
        <w:t xml:space="preserve"> </w:t>
      </w:r>
      <w:r w:rsidRPr="004F382D">
        <w:rPr>
          <w:rFonts w:ascii="Calibri" w:hAnsi="Calibri" w:eastAsia="Aptos" w:cs="Calibri"/>
          <w:bCs/>
          <w:iCs w:val="0"/>
          <w:kern w:val="2"/>
          <w:sz w:val="22"/>
          <w:szCs w:val="22"/>
          <w:lang w:eastAsia="en-US"/>
          <w14:ligatures w14:val="standardContextual"/>
        </w:rPr>
        <w:t>112</w:t>
      </w:r>
      <w:r w:rsidRPr="004F382D" w:rsidR="00715FA4">
        <w:rPr>
          <w:rFonts w:ascii="Calibri" w:hAnsi="Calibri" w:eastAsia="Aptos" w:cs="Calibri"/>
          <w:bCs/>
          <w:iCs w:val="0"/>
          <w:kern w:val="2"/>
          <w:sz w:val="22"/>
          <w:szCs w:val="22"/>
          <w:lang w:eastAsia="en-US"/>
          <w14:ligatures w14:val="standardContextual"/>
        </w:rPr>
        <w:tab/>
      </w:r>
      <w:r w:rsidRPr="004F382D" w:rsidR="00715FA4">
        <w:rPr>
          <w:rFonts w:ascii="Calibri" w:hAnsi="Calibri" w:cs="Calibri"/>
          <w:sz w:val="22"/>
          <w:szCs w:val="22"/>
        </w:rPr>
        <w:t>Nieuwe Commissievoorstellen en initiatieven van de lidstaten van de Europese Unie</w:t>
      </w:r>
    </w:p>
    <w:p w:rsidRPr="004F382D" w:rsidR="00715FA4" w:rsidRDefault="00715FA4" w14:paraId="0C574B46" w14:textId="77777777">
      <w:pPr>
        <w:rPr>
          <w:rFonts w:ascii="Calibri" w:hAnsi="Calibri" w:cs="Calibri"/>
          <w:sz w:val="22"/>
          <w:szCs w:val="22"/>
        </w:rPr>
      </w:pPr>
    </w:p>
    <w:p w:rsidRPr="004F382D" w:rsidR="00715FA4" w:rsidP="00715FA4" w:rsidRDefault="00715FA4" w14:paraId="16684211" w14:textId="77777777">
      <w:pPr>
        <w:spacing w:after="160" w:line="240" w:lineRule="auto"/>
        <w:rPr>
          <w:rFonts w:ascii="Calibri" w:hAnsi="Calibri" w:cs="Calibri"/>
          <w:sz w:val="22"/>
          <w:szCs w:val="22"/>
        </w:rPr>
      </w:pPr>
      <w:r w:rsidRPr="004F382D">
        <w:rPr>
          <w:rFonts w:ascii="Calibri" w:hAnsi="Calibri" w:eastAsia="Aptos" w:cs="Calibri"/>
          <w:bCs/>
          <w:iCs w:val="0"/>
          <w:kern w:val="2"/>
          <w:sz w:val="22"/>
          <w:szCs w:val="22"/>
          <w:lang w:eastAsia="en-US"/>
          <w14:ligatures w14:val="standardContextual"/>
        </w:rPr>
        <w:t xml:space="preserve">Nr. </w:t>
      </w:r>
      <w:r w:rsidRPr="004F382D" w:rsidR="00DD061A">
        <w:rPr>
          <w:rFonts w:ascii="Calibri" w:hAnsi="Calibri" w:eastAsia="Aptos" w:cs="Calibri"/>
          <w:bCs/>
          <w:iCs w:val="0"/>
          <w:kern w:val="2"/>
          <w:sz w:val="22"/>
          <w:szCs w:val="22"/>
          <w:lang w:eastAsia="en-US"/>
          <w14:ligatures w14:val="standardContextual"/>
        </w:rPr>
        <w:t>4248</w:t>
      </w:r>
      <w:r w:rsidRPr="004F382D">
        <w:rPr>
          <w:rFonts w:ascii="Calibri" w:hAnsi="Calibri" w:eastAsia="Aptos" w:cs="Calibri"/>
          <w:bCs/>
          <w:iCs w:val="0"/>
          <w:kern w:val="2"/>
          <w:sz w:val="22"/>
          <w:szCs w:val="22"/>
          <w:lang w:eastAsia="en-US"/>
          <w14:ligatures w14:val="standardContextual"/>
        </w:rPr>
        <w:tab/>
        <w:t xml:space="preserve">Brief van de </w:t>
      </w:r>
      <w:r w:rsidRPr="004F382D">
        <w:rPr>
          <w:rFonts w:ascii="Calibri" w:hAnsi="Calibri" w:cs="Calibri"/>
          <w:sz w:val="22"/>
          <w:szCs w:val="22"/>
        </w:rPr>
        <w:t>minister van Buitenlandse Zaken</w:t>
      </w:r>
    </w:p>
    <w:p w:rsidRPr="004F382D" w:rsidR="00DD061A" w:rsidP="00DD061A" w:rsidRDefault="00715FA4" w14:paraId="1D1D7743" w14:textId="24BB3532">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Aan de Voorzitter van de Tweede Kamer der Staten-Generaal</w:t>
      </w:r>
    </w:p>
    <w:p w:rsidRPr="004F382D" w:rsidR="00715FA4" w:rsidP="00DD061A" w:rsidRDefault="00715FA4" w14:paraId="0993E71B" w14:textId="20953903">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Den Haag, 30 januari 2026</w:t>
      </w:r>
    </w:p>
    <w:p w:rsidRPr="004F382D" w:rsidR="00DD061A" w:rsidP="00DD061A" w:rsidRDefault="00DD061A" w14:paraId="0E75064E" w14:textId="77777777">
      <w:pPr>
        <w:spacing w:after="160" w:line="276" w:lineRule="auto"/>
        <w:rPr>
          <w:rFonts w:ascii="Calibri" w:hAnsi="Calibri" w:eastAsia="Aptos" w:cs="Calibri"/>
          <w:bCs/>
          <w:iCs w:val="0"/>
          <w:kern w:val="2"/>
          <w:sz w:val="22"/>
          <w:szCs w:val="22"/>
          <w:lang w:eastAsia="en-US"/>
          <w14:ligatures w14:val="standardContextual"/>
        </w:rPr>
      </w:pPr>
    </w:p>
    <w:p w:rsidRPr="004F382D" w:rsidR="00DD061A" w:rsidP="00DD061A" w:rsidRDefault="00DD061A" w14:paraId="3A7FA452"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Overeenkomstig de bestaande afspraken ontvangt u hierbij 10 fiches die werden opgesteld door de werkgroep Beoordeling Nieuwe Commissie voorstellen (BNC).</w:t>
      </w:r>
    </w:p>
    <w:p w:rsidRPr="004F382D" w:rsidR="00DD061A" w:rsidP="00DD061A" w:rsidRDefault="00DD061A" w14:paraId="4DCFAA4A" w14:textId="77777777">
      <w:pPr>
        <w:spacing w:after="160" w:line="276" w:lineRule="auto"/>
        <w:rPr>
          <w:rFonts w:ascii="Calibri" w:hAnsi="Calibri" w:eastAsia="Aptos" w:cs="Calibri"/>
          <w:bCs/>
          <w:iCs w:val="0"/>
          <w:kern w:val="2"/>
          <w:sz w:val="22"/>
          <w:szCs w:val="22"/>
          <w:lang w:eastAsia="en-US"/>
          <w14:ligatures w14:val="standardContextual"/>
        </w:rPr>
      </w:pPr>
    </w:p>
    <w:p w:rsidRPr="004F382D" w:rsidR="00DD061A" w:rsidP="00DD061A" w:rsidRDefault="00DD061A" w14:paraId="32C4C42E"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Versterking van de economische veiligheid van de EU (Kamerstuk 22 112, nr. 4239).</w:t>
      </w:r>
    </w:p>
    <w:p w:rsidRPr="004F382D" w:rsidR="00DD061A" w:rsidP="00DD061A" w:rsidRDefault="00DD061A" w14:paraId="41A6F6BF"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EU-Agenda voor Steden (Kamerstuk 22 112, nr. 4240).</w:t>
      </w:r>
    </w:p>
    <w:p w:rsidRPr="004F382D" w:rsidR="00DD061A" w:rsidP="00DD061A" w:rsidRDefault="00DD061A" w14:paraId="3D54D5A7"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Kapitaalmarktintegratie en Toezichtcentralisatie Pakket (KTP) (Kamerstuk 22 112, nr. 4241).</w:t>
      </w:r>
    </w:p>
    <w:p w:rsidRPr="004F382D" w:rsidR="00DD061A" w:rsidP="00DD061A" w:rsidRDefault="00DD061A" w14:paraId="7A954074"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Finaliteitsverordening (Kamerstuk 22 112, nr. 4242).</w:t>
      </w:r>
    </w:p>
    <w:p w:rsidRPr="004F382D" w:rsidR="00DD061A" w:rsidP="00DD061A" w:rsidRDefault="00DD061A" w14:paraId="4AD6ABB5"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over het EU actieplan tegen drugshandel (Kamerstuk 22 112, nr. 4243).</w:t>
      </w:r>
    </w:p>
    <w:p w:rsidRPr="004F382D" w:rsidR="00DD061A" w:rsidP="00DD061A" w:rsidRDefault="00DD061A" w14:paraId="28862B7A"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RESourceEU actieplan en voorstel tot aanpassing van de verordening kritieke grondstoffen (Kamerstuk 22 112, nr. 4244).</w:t>
      </w:r>
    </w:p>
    <w:p w:rsidRPr="004F382D" w:rsidR="00DD061A" w:rsidP="00DD061A" w:rsidRDefault="00DD061A" w14:paraId="3E3EB04D"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Wijzigingsvoorstel Verordening CO2-emissienormen zware bedrijfsvoertuigen (Kamerstuk 22 112, nr. 4245).</w:t>
      </w:r>
    </w:p>
    <w:p w:rsidRPr="004F382D" w:rsidR="00DD061A" w:rsidP="00DD061A" w:rsidRDefault="00DD061A" w14:paraId="05FE50AB"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Herziening EU-drugsstrategie(Kamerstuk 22 112, nr. 4246).</w:t>
      </w:r>
    </w:p>
    <w:p w:rsidRPr="004F382D" w:rsidR="00DD061A" w:rsidP="00DD061A" w:rsidRDefault="00DD061A" w14:paraId="086969AB"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 xml:space="preserve">Fiche - Mededeling </w:t>
      </w:r>
      <w:r w:rsidRPr="004F382D">
        <w:rPr>
          <w:rFonts w:ascii="Calibri" w:hAnsi="Calibri" w:eastAsia="Aptos" w:cs="Calibri"/>
          <w:bCs/>
          <w:i/>
          <w:kern w:val="2"/>
          <w:sz w:val="22"/>
          <w:szCs w:val="22"/>
          <w:lang w:eastAsia="en-US"/>
          <w14:ligatures w14:val="standardContextual"/>
        </w:rPr>
        <w:t xml:space="preserve">European Democracy Shield </w:t>
      </w:r>
      <w:r w:rsidRPr="004F382D">
        <w:rPr>
          <w:rFonts w:ascii="Calibri" w:hAnsi="Calibri" w:eastAsia="Aptos" w:cs="Calibri"/>
          <w:bCs/>
          <w:iCs w:val="0"/>
          <w:kern w:val="2"/>
          <w:sz w:val="22"/>
          <w:szCs w:val="22"/>
          <w:lang w:eastAsia="en-US"/>
          <w14:ligatures w14:val="standardContextual"/>
        </w:rPr>
        <w:t>(Kamerstuk 22 112, nr. 4247).</w:t>
      </w:r>
    </w:p>
    <w:p w:rsidRPr="004F382D" w:rsidR="00DD061A" w:rsidP="00DD061A" w:rsidRDefault="00DD061A" w14:paraId="4F078BC7"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EU strategie Maatschappelijke Organisaties.</w:t>
      </w:r>
    </w:p>
    <w:p w:rsidRPr="004F382D" w:rsidR="00DD061A" w:rsidP="00715FA4" w:rsidRDefault="00DD061A" w14:paraId="6F8A3625" w14:textId="77777777">
      <w:pPr>
        <w:pStyle w:val="Geenafstand"/>
        <w:rPr>
          <w:rFonts w:ascii="Calibri" w:hAnsi="Calibri" w:cs="Calibri"/>
        </w:rPr>
      </w:pPr>
    </w:p>
    <w:p w:rsidRPr="004F382D" w:rsidR="00DD061A" w:rsidP="00715FA4" w:rsidRDefault="00DD061A" w14:paraId="244C1604" w14:textId="77777777">
      <w:pPr>
        <w:pStyle w:val="Geenafstand"/>
        <w:rPr>
          <w:rFonts w:ascii="Calibri" w:hAnsi="Calibri" w:cs="Calibri"/>
        </w:rPr>
      </w:pPr>
      <w:r w:rsidRPr="004F382D">
        <w:rPr>
          <w:rFonts w:ascii="Calibri" w:hAnsi="Calibri" w:cs="Calibri"/>
        </w:rPr>
        <w:t>De minister van Buitenlandse Zaken,</w:t>
      </w:r>
    </w:p>
    <w:p w:rsidRPr="004F382D" w:rsidR="00DD061A" w:rsidP="00715FA4" w:rsidRDefault="00DD061A" w14:paraId="0794EC84" w14:textId="77777777">
      <w:pPr>
        <w:pStyle w:val="Geenafstand"/>
        <w:rPr>
          <w:rFonts w:ascii="Calibri" w:hAnsi="Calibri" w:cs="Calibri"/>
        </w:rPr>
      </w:pPr>
      <w:r w:rsidRPr="004F382D">
        <w:rPr>
          <w:rFonts w:ascii="Calibri" w:hAnsi="Calibri" w:cs="Calibri"/>
        </w:rPr>
        <w:t>D.M. van Weel</w:t>
      </w:r>
    </w:p>
    <w:p w:rsidR="00715FA4" w:rsidP="00715FA4" w:rsidRDefault="00715FA4" w14:paraId="6B2F8EBD" w14:textId="77777777">
      <w:pPr>
        <w:pStyle w:val="Geenafstand"/>
        <w:rPr>
          <w:rFonts w:ascii="Calibri" w:hAnsi="Calibri" w:cs="Calibri"/>
        </w:rPr>
      </w:pPr>
    </w:p>
    <w:p w:rsidRPr="004F382D" w:rsidR="004F382D" w:rsidP="00715FA4" w:rsidRDefault="004F382D" w14:paraId="1492EEB2" w14:textId="77777777">
      <w:pPr>
        <w:pStyle w:val="Geenafstand"/>
        <w:rPr>
          <w:rFonts w:ascii="Calibri" w:hAnsi="Calibri" w:cs="Calibri"/>
        </w:rPr>
      </w:pPr>
    </w:p>
    <w:p w:rsidRPr="004F382D" w:rsidR="00715FA4" w:rsidRDefault="00715FA4" w14:paraId="4617D6CF" w14:textId="77777777">
      <w:pPr>
        <w:spacing w:after="200" w:line="240" w:lineRule="auto"/>
        <w:rPr>
          <w:rFonts w:ascii="Calibri" w:hAnsi="Calibri" w:eastAsia="Aptos" w:cs="Calibri"/>
          <w:iCs w:val="0"/>
          <w:kern w:val="2"/>
          <w:sz w:val="22"/>
          <w:szCs w:val="22"/>
          <w:lang w:eastAsia="en-US"/>
          <w14:ligatures w14:val="standardContextual"/>
        </w:rPr>
      </w:pPr>
      <w:r w:rsidRPr="004F382D">
        <w:rPr>
          <w:rFonts w:ascii="Calibri" w:hAnsi="Calibri" w:eastAsia="Aptos" w:cs="Calibri"/>
          <w:iCs w:val="0"/>
          <w:kern w:val="2"/>
          <w:sz w:val="22"/>
          <w:szCs w:val="22"/>
          <w:lang w:eastAsia="en-US"/>
          <w14:ligatures w14:val="standardContextual"/>
        </w:rPr>
        <w:br w:type="page"/>
      </w:r>
    </w:p>
    <w:p w:rsidRPr="004F382D" w:rsidR="00CC3DCA" w:rsidP="00715FA4" w:rsidRDefault="00D529BC" w14:paraId="2B71FD4E" w14:textId="0249037F">
      <w:pPr>
        <w:spacing w:after="160" w:line="240" w:lineRule="auto"/>
        <w:rPr>
          <w:rFonts w:ascii="Calibri" w:hAnsi="Calibri" w:cs="Calibri"/>
          <w:b/>
          <w:bCs/>
          <w:sz w:val="22"/>
          <w:szCs w:val="22"/>
        </w:rPr>
      </w:pPr>
      <w:r w:rsidRPr="004F382D">
        <w:rPr>
          <w:rFonts w:ascii="Calibri" w:hAnsi="Calibri" w:cs="Calibri"/>
          <w:b/>
          <w:bCs/>
          <w:sz w:val="22"/>
          <w:szCs w:val="22"/>
        </w:rPr>
        <w:lastRenderedPageBreak/>
        <w:t>Fiche</w:t>
      </w:r>
      <w:r w:rsidRPr="004F382D" w:rsidR="00CC3DCA">
        <w:rPr>
          <w:rFonts w:ascii="Calibri" w:hAnsi="Calibri" w:cs="Calibri"/>
          <w:b/>
          <w:bCs/>
          <w:sz w:val="22"/>
          <w:szCs w:val="22"/>
        </w:rPr>
        <w:t xml:space="preserve">: </w:t>
      </w:r>
      <w:r w:rsidRPr="004F382D" w:rsidR="00433165">
        <w:rPr>
          <w:rFonts w:ascii="Calibri" w:hAnsi="Calibri" w:cs="Calibri"/>
          <w:b/>
          <w:bCs/>
          <w:sz w:val="22"/>
          <w:szCs w:val="22"/>
        </w:rPr>
        <w:t xml:space="preserve">Mededeling </w:t>
      </w:r>
      <w:r w:rsidRPr="004F382D" w:rsidR="005E2AA1">
        <w:rPr>
          <w:rFonts w:ascii="Calibri" w:hAnsi="Calibri" w:cs="Calibri"/>
          <w:b/>
          <w:bCs/>
          <w:sz w:val="22"/>
          <w:szCs w:val="22"/>
        </w:rPr>
        <w:t>EU strategie Maatschappelijk</w:t>
      </w:r>
      <w:r w:rsidRPr="004F382D" w:rsidR="00433165">
        <w:rPr>
          <w:rFonts w:ascii="Calibri" w:hAnsi="Calibri" w:cs="Calibri"/>
          <w:b/>
          <w:bCs/>
          <w:sz w:val="22"/>
          <w:szCs w:val="22"/>
        </w:rPr>
        <w:t>e Organisaties</w:t>
      </w:r>
    </w:p>
    <w:bookmarkEnd w:id="0"/>
    <w:p w:rsidRPr="004F382D" w:rsidR="00CC3DCA" w:rsidP="00715FA4" w:rsidRDefault="00CC3DCA" w14:paraId="247E1971" w14:textId="77777777">
      <w:pPr>
        <w:spacing w:after="160" w:line="240" w:lineRule="auto"/>
        <w:rPr>
          <w:rFonts w:ascii="Calibri" w:hAnsi="Calibri" w:cs="Calibri"/>
          <w:sz w:val="22"/>
          <w:szCs w:val="22"/>
        </w:rPr>
      </w:pPr>
    </w:p>
    <w:p w:rsidRPr="004F382D" w:rsidR="00CC3DCA" w:rsidP="00715FA4" w:rsidRDefault="00CC3DCA" w14:paraId="14A2D4E7" w14:textId="77777777">
      <w:pPr>
        <w:pStyle w:val="Kop2"/>
        <w:spacing w:after="160" w:line="240" w:lineRule="auto"/>
        <w:rPr>
          <w:rFonts w:ascii="Calibri" w:hAnsi="Calibri" w:cs="Calibri"/>
          <w:sz w:val="22"/>
          <w:szCs w:val="22"/>
        </w:rPr>
      </w:pPr>
      <w:r w:rsidRPr="004F382D">
        <w:rPr>
          <w:rFonts w:ascii="Calibri" w:hAnsi="Calibri" w:cs="Calibri"/>
          <w:sz w:val="22"/>
          <w:szCs w:val="22"/>
        </w:rPr>
        <w:t>Algemene gegevens</w:t>
      </w:r>
      <w:r w:rsidRPr="004F382D">
        <w:rPr>
          <w:rFonts w:ascii="Calibri" w:hAnsi="Calibri" w:cs="Calibri"/>
          <w:sz w:val="22"/>
          <w:szCs w:val="22"/>
        </w:rPr>
        <w:br/>
      </w:r>
    </w:p>
    <w:p w:rsidRPr="004F382D" w:rsidR="00CC3DCA" w:rsidP="00715FA4" w:rsidRDefault="00CC3DCA" w14:paraId="45CE5505" w14:textId="77777777">
      <w:pPr>
        <w:pStyle w:val="Kop3"/>
        <w:spacing w:after="160" w:line="240" w:lineRule="auto"/>
        <w:rPr>
          <w:rFonts w:ascii="Calibri" w:hAnsi="Calibri" w:cs="Calibri"/>
          <w:sz w:val="22"/>
          <w:szCs w:val="22"/>
        </w:rPr>
      </w:pPr>
      <w:r w:rsidRPr="004F382D">
        <w:rPr>
          <w:rFonts w:ascii="Calibri" w:hAnsi="Calibri" w:cs="Calibri"/>
          <w:sz w:val="22"/>
          <w:szCs w:val="22"/>
        </w:rPr>
        <w:t>Titel voorstel</w:t>
      </w:r>
    </w:p>
    <w:p w:rsidRPr="004F382D" w:rsidR="00C87A32" w:rsidP="00715FA4" w:rsidRDefault="00C87A32" w14:paraId="27CA7099" w14:textId="77777777">
      <w:pPr>
        <w:spacing w:after="160" w:line="240" w:lineRule="auto"/>
        <w:rPr>
          <w:rFonts w:ascii="Calibri" w:hAnsi="Calibri" w:cs="Calibri"/>
          <w:sz w:val="22"/>
          <w:szCs w:val="22"/>
        </w:rPr>
      </w:pPr>
      <w:r w:rsidRPr="004F382D">
        <w:rPr>
          <w:rFonts w:ascii="Calibri" w:hAnsi="Calibri" w:cs="Calibri"/>
          <w:sz w:val="22"/>
          <w:szCs w:val="22"/>
        </w:rPr>
        <w:t>Mededeling van de Commissie aan het Europees Parlement, de Raad, het Europees Economisch en Sociaal Comité en het Comité van de Regio’s: EU-strategie voor het maatschappelijk middenveld</w:t>
      </w:r>
    </w:p>
    <w:p w:rsidRPr="004F382D" w:rsidR="00CC3DCA" w:rsidP="00715FA4" w:rsidRDefault="00CC3DCA" w14:paraId="01DC18BA" w14:textId="77777777">
      <w:pPr>
        <w:spacing w:after="160" w:line="240" w:lineRule="auto"/>
        <w:rPr>
          <w:rFonts w:ascii="Calibri" w:hAnsi="Calibri" w:cs="Calibri"/>
          <w:sz w:val="22"/>
          <w:szCs w:val="22"/>
        </w:rPr>
      </w:pPr>
    </w:p>
    <w:p w:rsidRPr="004F382D" w:rsidR="00CC3DCA" w:rsidP="00715FA4" w:rsidRDefault="00CC3DCA" w14:paraId="73AD3D8E" w14:textId="77777777">
      <w:pPr>
        <w:pStyle w:val="Kop3"/>
        <w:spacing w:after="160" w:line="240" w:lineRule="auto"/>
        <w:rPr>
          <w:rFonts w:ascii="Calibri" w:hAnsi="Calibri" w:cs="Calibri"/>
          <w:sz w:val="22"/>
          <w:szCs w:val="22"/>
        </w:rPr>
      </w:pPr>
      <w:r w:rsidRPr="004F382D">
        <w:rPr>
          <w:rFonts w:ascii="Calibri" w:hAnsi="Calibri" w:cs="Calibri"/>
          <w:sz w:val="22"/>
          <w:szCs w:val="22"/>
        </w:rPr>
        <w:t>Datum ontvangst Commissiedocument</w:t>
      </w:r>
    </w:p>
    <w:p w:rsidRPr="004F382D" w:rsidR="00CC3DCA" w:rsidP="00715FA4" w:rsidRDefault="00A2427A" w14:paraId="581F7450" w14:textId="0EBE3666">
      <w:pPr>
        <w:spacing w:after="160" w:line="240" w:lineRule="auto"/>
        <w:rPr>
          <w:rFonts w:ascii="Calibri" w:hAnsi="Calibri" w:cs="Calibri"/>
          <w:b/>
          <w:sz w:val="22"/>
          <w:szCs w:val="22"/>
        </w:rPr>
      </w:pPr>
      <w:r w:rsidRPr="004F382D">
        <w:rPr>
          <w:rFonts w:ascii="Calibri" w:hAnsi="Calibri" w:cs="Calibri"/>
          <w:sz w:val="22"/>
          <w:szCs w:val="22"/>
        </w:rPr>
        <w:t>12 November 2025</w:t>
      </w:r>
    </w:p>
    <w:p w:rsidRPr="004F382D" w:rsidR="00CC3DCA" w:rsidP="00715FA4" w:rsidRDefault="00CC3DCA" w14:paraId="49BDF80E" w14:textId="77777777">
      <w:pPr>
        <w:spacing w:after="160" w:line="240" w:lineRule="auto"/>
        <w:rPr>
          <w:rFonts w:ascii="Calibri" w:hAnsi="Calibri" w:cs="Calibri"/>
          <w:sz w:val="22"/>
          <w:szCs w:val="22"/>
        </w:rPr>
      </w:pPr>
    </w:p>
    <w:p w:rsidRPr="004F382D" w:rsidR="00CC3DCA" w:rsidP="00715FA4" w:rsidRDefault="00CC3DCA" w14:paraId="17E20682" w14:textId="77777777">
      <w:pPr>
        <w:pStyle w:val="Kop3"/>
        <w:spacing w:after="160" w:line="240" w:lineRule="auto"/>
        <w:rPr>
          <w:rFonts w:ascii="Calibri" w:hAnsi="Calibri" w:cs="Calibri"/>
          <w:sz w:val="22"/>
          <w:szCs w:val="22"/>
        </w:rPr>
      </w:pPr>
      <w:r w:rsidRPr="004F382D">
        <w:rPr>
          <w:rFonts w:ascii="Calibri" w:hAnsi="Calibri" w:cs="Calibri"/>
          <w:sz w:val="22"/>
          <w:szCs w:val="22"/>
        </w:rPr>
        <w:t>Nr. Commissiedocument</w:t>
      </w:r>
    </w:p>
    <w:p w:rsidRPr="004F382D" w:rsidR="00A2427A" w:rsidP="00715FA4" w:rsidRDefault="00A2427A" w14:paraId="11EF32A5" w14:textId="77777777">
      <w:pPr>
        <w:spacing w:after="160" w:line="240" w:lineRule="auto"/>
        <w:rPr>
          <w:rFonts w:ascii="Calibri" w:hAnsi="Calibri" w:cs="Calibri"/>
          <w:sz w:val="22"/>
          <w:szCs w:val="22"/>
        </w:rPr>
      </w:pPr>
      <w:r w:rsidRPr="004F382D">
        <w:rPr>
          <w:rFonts w:ascii="Calibri" w:hAnsi="Calibri" w:cs="Calibri"/>
          <w:sz w:val="22"/>
          <w:szCs w:val="22"/>
        </w:rPr>
        <w:t>COM(2025) 790</w:t>
      </w:r>
    </w:p>
    <w:p w:rsidRPr="004F382D" w:rsidR="00CC3DCA" w:rsidP="00715FA4" w:rsidRDefault="00CC3DCA" w14:paraId="55F8B268" w14:textId="77777777">
      <w:pPr>
        <w:spacing w:after="160" w:line="240" w:lineRule="auto"/>
        <w:rPr>
          <w:rFonts w:ascii="Calibri" w:hAnsi="Calibri" w:cs="Calibri"/>
          <w:sz w:val="22"/>
          <w:szCs w:val="22"/>
        </w:rPr>
      </w:pPr>
    </w:p>
    <w:p w:rsidRPr="004F382D" w:rsidR="00CC3DCA" w:rsidP="00715FA4" w:rsidRDefault="00451DA2" w14:paraId="40E11E44" w14:textId="77777777">
      <w:pPr>
        <w:pStyle w:val="Kop3"/>
        <w:spacing w:after="160" w:line="240" w:lineRule="auto"/>
        <w:rPr>
          <w:rFonts w:ascii="Calibri" w:hAnsi="Calibri" w:cs="Calibri"/>
          <w:sz w:val="22"/>
          <w:szCs w:val="22"/>
        </w:rPr>
      </w:pPr>
      <w:r w:rsidRPr="004F382D">
        <w:rPr>
          <w:rFonts w:ascii="Calibri" w:hAnsi="Calibri" w:cs="Calibri"/>
          <w:sz w:val="22"/>
          <w:szCs w:val="22"/>
        </w:rPr>
        <w:t>EUR-L</w:t>
      </w:r>
      <w:r w:rsidRPr="004F382D" w:rsidR="00CC3DCA">
        <w:rPr>
          <w:rFonts w:ascii="Calibri" w:hAnsi="Calibri" w:cs="Calibri"/>
          <w:sz w:val="22"/>
          <w:szCs w:val="22"/>
        </w:rPr>
        <w:t>ex</w:t>
      </w:r>
    </w:p>
    <w:p w:rsidRPr="004F382D" w:rsidR="005E2AA1" w:rsidP="00715FA4" w:rsidRDefault="005E2AA1" w14:paraId="097C5E11" w14:textId="77777777">
      <w:pPr>
        <w:spacing w:after="160" w:line="240" w:lineRule="auto"/>
        <w:rPr>
          <w:rFonts w:ascii="Calibri" w:hAnsi="Calibri" w:cs="Calibri"/>
          <w:sz w:val="22"/>
          <w:szCs w:val="22"/>
          <w:lang w:val="fr-FR"/>
        </w:rPr>
      </w:pPr>
      <w:hyperlink w:history="1" r:id="rId11">
        <w:r w:rsidRPr="004F382D">
          <w:rPr>
            <w:rStyle w:val="Hyperlink"/>
            <w:rFonts w:ascii="Calibri" w:hAnsi="Calibri" w:cs="Calibri"/>
            <w:sz w:val="22"/>
            <w:szCs w:val="22"/>
            <w:lang w:val="fr-FR"/>
          </w:rPr>
          <w:t>EUR-Lex - 52025DC0790 - EN - EUR-Lex</w:t>
        </w:r>
      </w:hyperlink>
    </w:p>
    <w:p w:rsidRPr="004F382D" w:rsidR="00A069E5" w:rsidP="00715FA4" w:rsidRDefault="00A069E5" w14:paraId="642AB2EF" w14:textId="77777777">
      <w:pPr>
        <w:spacing w:after="160" w:line="240" w:lineRule="auto"/>
        <w:rPr>
          <w:rFonts w:ascii="Calibri" w:hAnsi="Calibri" w:cs="Calibri"/>
          <w:sz w:val="22"/>
          <w:szCs w:val="22"/>
          <w:lang w:val="fr-FR"/>
        </w:rPr>
      </w:pPr>
    </w:p>
    <w:p w:rsidRPr="004F382D" w:rsidR="00CC3DCA" w:rsidP="00715FA4" w:rsidRDefault="00CC3DCA" w14:paraId="551F6047" w14:textId="77777777">
      <w:pPr>
        <w:pStyle w:val="Kop3"/>
        <w:spacing w:after="160" w:line="240" w:lineRule="auto"/>
        <w:rPr>
          <w:rFonts w:ascii="Calibri" w:hAnsi="Calibri" w:cs="Calibri"/>
          <w:sz w:val="22"/>
          <w:szCs w:val="22"/>
        </w:rPr>
      </w:pPr>
      <w:r w:rsidRPr="004F382D">
        <w:rPr>
          <w:rFonts w:ascii="Calibri" w:hAnsi="Calibri" w:cs="Calibri"/>
          <w:sz w:val="22"/>
          <w:szCs w:val="22"/>
        </w:rPr>
        <w:t xml:space="preserve">Nr. impact assessment Commissie en Opinie </w:t>
      </w:r>
      <w:r w:rsidRPr="004F382D" w:rsidR="00B81969">
        <w:rPr>
          <w:rFonts w:ascii="Calibri" w:hAnsi="Calibri" w:cs="Calibri"/>
          <w:sz w:val="22"/>
          <w:szCs w:val="22"/>
        </w:rPr>
        <w:t xml:space="preserve">Raad voor Regelgevingstoetsing </w:t>
      </w:r>
    </w:p>
    <w:p w:rsidRPr="004F382D" w:rsidR="00433165" w:rsidP="00715FA4" w:rsidRDefault="00433165" w14:paraId="002CA894" w14:textId="16FAA59C">
      <w:pPr>
        <w:spacing w:after="160" w:line="240" w:lineRule="auto"/>
        <w:rPr>
          <w:rFonts w:ascii="Calibri" w:hAnsi="Calibri" w:cs="Calibri"/>
          <w:i/>
          <w:sz w:val="22"/>
          <w:szCs w:val="22"/>
        </w:rPr>
      </w:pPr>
      <w:r w:rsidRPr="004F382D">
        <w:rPr>
          <w:rFonts w:ascii="Calibri" w:hAnsi="Calibri" w:cs="Calibri"/>
          <w:sz w:val="22"/>
          <w:szCs w:val="22"/>
        </w:rPr>
        <w:t>Niet opgesteld</w:t>
      </w:r>
    </w:p>
    <w:p w:rsidRPr="004F382D" w:rsidR="00E11FBE" w:rsidP="00715FA4" w:rsidRDefault="00E11FBE" w14:paraId="6A2507D5" w14:textId="77777777">
      <w:pPr>
        <w:spacing w:after="160" w:line="240" w:lineRule="auto"/>
        <w:rPr>
          <w:rFonts w:ascii="Calibri" w:hAnsi="Calibri" w:cs="Calibri"/>
          <w:sz w:val="22"/>
          <w:szCs w:val="22"/>
        </w:rPr>
      </w:pPr>
    </w:p>
    <w:p w:rsidRPr="004F382D" w:rsidR="00CC3DCA" w:rsidP="00715FA4" w:rsidRDefault="00CC3DCA" w14:paraId="3941425A" w14:textId="77777777">
      <w:pPr>
        <w:pStyle w:val="Kop3"/>
        <w:spacing w:after="160" w:line="240" w:lineRule="auto"/>
        <w:rPr>
          <w:rFonts w:ascii="Calibri" w:hAnsi="Calibri" w:cs="Calibri"/>
          <w:sz w:val="22"/>
          <w:szCs w:val="22"/>
        </w:rPr>
      </w:pPr>
      <w:r w:rsidRPr="004F382D">
        <w:rPr>
          <w:rFonts w:ascii="Calibri" w:hAnsi="Calibri" w:cs="Calibri"/>
          <w:sz w:val="22"/>
          <w:szCs w:val="22"/>
        </w:rPr>
        <w:t>Behandelingstraject Raad</w:t>
      </w:r>
    </w:p>
    <w:p w:rsidRPr="004F382D" w:rsidR="00C24795" w:rsidP="00715FA4" w:rsidRDefault="00C24795" w14:paraId="53360F48" w14:textId="77777777">
      <w:pPr>
        <w:spacing w:after="160" w:line="240" w:lineRule="auto"/>
        <w:rPr>
          <w:rFonts w:ascii="Calibri" w:hAnsi="Calibri" w:cs="Calibri"/>
          <w:sz w:val="22"/>
          <w:szCs w:val="22"/>
        </w:rPr>
      </w:pPr>
      <w:r w:rsidRPr="004F382D">
        <w:rPr>
          <w:rFonts w:ascii="Calibri" w:hAnsi="Calibri" w:cs="Calibri"/>
          <w:sz w:val="22"/>
          <w:szCs w:val="22"/>
        </w:rPr>
        <w:t xml:space="preserve">Raad Algemene Zaken </w:t>
      </w:r>
    </w:p>
    <w:p w:rsidRPr="004F382D" w:rsidR="00CC3DCA" w:rsidP="00715FA4" w:rsidRDefault="00CC3DCA" w14:paraId="6A8EC4C9" w14:textId="77777777">
      <w:pPr>
        <w:spacing w:after="160" w:line="240" w:lineRule="auto"/>
        <w:rPr>
          <w:rFonts w:ascii="Calibri" w:hAnsi="Calibri" w:cs="Calibri"/>
          <w:sz w:val="22"/>
          <w:szCs w:val="22"/>
        </w:rPr>
      </w:pPr>
    </w:p>
    <w:p w:rsidRPr="004F382D" w:rsidR="00CC3DCA" w:rsidP="00715FA4" w:rsidRDefault="00CC3DCA" w14:paraId="02204870" w14:textId="77777777">
      <w:pPr>
        <w:pStyle w:val="Kop3"/>
        <w:spacing w:after="160" w:line="240" w:lineRule="auto"/>
        <w:rPr>
          <w:rFonts w:ascii="Calibri" w:hAnsi="Calibri" w:cs="Calibri"/>
          <w:sz w:val="22"/>
          <w:szCs w:val="22"/>
        </w:rPr>
      </w:pPr>
      <w:r w:rsidRPr="004F382D">
        <w:rPr>
          <w:rFonts w:ascii="Calibri" w:hAnsi="Calibri" w:cs="Calibri"/>
          <w:sz w:val="22"/>
          <w:szCs w:val="22"/>
        </w:rPr>
        <w:t>Eerstverantwoordelijk ministerie</w:t>
      </w:r>
    </w:p>
    <w:p w:rsidRPr="004F382D" w:rsidR="00C24795" w:rsidP="00715FA4" w:rsidRDefault="00C24795" w14:paraId="310C3635" w14:textId="20BA8326">
      <w:pPr>
        <w:spacing w:after="160" w:line="240" w:lineRule="auto"/>
        <w:rPr>
          <w:rFonts w:ascii="Calibri" w:hAnsi="Calibri" w:cs="Calibri"/>
          <w:sz w:val="22"/>
          <w:szCs w:val="22"/>
          <w:lang w:eastAsia="nl-NL"/>
        </w:rPr>
      </w:pPr>
      <w:r w:rsidRPr="004F382D">
        <w:rPr>
          <w:rFonts w:ascii="Calibri" w:hAnsi="Calibri" w:cs="Calibri"/>
          <w:sz w:val="22"/>
          <w:szCs w:val="22"/>
          <w:lang w:eastAsia="nl-NL"/>
        </w:rPr>
        <w:t xml:space="preserve">Ministerie van Binnenlandse Zaken en Koninkrijksrelaties in nauwe samenwerking met het ministerie van Justitie en Veiligheid </w:t>
      </w:r>
    </w:p>
    <w:p w:rsidRPr="004F382D" w:rsidR="00C87A32" w:rsidP="00715FA4" w:rsidRDefault="00C87A32" w14:paraId="34CABFBD" w14:textId="77777777">
      <w:pPr>
        <w:spacing w:after="160" w:line="240" w:lineRule="auto"/>
        <w:rPr>
          <w:rFonts w:ascii="Calibri" w:hAnsi="Calibri" w:cs="Calibri"/>
          <w:sz w:val="22"/>
          <w:szCs w:val="22"/>
          <w:lang w:eastAsia="nl-NL"/>
        </w:rPr>
      </w:pPr>
    </w:p>
    <w:p w:rsidRPr="004F382D" w:rsidR="00B86D11" w:rsidP="00715FA4" w:rsidRDefault="00C87A32" w14:paraId="1DD3D098" w14:textId="05F81CF9">
      <w:pPr>
        <w:pStyle w:val="Kop2"/>
        <w:spacing w:after="160" w:line="240" w:lineRule="auto"/>
        <w:rPr>
          <w:rFonts w:ascii="Calibri" w:hAnsi="Calibri" w:cs="Calibri"/>
          <w:sz w:val="22"/>
          <w:szCs w:val="22"/>
        </w:rPr>
      </w:pPr>
      <w:r w:rsidRPr="004F382D">
        <w:rPr>
          <w:rFonts w:ascii="Calibri" w:hAnsi="Calibri" w:cs="Calibri"/>
          <w:sz w:val="22"/>
          <w:szCs w:val="22"/>
        </w:rPr>
        <w:t xml:space="preserve"> </w:t>
      </w:r>
      <w:r w:rsidRPr="004F382D" w:rsidR="00CC3DCA">
        <w:rPr>
          <w:rFonts w:ascii="Calibri" w:hAnsi="Calibri" w:cs="Calibri"/>
          <w:sz w:val="22"/>
          <w:szCs w:val="22"/>
        </w:rPr>
        <w:t>Essentie voorstel</w:t>
      </w:r>
    </w:p>
    <w:p w:rsidRPr="004F382D" w:rsidR="00B42558" w:rsidP="00715FA4" w:rsidRDefault="00FE7687" w14:paraId="21373A41" w14:textId="3955F656">
      <w:pPr>
        <w:spacing w:after="160" w:line="240" w:lineRule="auto"/>
        <w:rPr>
          <w:rFonts w:ascii="Calibri" w:hAnsi="Calibri" w:cs="Calibri"/>
          <w:sz w:val="22"/>
          <w:szCs w:val="22"/>
        </w:rPr>
      </w:pPr>
      <w:r w:rsidRPr="004F382D">
        <w:rPr>
          <w:rFonts w:ascii="Calibri" w:hAnsi="Calibri" w:cs="Calibri"/>
          <w:sz w:val="22"/>
          <w:szCs w:val="22"/>
        </w:rPr>
        <w:t>Op</w:t>
      </w:r>
      <w:r w:rsidRPr="004F382D" w:rsidR="00F877E3">
        <w:rPr>
          <w:rFonts w:ascii="Calibri" w:hAnsi="Calibri" w:cs="Calibri"/>
          <w:sz w:val="22"/>
          <w:szCs w:val="22"/>
        </w:rPr>
        <w:t xml:space="preserve"> 12 november 2025 </w:t>
      </w:r>
      <w:r w:rsidRPr="004F382D">
        <w:rPr>
          <w:rFonts w:ascii="Calibri" w:hAnsi="Calibri" w:cs="Calibri"/>
          <w:sz w:val="22"/>
          <w:szCs w:val="22"/>
        </w:rPr>
        <w:t xml:space="preserve">heeft de Europese Commissie </w:t>
      </w:r>
      <w:r w:rsidRPr="004F382D" w:rsidR="00106930">
        <w:rPr>
          <w:rFonts w:ascii="Calibri" w:hAnsi="Calibri" w:cs="Calibri"/>
          <w:sz w:val="22"/>
          <w:szCs w:val="22"/>
        </w:rPr>
        <w:t xml:space="preserve">(hierna: Commissie) </w:t>
      </w:r>
      <w:r w:rsidRPr="004F382D">
        <w:rPr>
          <w:rFonts w:ascii="Calibri" w:hAnsi="Calibri" w:cs="Calibri"/>
          <w:sz w:val="22"/>
          <w:szCs w:val="22"/>
        </w:rPr>
        <w:t>het</w:t>
      </w:r>
      <w:r w:rsidRPr="004F382D" w:rsidR="00F877E3">
        <w:rPr>
          <w:rFonts w:ascii="Calibri" w:hAnsi="Calibri" w:cs="Calibri"/>
          <w:sz w:val="22"/>
          <w:szCs w:val="22"/>
        </w:rPr>
        <w:t xml:space="preserve"> ‘</w:t>
      </w:r>
      <w:r w:rsidRPr="004F382D" w:rsidR="00F877E3">
        <w:rPr>
          <w:rFonts w:ascii="Calibri" w:hAnsi="Calibri" w:cs="Calibri"/>
          <w:i/>
          <w:iCs w:val="0"/>
          <w:sz w:val="22"/>
          <w:szCs w:val="22"/>
        </w:rPr>
        <w:t>European Democracy Shield</w:t>
      </w:r>
      <w:r w:rsidRPr="004F382D" w:rsidR="00F877E3">
        <w:rPr>
          <w:rFonts w:ascii="Calibri" w:hAnsi="Calibri" w:cs="Calibri"/>
          <w:sz w:val="22"/>
          <w:szCs w:val="22"/>
        </w:rPr>
        <w:t xml:space="preserve">’ </w:t>
      </w:r>
      <w:r w:rsidRPr="004F382D" w:rsidR="00B42558">
        <w:rPr>
          <w:rFonts w:ascii="Calibri" w:hAnsi="Calibri" w:cs="Calibri"/>
          <w:sz w:val="22"/>
          <w:szCs w:val="22"/>
        </w:rPr>
        <w:t xml:space="preserve">(hierna: EUDS) </w:t>
      </w:r>
      <w:r w:rsidRPr="004F382D" w:rsidR="0056415C">
        <w:rPr>
          <w:rFonts w:ascii="Calibri" w:hAnsi="Calibri" w:cs="Calibri"/>
          <w:sz w:val="22"/>
          <w:szCs w:val="22"/>
        </w:rPr>
        <w:t xml:space="preserve">en de </w:t>
      </w:r>
      <w:r w:rsidRPr="004F382D" w:rsidR="00B42558">
        <w:rPr>
          <w:rFonts w:ascii="Calibri" w:hAnsi="Calibri" w:cs="Calibri"/>
          <w:sz w:val="22"/>
          <w:szCs w:val="22"/>
        </w:rPr>
        <w:t>EU</w:t>
      </w:r>
      <w:r w:rsidRPr="004F382D" w:rsidR="00C87A32">
        <w:rPr>
          <w:rFonts w:ascii="Calibri" w:hAnsi="Calibri" w:cs="Calibri"/>
          <w:sz w:val="22"/>
          <w:szCs w:val="22"/>
        </w:rPr>
        <w:t>-</w:t>
      </w:r>
      <w:r w:rsidRPr="004F382D" w:rsidR="00B42558">
        <w:rPr>
          <w:rFonts w:ascii="Calibri" w:hAnsi="Calibri" w:cs="Calibri"/>
          <w:sz w:val="22"/>
          <w:szCs w:val="22"/>
        </w:rPr>
        <w:t xml:space="preserve">strategie voor het maatschappelijk middenveld (hierna: de strategie) </w:t>
      </w:r>
      <w:r w:rsidRPr="004F382D" w:rsidR="00F877E3">
        <w:rPr>
          <w:rFonts w:ascii="Calibri" w:hAnsi="Calibri" w:cs="Calibri"/>
          <w:sz w:val="22"/>
          <w:szCs w:val="22"/>
        </w:rPr>
        <w:t xml:space="preserve">gepresenteerd. </w:t>
      </w:r>
      <w:r w:rsidRPr="004F382D" w:rsidR="0056415C">
        <w:rPr>
          <w:rFonts w:ascii="Calibri" w:hAnsi="Calibri" w:cs="Calibri"/>
          <w:sz w:val="22"/>
          <w:szCs w:val="22"/>
        </w:rPr>
        <w:t>Beiden zijn eerder dit jaar aangekondigd in de politieke beleidslijnen en in de Sta</w:t>
      </w:r>
      <w:r w:rsidRPr="004F382D" w:rsidR="00B42558">
        <w:rPr>
          <w:rFonts w:ascii="Calibri" w:hAnsi="Calibri" w:cs="Calibri"/>
          <w:sz w:val="22"/>
          <w:szCs w:val="22"/>
        </w:rPr>
        <w:t>at</w:t>
      </w:r>
      <w:r w:rsidRPr="004F382D" w:rsidR="0056415C">
        <w:rPr>
          <w:rFonts w:ascii="Calibri" w:hAnsi="Calibri" w:cs="Calibri"/>
          <w:sz w:val="22"/>
          <w:szCs w:val="22"/>
        </w:rPr>
        <w:t xml:space="preserve"> </w:t>
      </w:r>
      <w:r w:rsidRPr="004F382D" w:rsidR="00B42558">
        <w:rPr>
          <w:rFonts w:ascii="Calibri" w:hAnsi="Calibri" w:cs="Calibri"/>
          <w:sz w:val="22"/>
          <w:szCs w:val="22"/>
        </w:rPr>
        <w:t>van de</w:t>
      </w:r>
      <w:r w:rsidRPr="004F382D" w:rsidR="0056415C">
        <w:rPr>
          <w:rFonts w:ascii="Calibri" w:hAnsi="Calibri" w:cs="Calibri"/>
          <w:sz w:val="22"/>
          <w:szCs w:val="22"/>
        </w:rPr>
        <w:t xml:space="preserve"> </w:t>
      </w:r>
      <w:r w:rsidRPr="004F382D" w:rsidR="00B42558">
        <w:rPr>
          <w:rFonts w:ascii="Calibri" w:hAnsi="Calibri" w:cs="Calibri"/>
          <w:sz w:val="22"/>
          <w:szCs w:val="22"/>
        </w:rPr>
        <w:t>Unie</w:t>
      </w:r>
      <w:r w:rsidRPr="004F382D" w:rsidR="0056415C">
        <w:rPr>
          <w:rFonts w:ascii="Calibri" w:hAnsi="Calibri" w:cs="Calibri"/>
          <w:sz w:val="22"/>
          <w:szCs w:val="22"/>
        </w:rPr>
        <w:t xml:space="preserve">, uitgesproken door </w:t>
      </w:r>
      <w:r w:rsidRPr="004F382D" w:rsidR="002657B1">
        <w:rPr>
          <w:rFonts w:ascii="Calibri" w:hAnsi="Calibri" w:cs="Calibri"/>
          <w:sz w:val="22"/>
          <w:szCs w:val="22"/>
        </w:rPr>
        <w:t xml:space="preserve">de </w:t>
      </w:r>
      <w:r w:rsidRPr="004F382D" w:rsidR="0056415C">
        <w:rPr>
          <w:rFonts w:ascii="Calibri" w:hAnsi="Calibri" w:cs="Calibri"/>
          <w:sz w:val="22"/>
          <w:szCs w:val="22"/>
        </w:rPr>
        <w:t xml:space="preserve">voorzitter van de Commissie, Ursula </w:t>
      </w:r>
      <w:r w:rsidRPr="004F382D" w:rsidR="00B42558">
        <w:rPr>
          <w:rFonts w:ascii="Calibri" w:hAnsi="Calibri" w:cs="Calibri"/>
          <w:sz w:val="22"/>
          <w:szCs w:val="22"/>
        </w:rPr>
        <w:t>v</w:t>
      </w:r>
      <w:r w:rsidRPr="004F382D" w:rsidR="0056415C">
        <w:rPr>
          <w:rFonts w:ascii="Calibri" w:hAnsi="Calibri" w:cs="Calibri"/>
          <w:sz w:val="22"/>
          <w:szCs w:val="22"/>
        </w:rPr>
        <w:t xml:space="preserve">on der Leyen. In het </w:t>
      </w:r>
      <w:r w:rsidRPr="004F382D" w:rsidR="00B42558">
        <w:rPr>
          <w:rFonts w:ascii="Calibri" w:hAnsi="Calibri" w:cs="Calibri"/>
          <w:sz w:val="22"/>
          <w:szCs w:val="22"/>
        </w:rPr>
        <w:t xml:space="preserve">EUDS </w:t>
      </w:r>
      <w:r w:rsidRPr="004F382D" w:rsidR="002917F1">
        <w:rPr>
          <w:rFonts w:ascii="Calibri" w:hAnsi="Calibri" w:cs="Calibri"/>
          <w:sz w:val="22"/>
          <w:szCs w:val="22"/>
        </w:rPr>
        <w:t xml:space="preserve">wordt </w:t>
      </w:r>
      <w:r w:rsidRPr="004F382D" w:rsidR="00F877E3">
        <w:rPr>
          <w:rFonts w:ascii="Calibri" w:hAnsi="Calibri" w:cs="Calibri"/>
          <w:sz w:val="22"/>
          <w:szCs w:val="22"/>
        </w:rPr>
        <w:t>een reeks</w:t>
      </w:r>
      <w:r w:rsidRPr="004F382D" w:rsidR="002917F1">
        <w:rPr>
          <w:rFonts w:ascii="Calibri" w:hAnsi="Calibri" w:cs="Calibri"/>
          <w:sz w:val="22"/>
          <w:szCs w:val="22"/>
        </w:rPr>
        <w:t xml:space="preserve"> </w:t>
      </w:r>
      <w:r w:rsidRPr="004F382D" w:rsidR="00F877E3">
        <w:rPr>
          <w:rFonts w:ascii="Calibri" w:hAnsi="Calibri" w:cs="Calibri"/>
          <w:sz w:val="22"/>
          <w:szCs w:val="22"/>
        </w:rPr>
        <w:t>maatregelen</w:t>
      </w:r>
      <w:r w:rsidRPr="004F382D" w:rsidR="002917F1">
        <w:rPr>
          <w:rFonts w:ascii="Calibri" w:hAnsi="Calibri" w:cs="Calibri"/>
          <w:sz w:val="22"/>
          <w:szCs w:val="22"/>
        </w:rPr>
        <w:t xml:space="preserve"> en initiatieven</w:t>
      </w:r>
      <w:r w:rsidRPr="004F382D" w:rsidR="00F877E3">
        <w:rPr>
          <w:rFonts w:ascii="Calibri" w:hAnsi="Calibri" w:cs="Calibri"/>
          <w:sz w:val="22"/>
          <w:szCs w:val="22"/>
        </w:rPr>
        <w:t xml:space="preserve"> gepresenteerd ter bescherming en bevordering van sterke en veerkrachtige democratieën in heel Europa</w:t>
      </w:r>
      <w:r w:rsidRPr="004F382D" w:rsidR="00B212B6">
        <w:rPr>
          <w:rFonts w:ascii="Calibri" w:hAnsi="Calibri" w:cs="Calibri"/>
          <w:sz w:val="22"/>
          <w:szCs w:val="22"/>
        </w:rPr>
        <w:t>.</w:t>
      </w:r>
      <w:r w:rsidRPr="004F382D" w:rsidR="00A0782E">
        <w:rPr>
          <w:rFonts w:ascii="Calibri" w:hAnsi="Calibri" w:cs="Calibri"/>
          <w:sz w:val="22"/>
          <w:szCs w:val="22"/>
        </w:rPr>
        <w:t xml:space="preserve"> Het EUDS zal in een apart BNC-fiche behandeld worden. In dit BNC fiche zal de strategie behandeld worden. </w:t>
      </w:r>
    </w:p>
    <w:p w:rsidRPr="004F382D" w:rsidR="00B42558" w:rsidP="00715FA4" w:rsidRDefault="00B42558" w14:paraId="202C8112" w14:textId="77777777">
      <w:pPr>
        <w:spacing w:after="160" w:line="240" w:lineRule="auto"/>
        <w:rPr>
          <w:rFonts w:ascii="Calibri" w:hAnsi="Calibri" w:cs="Calibri"/>
          <w:sz w:val="22"/>
          <w:szCs w:val="22"/>
        </w:rPr>
      </w:pPr>
    </w:p>
    <w:p w:rsidRPr="004F382D" w:rsidR="00F877E3" w:rsidP="00715FA4" w:rsidRDefault="001B129B" w14:paraId="036A123C" w14:textId="6294FED2">
      <w:pPr>
        <w:spacing w:after="160" w:line="240" w:lineRule="auto"/>
        <w:rPr>
          <w:rFonts w:ascii="Calibri" w:hAnsi="Calibri" w:cs="Calibri"/>
          <w:sz w:val="22"/>
          <w:szCs w:val="22"/>
        </w:rPr>
      </w:pPr>
      <w:r w:rsidRPr="004F382D">
        <w:rPr>
          <w:rFonts w:ascii="Calibri" w:hAnsi="Calibri" w:cs="Calibri"/>
          <w:sz w:val="22"/>
          <w:szCs w:val="22"/>
        </w:rPr>
        <w:lastRenderedPageBreak/>
        <w:t xml:space="preserve">De </w:t>
      </w:r>
      <w:r w:rsidRPr="004F382D" w:rsidR="009108E3">
        <w:rPr>
          <w:rFonts w:ascii="Calibri" w:hAnsi="Calibri" w:cs="Calibri"/>
          <w:sz w:val="22"/>
          <w:szCs w:val="22"/>
        </w:rPr>
        <w:t>C</w:t>
      </w:r>
      <w:r w:rsidRPr="004F382D">
        <w:rPr>
          <w:rFonts w:ascii="Calibri" w:hAnsi="Calibri" w:cs="Calibri"/>
          <w:sz w:val="22"/>
          <w:szCs w:val="22"/>
        </w:rPr>
        <w:t>ommissie stelt dat een</w:t>
      </w:r>
      <w:r w:rsidRPr="004F382D" w:rsidR="00F877E3">
        <w:rPr>
          <w:rFonts w:ascii="Calibri" w:hAnsi="Calibri" w:cs="Calibri"/>
          <w:sz w:val="22"/>
          <w:szCs w:val="22"/>
        </w:rPr>
        <w:t xml:space="preserve"> </w:t>
      </w:r>
      <w:r w:rsidRPr="004F382D">
        <w:rPr>
          <w:rFonts w:ascii="Calibri" w:hAnsi="Calibri" w:cs="Calibri"/>
          <w:sz w:val="22"/>
          <w:szCs w:val="22"/>
        </w:rPr>
        <w:t>krachtig</w:t>
      </w:r>
      <w:r w:rsidRPr="004F382D" w:rsidR="00F877E3">
        <w:rPr>
          <w:rFonts w:ascii="Calibri" w:hAnsi="Calibri" w:cs="Calibri"/>
          <w:sz w:val="22"/>
          <w:szCs w:val="22"/>
        </w:rPr>
        <w:t xml:space="preserve"> maatschappelijk middenveld</w:t>
      </w:r>
      <w:r w:rsidRPr="004F382D" w:rsidR="00E536D1">
        <w:rPr>
          <w:rFonts w:ascii="Calibri" w:hAnsi="Calibri" w:cs="Calibri"/>
          <w:sz w:val="22"/>
          <w:szCs w:val="22"/>
        </w:rPr>
        <w:t xml:space="preserve"> bestaande </w:t>
      </w:r>
      <w:r w:rsidRPr="004F382D" w:rsidR="00B42558">
        <w:rPr>
          <w:rFonts w:ascii="Calibri" w:hAnsi="Calibri" w:cs="Calibri"/>
          <w:sz w:val="22"/>
          <w:szCs w:val="22"/>
        </w:rPr>
        <w:t xml:space="preserve">uit </w:t>
      </w:r>
      <w:r w:rsidRPr="004F382D" w:rsidR="00E536D1">
        <w:rPr>
          <w:rFonts w:ascii="Calibri" w:hAnsi="Calibri" w:cs="Calibri"/>
          <w:sz w:val="22"/>
          <w:szCs w:val="22"/>
        </w:rPr>
        <w:t>onder andere maatschappelijke organisaties</w:t>
      </w:r>
      <w:r w:rsidRPr="004F382D" w:rsidR="00F877E3">
        <w:rPr>
          <w:rFonts w:ascii="Calibri" w:hAnsi="Calibri" w:cs="Calibri"/>
          <w:sz w:val="22"/>
          <w:szCs w:val="22"/>
        </w:rPr>
        <w:t xml:space="preserve"> </w:t>
      </w:r>
      <w:r w:rsidRPr="004F382D" w:rsidR="00E536D1">
        <w:rPr>
          <w:rFonts w:ascii="Calibri" w:hAnsi="Calibri" w:cs="Calibri"/>
          <w:sz w:val="22"/>
          <w:szCs w:val="22"/>
        </w:rPr>
        <w:t xml:space="preserve">en mensenrechtenverdedigers </w:t>
      </w:r>
      <w:r w:rsidRPr="004F382D">
        <w:rPr>
          <w:rFonts w:ascii="Calibri" w:hAnsi="Calibri" w:cs="Calibri"/>
          <w:sz w:val="22"/>
          <w:szCs w:val="22"/>
        </w:rPr>
        <w:t xml:space="preserve">een belangrijke voorwaarde is voor een sterke </w:t>
      </w:r>
      <w:r w:rsidRPr="004F382D" w:rsidR="00F877E3">
        <w:rPr>
          <w:rFonts w:ascii="Calibri" w:hAnsi="Calibri" w:cs="Calibri"/>
          <w:sz w:val="22"/>
          <w:szCs w:val="22"/>
        </w:rPr>
        <w:t xml:space="preserve">democratie. Daarom heeft de Commissie in aanvulling op het </w:t>
      </w:r>
      <w:r w:rsidRPr="004F382D" w:rsidR="00B42558">
        <w:rPr>
          <w:rFonts w:ascii="Calibri" w:hAnsi="Calibri" w:cs="Calibri"/>
          <w:sz w:val="22"/>
          <w:szCs w:val="22"/>
        </w:rPr>
        <w:t>EUDS</w:t>
      </w:r>
      <w:r w:rsidRPr="004F382D" w:rsidR="002917F1">
        <w:rPr>
          <w:rFonts w:ascii="Calibri" w:hAnsi="Calibri" w:cs="Calibri"/>
          <w:sz w:val="22"/>
          <w:szCs w:val="22"/>
        </w:rPr>
        <w:t>,</w:t>
      </w:r>
      <w:r w:rsidRPr="004F382D" w:rsidR="00F877E3">
        <w:rPr>
          <w:rFonts w:ascii="Calibri" w:hAnsi="Calibri" w:cs="Calibri"/>
          <w:sz w:val="22"/>
          <w:szCs w:val="22"/>
        </w:rPr>
        <w:t xml:space="preserve"> ook </w:t>
      </w:r>
      <w:r w:rsidRPr="004F382D" w:rsidR="00B42558">
        <w:rPr>
          <w:rFonts w:ascii="Calibri" w:hAnsi="Calibri" w:cs="Calibri"/>
          <w:sz w:val="22"/>
          <w:szCs w:val="22"/>
        </w:rPr>
        <w:t xml:space="preserve">de </w:t>
      </w:r>
      <w:r w:rsidRPr="004F382D" w:rsidR="00F877E3">
        <w:rPr>
          <w:rFonts w:ascii="Calibri" w:hAnsi="Calibri" w:cs="Calibri"/>
          <w:sz w:val="22"/>
          <w:szCs w:val="22"/>
        </w:rPr>
        <w:t xml:space="preserve">strategie opgesteld. Deze strategie richt zich op het </w:t>
      </w:r>
      <w:r w:rsidRPr="004F382D" w:rsidR="00146DC7">
        <w:rPr>
          <w:rFonts w:ascii="Calibri" w:hAnsi="Calibri" w:cs="Calibri"/>
          <w:sz w:val="22"/>
          <w:szCs w:val="22"/>
        </w:rPr>
        <w:t>versterken</w:t>
      </w:r>
      <w:r w:rsidRPr="004F382D" w:rsidR="00F877E3">
        <w:rPr>
          <w:rFonts w:ascii="Calibri" w:hAnsi="Calibri" w:cs="Calibri"/>
          <w:sz w:val="22"/>
          <w:szCs w:val="22"/>
        </w:rPr>
        <w:t xml:space="preserve"> van de betrokkenheid, bescherming</w:t>
      </w:r>
      <w:r w:rsidRPr="004F382D" w:rsidR="007E65B1">
        <w:rPr>
          <w:rFonts w:ascii="Calibri" w:hAnsi="Calibri" w:cs="Calibri"/>
          <w:sz w:val="22"/>
          <w:szCs w:val="22"/>
        </w:rPr>
        <w:t>,</w:t>
      </w:r>
      <w:r w:rsidRPr="004F382D" w:rsidR="00F877E3">
        <w:rPr>
          <w:rFonts w:ascii="Calibri" w:hAnsi="Calibri" w:cs="Calibri"/>
          <w:sz w:val="22"/>
          <w:szCs w:val="22"/>
        </w:rPr>
        <w:t xml:space="preserve"> ondersteuning </w:t>
      </w:r>
      <w:r w:rsidRPr="004F382D" w:rsidR="007E65B1">
        <w:rPr>
          <w:rFonts w:ascii="Calibri" w:hAnsi="Calibri" w:cs="Calibri"/>
          <w:sz w:val="22"/>
          <w:szCs w:val="22"/>
        </w:rPr>
        <w:t xml:space="preserve">en financiering </w:t>
      </w:r>
      <w:r w:rsidRPr="004F382D" w:rsidR="00F877E3">
        <w:rPr>
          <w:rFonts w:ascii="Calibri" w:hAnsi="Calibri" w:cs="Calibri"/>
          <w:sz w:val="22"/>
          <w:szCs w:val="22"/>
        </w:rPr>
        <w:t>van maatschappelijke organisaties</w:t>
      </w:r>
      <w:r w:rsidRPr="004F382D" w:rsidR="00E536D1">
        <w:rPr>
          <w:rFonts w:ascii="Calibri" w:hAnsi="Calibri" w:cs="Calibri"/>
          <w:sz w:val="22"/>
          <w:szCs w:val="22"/>
        </w:rPr>
        <w:t xml:space="preserve"> en mensenrechtenverdedigers</w:t>
      </w:r>
      <w:r w:rsidRPr="004F382D" w:rsidR="0056415C">
        <w:rPr>
          <w:rFonts w:ascii="Calibri" w:hAnsi="Calibri" w:cs="Calibri"/>
          <w:sz w:val="22"/>
          <w:szCs w:val="22"/>
        </w:rPr>
        <w:t xml:space="preserve">, zowel op Europees niveau, </w:t>
      </w:r>
      <w:r w:rsidRPr="004F382D" w:rsidR="00575B1C">
        <w:rPr>
          <w:rFonts w:ascii="Calibri" w:hAnsi="Calibri" w:cs="Calibri"/>
          <w:sz w:val="22"/>
          <w:szCs w:val="22"/>
        </w:rPr>
        <w:t xml:space="preserve">in EU-extern beleid </w:t>
      </w:r>
      <w:r w:rsidRPr="004F382D" w:rsidR="0056415C">
        <w:rPr>
          <w:rFonts w:ascii="Calibri" w:hAnsi="Calibri" w:cs="Calibri"/>
          <w:sz w:val="22"/>
          <w:szCs w:val="22"/>
        </w:rPr>
        <w:t>als in de afzonderlijke lidstaten</w:t>
      </w:r>
      <w:r w:rsidRPr="004F382D" w:rsidR="00745CB7">
        <w:rPr>
          <w:rFonts w:ascii="Calibri" w:hAnsi="Calibri" w:cs="Calibri"/>
          <w:sz w:val="22"/>
          <w:szCs w:val="22"/>
        </w:rPr>
        <w:t xml:space="preserve"> en kandidaat-lidstaten</w:t>
      </w:r>
      <w:r w:rsidRPr="004F382D" w:rsidR="00F877E3">
        <w:rPr>
          <w:rFonts w:ascii="Calibri" w:hAnsi="Calibri" w:cs="Calibri"/>
          <w:sz w:val="22"/>
          <w:szCs w:val="22"/>
        </w:rPr>
        <w:t>.</w:t>
      </w:r>
      <w:r w:rsidRPr="004F382D">
        <w:rPr>
          <w:rFonts w:ascii="Calibri" w:hAnsi="Calibri" w:cs="Calibri"/>
          <w:sz w:val="22"/>
          <w:szCs w:val="22"/>
        </w:rPr>
        <w:t xml:space="preserve"> </w:t>
      </w:r>
    </w:p>
    <w:p w:rsidRPr="004F382D" w:rsidR="00B640B1" w:rsidP="00715FA4" w:rsidRDefault="00B640B1" w14:paraId="1A25DE12" w14:textId="77777777">
      <w:pPr>
        <w:spacing w:after="160" w:line="240" w:lineRule="auto"/>
        <w:rPr>
          <w:rFonts w:ascii="Calibri" w:hAnsi="Calibri" w:cs="Calibri"/>
          <w:sz w:val="22"/>
          <w:szCs w:val="22"/>
          <w:lang w:eastAsia="nl-NL"/>
        </w:rPr>
      </w:pPr>
    </w:p>
    <w:p w:rsidRPr="004F382D" w:rsidR="005A7219" w:rsidP="00715FA4" w:rsidRDefault="003C0DA9" w14:paraId="1D6978C0" w14:textId="32BE4E1F">
      <w:pPr>
        <w:spacing w:after="160" w:line="240" w:lineRule="auto"/>
        <w:rPr>
          <w:rFonts w:ascii="Calibri" w:hAnsi="Calibri" w:cs="Calibri"/>
          <w:sz w:val="22"/>
          <w:szCs w:val="22"/>
          <w:lang w:eastAsia="nl-NL"/>
        </w:rPr>
      </w:pPr>
      <w:r w:rsidRPr="004F382D">
        <w:rPr>
          <w:rFonts w:ascii="Calibri" w:hAnsi="Calibri" w:cs="Calibri"/>
          <w:sz w:val="22"/>
          <w:szCs w:val="22"/>
          <w:lang w:eastAsia="nl-NL"/>
        </w:rPr>
        <w:t>De strategie rust op drie hoofddoelstellingen</w:t>
      </w:r>
      <w:r w:rsidRPr="004F382D" w:rsidR="00B640B1">
        <w:rPr>
          <w:rFonts w:ascii="Calibri" w:hAnsi="Calibri" w:cs="Calibri"/>
          <w:sz w:val="22"/>
          <w:szCs w:val="22"/>
          <w:lang w:eastAsia="nl-NL"/>
        </w:rPr>
        <w:t xml:space="preserve">. Allereerst richt de Commissie zich op </w:t>
      </w:r>
      <w:r w:rsidRPr="004F382D" w:rsidR="00FC6589">
        <w:rPr>
          <w:rFonts w:ascii="Calibri" w:hAnsi="Calibri" w:cs="Calibri"/>
          <w:sz w:val="22"/>
          <w:szCs w:val="22"/>
          <w:lang w:eastAsia="nl-NL"/>
        </w:rPr>
        <w:t xml:space="preserve">het versterken van effectieve en betekenisvolle </w:t>
      </w:r>
      <w:r w:rsidRPr="004F382D" w:rsidR="00575B1C">
        <w:rPr>
          <w:rFonts w:ascii="Calibri" w:hAnsi="Calibri" w:cs="Calibri"/>
          <w:sz w:val="22"/>
          <w:szCs w:val="22"/>
          <w:lang w:eastAsia="nl-NL"/>
        </w:rPr>
        <w:t xml:space="preserve">participatie </w:t>
      </w:r>
      <w:r w:rsidRPr="004F382D" w:rsidR="00FC6589">
        <w:rPr>
          <w:rFonts w:ascii="Calibri" w:hAnsi="Calibri" w:cs="Calibri"/>
          <w:sz w:val="22"/>
          <w:szCs w:val="22"/>
          <w:lang w:eastAsia="nl-NL"/>
        </w:rPr>
        <w:t xml:space="preserve">van het maatschappelijk middenveld als </w:t>
      </w:r>
      <w:r w:rsidRPr="004F382D" w:rsidR="00AE7281">
        <w:rPr>
          <w:rFonts w:ascii="Calibri" w:hAnsi="Calibri" w:cs="Calibri"/>
          <w:sz w:val="22"/>
          <w:szCs w:val="22"/>
          <w:lang w:eastAsia="nl-NL"/>
        </w:rPr>
        <w:t>partner in bestuur</w:t>
      </w:r>
      <w:r w:rsidRPr="004F382D" w:rsidR="00B640B1">
        <w:rPr>
          <w:rFonts w:ascii="Calibri" w:hAnsi="Calibri" w:cs="Calibri"/>
          <w:sz w:val="22"/>
          <w:szCs w:val="22"/>
          <w:lang w:eastAsia="nl-NL"/>
        </w:rPr>
        <w:t>.</w:t>
      </w:r>
      <w:r w:rsidRPr="004F382D" w:rsidR="00FC6589">
        <w:rPr>
          <w:rFonts w:ascii="Calibri" w:hAnsi="Calibri" w:cs="Calibri"/>
          <w:sz w:val="22"/>
          <w:szCs w:val="22"/>
          <w:lang w:eastAsia="nl-NL"/>
        </w:rPr>
        <w:t xml:space="preserve"> Om hier invulling aan te geven zal er in</w:t>
      </w:r>
      <w:r w:rsidRPr="004F382D" w:rsidR="00B640B1">
        <w:rPr>
          <w:rFonts w:ascii="Calibri" w:hAnsi="Calibri" w:cs="Calibri"/>
          <w:sz w:val="22"/>
          <w:szCs w:val="22"/>
          <w:lang w:eastAsia="nl-NL"/>
        </w:rPr>
        <w:t xml:space="preserve"> 2026 een nieuw platform worden opgericht ter </w:t>
      </w:r>
      <w:r w:rsidRPr="004F382D" w:rsidR="00FC6589">
        <w:rPr>
          <w:rFonts w:ascii="Calibri" w:hAnsi="Calibri" w:cs="Calibri"/>
          <w:sz w:val="22"/>
          <w:szCs w:val="22"/>
          <w:lang w:eastAsia="nl-NL"/>
        </w:rPr>
        <w:t xml:space="preserve">bevordering van </w:t>
      </w:r>
      <w:r w:rsidRPr="004F382D" w:rsidR="009108E3">
        <w:rPr>
          <w:rFonts w:ascii="Calibri" w:hAnsi="Calibri" w:cs="Calibri"/>
          <w:sz w:val="22"/>
          <w:szCs w:val="22"/>
          <w:lang w:eastAsia="nl-NL"/>
        </w:rPr>
        <w:t xml:space="preserve">de </w:t>
      </w:r>
      <w:r w:rsidRPr="004F382D" w:rsidR="00FC6589">
        <w:rPr>
          <w:rFonts w:ascii="Calibri" w:hAnsi="Calibri" w:cs="Calibri"/>
          <w:sz w:val="22"/>
          <w:szCs w:val="22"/>
          <w:lang w:eastAsia="nl-NL"/>
        </w:rPr>
        <w:t xml:space="preserve">structurele dialoog tussen het maatschappelijk middenveld en </w:t>
      </w:r>
      <w:r w:rsidRPr="004F382D" w:rsidR="004731ED">
        <w:rPr>
          <w:rFonts w:ascii="Calibri" w:hAnsi="Calibri" w:cs="Calibri"/>
          <w:sz w:val="22"/>
          <w:szCs w:val="22"/>
          <w:lang w:eastAsia="nl-NL"/>
        </w:rPr>
        <w:t xml:space="preserve">de Commissie. Ook formuleert de strategie </w:t>
      </w:r>
      <w:r w:rsidRPr="004F382D" w:rsidR="00F21A37">
        <w:rPr>
          <w:rFonts w:ascii="Calibri" w:hAnsi="Calibri" w:cs="Calibri"/>
          <w:sz w:val="22"/>
          <w:szCs w:val="22"/>
          <w:lang w:eastAsia="nl-NL"/>
        </w:rPr>
        <w:t xml:space="preserve">tien </w:t>
      </w:r>
      <w:r w:rsidRPr="004F382D" w:rsidR="004731ED">
        <w:rPr>
          <w:rFonts w:ascii="Calibri" w:hAnsi="Calibri" w:cs="Calibri"/>
          <w:sz w:val="22"/>
          <w:szCs w:val="22"/>
          <w:lang w:eastAsia="nl-NL"/>
        </w:rPr>
        <w:t>leidende principes voor dialoog met het maatschappelijk middenveld</w:t>
      </w:r>
      <w:r w:rsidRPr="004F382D" w:rsidR="005A7219">
        <w:rPr>
          <w:rFonts w:ascii="Calibri" w:hAnsi="Calibri" w:cs="Calibri"/>
          <w:sz w:val="22"/>
          <w:szCs w:val="22"/>
          <w:lang w:eastAsia="nl-NL"/>
        </w:rPr>
        <w:t>. Nadruk ligt hierbij op belangrijke parameters voor dialoog zoals partnerschap, transparantie, vertegenwoordiging</w:t>
      </w:r>
      <w:r w:rsidRPr="004F382D" w:rsidR="00DF0892">
        <w:rPr>
          <w:rFonts w:ascii="Calibri" w:hAnsi="Calibri" w:cs="Calibri"/>
          <w:sz w:val="22"/>
          <w:szCs w:val="22"/>
          <w:lang w:eastAsia="nl-NL"/>
        </w:rPr>
        <w:t>, inclusiviteit</w:t>
      </w:r>
      <w:r w:rsidRPr="004F382D" w:rsidR="005A7219">
        <w:rPr>
          <w:rFonts w:ascii="Calibri" w:hAnsi="Calibri" w:cs="Calibri"/>
          <w:sz w:val="22"/>
          <w:szCs w:val="22"/>
          <w:lang w:eastAsia="nl-NL"/>
        </w:rPr>
        <w:t xml:space="preserve"> en verantwoordingsplicht.</w:t>
      </w:r>
    </w:p>
    <w:p w:rsidRPr="004F382D" w:rsidR="003C0DA9" w:rsidP="00715FA4" w:rsidRDefault="003C0DA9" w14:paraId="6A686A91" w14:textId="77777777">
      <w:pPr>
        <w:spacing w:after="160" w:line="240" w:lineRule="auto"/>
        <w:rPr>
          <w:rFonts w:ascii="Calibri" w:hAnsi="Calibri" w:cs="Calibri"/>
          <w:sz w:val="22"/>
          <w:szCs w:val="22"/>
          <w:lang w:eastAsia="nl-NL"/>
        </w:rPr>
      </w:pPr>
    </w:p>
    <w:p w:rsidRPr="004F382D" w:rsidR="00DF0892" w:rsidP="00715FA4" w:rsidRDefault="00B640B1" w14:paraId="31A23497" w14:textId="4885BDF8">
      <w:pPr>
        <w:spacing w:after="160" w:line="240" w:lineRule="auto"/>
        <w:rPr>
          <w:rFonts w:ascii="Calibri" w:hAnsi="Calibri" w:cs="Calibri"/>
          <w:sz w:val="22"/>
          <w:szCs w:val="22"/>
          <w:lang w:eastAsia="nl-NL"/>
        </w:rPr>
      </w:pPr>
      <w:r w:rsidRPr="004F382D">
        <w:rPr>
          <w:rFonts w:ascii="Calibri" w:hAnsi="Calibri" w:cs="Calibri"/>
          <w:sz w:val="22"/>
          <w:szCs w:val="22"/>
          <w:lang w:eastAsia="nl-NL"/>
        </w:rPr>
        <w:t xml:space="preserve">De tweede doelstelling richt zich </w:t>
      </w:r>
      <w:r w:rsidRPr="004F382D" w:rsidR="00FC6589">
        <w:rPr>
          <w:rFonts w:ascii="Calibri" w:hAnsi="Calibri" w:cs="Calibri"/>
          <w:sz w:val="22"/>
          <w:szCs w:val="22"/>
          <w:lang w:eastAsia="nl-NL"/>
        </w:rPr>
        <w:t xml:space="preserve">op het waarborgen van een open en veilige </w:t>
      </w:r>
      <w:r w:rsidRPr="004F382D" w:rsidR="00DF0892">
        <w:rPr>
          <w:rFonts w:ascii="Calibri" w:hAnsi="Calibri" w:cs="Calibri"/>
          <w:sz w:val="22"/>
          <w:szCs w:val="22"/>
          <w:lang w:eastAsia="nl-NL"/>
        </w:rPr>
        <w:t>maatschappelijke</w:t>
      </w:r>
      <w:r w:rsidRPr="004F382D" w:rsidR="00FC6589">
        <w:rPr>
          <w:rFonts w:ascii="Calibri" w:hAnsi="Calibri" w:cs="Calibri"/>
          <w:sz w:val="22"/>
          <w:szCs w:val="22"/>
          <w:lang w:eastAsia="nl-NL"/>
        </w:rPr>
        <w:t xml:space="preserve"> ruimte </w:t>
      </w:r>
      <w:r w:rsidRPr="004F382D" w:rsidR="00DF0892">
        <w:rPr>
          <w:rFonts w:ascii="Calibri" w:hAnsi="Calibri" w:cs="Calibri"/>
          <w:sz w:val="22"/>
          <w:szCs w:val="22"/>
          <w:lang w:eastAsia="nl-NL"/>
        </w:rPr>
        <w:t>waarbinnen maatschappelijke organisaties vrij en veilig kunnen opereren</w:t>
      </w:r>
      <w:r w:rsidRPr="004F382D" w:rsidR="006B1F77">
        <w:rPr>
          <w:rFonts w:ascii="Calibri" w:hAnsi="Calibri" w:cs="Calibri"/>
          <w:sz w:val="22"/>
          <w:szCs w:val="22"/>
        </w:rPr>
        <w:t xml:space="preserve"> </w:t>
      </w:r>
      <w:r w:rsidRPr="004F382D" w:rsidR="006B1F77">
        <w:rPr>
          <w:rFonts w:ascii="Calibri" w:hAnsi="Calibri" w:cs="Calibri"/>
          <w:sz w:val="22"/>
          <w:szCs w:val="22"/>
          <w:lang w:eastAsia="nl-NL"/>
        </w:rPr>
        <w:t>zonder bedreiging, intimidatie of belemmerende regelgeving</w:t>
      </w:r>
      <w:r w:rsidRPr="004F382D" w:rsidR="00DF0892">
        <w:rPr>
          <w:rFonts w:ascii="Calibri" w:hAnsi="Calibri" w:cs="Calibri"/>
          <w:sz w:val="22"/>
          <w:szCs w:val="22"/>
          <w:lang w:eastAsia="nl-NL"/>
        </w:rPr>
        <w:t>. Daarvoor voorziet de strategie in o</w:t>
      </w:r>
      <w:r w:rsidRPr="004F382D" w:rsidR="0085501B">
        <w:rPr>
          <w:rFonts w:ascii="Calibri" w:hAnsi="Calibri" w:cs="Calibri"/>
          <w:sz w:val="22"/>
          <w:szCs w:val="22"/>
          <w:lang w:eastAsia="nl-NL"/>
        </w:rPr>
        <w:t xml:space="preserve">nder </w:t>
      </w:r>
      <w:r w:rsidRPr="004F382D" w:rsidR="00DF0892">
        <w:rPr>
          <w:rFonts w:ascii="Calibri" w:hAnsi="Calibri" w:cs="Calibri"/>
          <w:sz w:val="22"/>
          <w:szCs w:val="22"/>
          <w:lang w:eastAsia="nl-NL"/>
        </w:rPr>
        <w:t>a</w:t>
      </w:r>
      <w:r w:rsidRPr="004F382D" w:rsidR="0085501B">
        <w:rPr>
          <w:rFonts w:ascii="Calibri" w:hAnsi="Calibri" w:cs="Calibri"/>
          <w:sz w:val="22"/>
          <w:szCs w:val="22"/>
          <w:lang w:eastAsia="nl-NL"/>
        </w:rPr>
        <w:t>ndere</w:t>
      </w:r>
      <w:r w:rsidRPr="004F382D" w:rsidR="00DF0892">
        <w:rPr>
          <w:rFonts w:ascii="Calibri" w:hAnsi="Calibri" w:cs="Calibri"/>
          <w:sz w:val="22"/>
          <w:szCs w:val="22"/>
          <w:lang w:eastAsia="nl-NL"/>
        </w:rPr>
        <w:t xml:space="preserve"> monitoring van </w:t>
      </w:r>
      <w:r w:rsidRPr="004F382D" w:rsidR="00F21A37">
        <w:rPr>
          <w:rFonts w:ascii="Calibri" w:hAnsi="Calibri" w:cs="Calibri"/>
          <w:sz w:val="22"/>
          <w:szCs w:val="22"/>
          <w:lang w:eastAsia="nl-NL"/>
        </w:rPr>
        <w:t xml:space="preserve">maatschappelijke </w:t>
      </w:r>
      <w:r w:rsidRPr="004F382D" w:rsidR="00DF0892">
        <w:rPr>
          <w:rFonts w:ascii="Calibri" w:hAnsi="Calibri" w:cs="Calibri"/>
          <w:sz w:val="22"/>
          <w:szCs w:val="22"/>
          <w:lang w:eastAsia="nl-NL"/>
        </w:rPr>
        <w:t xml:space="preserve">ruimte, kennisdeling via een online </w:t>
      </w:r>
      <w:r w:rsidRPr="004F382D" w:rsidR="00AE7281">
        <w:rPr>
          <w:rFonts w:ascii="Calibri" w:hAnsi="Calibri" w:cs="Calibri"/>
          <w:sz w:val="22"/>
          <w:szCs w:val="22"/>
          <w:lang w:eastAsia="nl-NL"/>
        </w:rPr>
        <w:t xml:space="preserve">kennis hub </w:t>
      </w:r>
      <w:r w:rsidRPr="004F382D" w:rsidR="00DF0892">
        <w:rPr>
          <w:rFonts w:ascii="Calibri" w:hAnsi="Calibri" w:cs="Calibri"/>
          <w:sz w:val="22"/>
          <w:szCs w:val="22"/>
          <w:lang w:eastAsia="nl-NL"/>
        </w:rPr>
        <w:t xml:space="preserve">en mogelijke beschermings- en noodmaatregelen voor organisaties </w:t>
      </w:r>
      <w:r w:rsidRPr="004F382D" w:rsidR="00F21A37">
        <w:rPr>
          <w:rFonts w:ascii="Calibri" w:hAnsi="Calibri" w:cs="Calibri"/>
          <w:sz w:val="22"/>
          <w:szCs w:val="22"/>
          <w:lang w:eastAsia="nl-NL"/>
        </w:rPr>
        <w:t xml:space="preserve">of mensenrechtenverdedigers </w:t>
      </w:r>
      <w:r w:rsidRPr="004F382D" w:rsidR="00D92F06">
        <w:rPr>
          <w:rFonts w:ascii="Calibri" w:hAnsi="Calibri" w:cs="Calibri"/>
          <w:sz w:val="22"/>
          <w:szCs w:val="22"/>
          <w:lang w:eastAsia="nl-NL"/>
        </w:rPr>
        <w:t xml:space="preserve">die </w:t>
      </w:r>
      <w:r w:rsidRPr="004F382D" w:rsidR="00DF0892">
        <w:rPr>
          <w:rFonts w:ascii="Calibri" w:hAnsi="Calibri" w:cs="Calibri"/>
          <w:sz w:val="22"/>
          <w:szCs w:val="22"/>
          <w:lang w:eastAsia="nl-NL"/>
        </w:rPr>
        <w:t xml:space="preserve">onder </w:t>
      </w:r>
      <w:r w:rsidRPr="004F382D" w:rsidR="006B1F77">
        <w:rPr>
          <w:rFonts w:ascii="Calibri" w:hAnsi="Calibri" w:cs="Calibri"/>
          <w:sz w:val="22"/>
          <w:szCs w:val="22"/>
          <w:lang w:eastAsia="nl-NL"/>
        </w:rPr>
        <w:t xml:space="preserve">acute </w:t>
      </w:r>
      <w:r w:rsidRPr="004F382D" w:rsidR="00DF0892">
        <w:rPr>
          <w:rFonts w:ascii="Calibri" w:hAnsi="Calibri" w:cs="Calibri"/>
          <w:sz w:val="22"/>
          <w:szCs w:val="22"/>
          <w:lang w:eastAsia="nl-NL"/>
        </w:rPr>
        <w:t>druk</w:t>
      </w:r>
      <w:r w:rsidRPr="004F382D" w:rsidR="00D92F06">
        <w:rPr>
          <w:rFonts w:ascii="Calibri" w:hAnsi="Calibri" w:cs="Calibri"/>
          <w:sz w:val="22"/>
          <w:szCs w:val="22"/>
          <w:lang w:eastAsia="nl-NL"/>
        </w:rPr>
        <w:t xml:space="preserve"> staan</w:t>
      </w:r>
      <w:r w:rsidRPr="004F382D" w:rsidR="00DF0892">
        <w:rPr>
          <w:rFonts w:ascii="Calibri" w:hAnsi="Calibri" w:cs="Calibri"/>
          <w:sz w:val="22"/>
          <w:szCs w:val="22"/>
          <w:lang w:eastAsia="nl-NL"/>
        </w:rPr>
        <w:t>.</w:t>
      </w:r>
    </w:p>
    <w:p w:rsidRPr="004F382D" w:rsidR="00DF0892" w:rsidP="00715FA4" w:rsidRDefault="00DF0892" w14:paraId="3E2DD820" w14:textId="77777777">
      <w:pPr>
        <w:spacing w:after="160" w:line="240" w:lineRule="auto"/>
        <w:rPr>
          <w:rFonts w:ascii="Calibri" w:hAnsi="Calibri" w:cs="Calibri"/>
          <w:sz w:val="22"/>
          <w:szCs w:val="22"/>
          <w:lang w:eastAsia="nl-NL"/>
        </w:rPr>
      </w:pPr>
    </w:p>
    <w:p w:rsidRPr="004F382D" w:rsidR="003C0DA9" w:rsidP="00715FA4" w:rsidRDefault="00FC6589" w14:paraId="6AA5C70A" w14:textId="2879AE9A">
      <w:pPr>
        <w:spacing w:after="160" w:line="240" w:lineRule="auto"/>
        <w:rPr>
          <w:rFonts w:ascii="Calibri" w:hAnsi="Calibri" w:cs="Calibri"/>
          <w:sz w:val="22"/>
          <w:szCs w:val="22"/>
          <w:lang w:eastAsia="nl-NL"/>
        </w:rPr>
      </w:pPr>
      <w:r w:rsidRPr="004F382D">
        <w:rPr>
          <w:rFonts w:ascii="Calibri" w:hAnsi="Calibri" w:cs="Calibri"/>
          <w:sz w:val="22"/>
          <w:szCs w:val="22"/>
          <w:lang w:eastAsia="nl-NL"/>
        </w:rPr>
        <w:t xml:space="preserve">Tot slot </w:t>
      </w:r>
      <w:r w:rsidRPr="004F382D" w:rsidR="003C0DA9">
        <w:rPr>
          <w:rFonts w:ascii="Calibri" w:hAnsi="Calibri" w:cs="Calibri"/>
          <w:sz w:val="22"/>
          <w:szCs w:val="22"/>
          <w:lang w:eastAsia="nl-NL"/>
        </w:rPr>
        <w:t xml:space="preserve">wil de </w:t>
      </w:r>
      <w:r w:rsidRPr="004F382D" w:rsidR="007E65B1">
        <w:rPr>
          <w:rFonts w:ascii="Calibri" w:hAnsi="Calibri" w:cs="Calibri"/>
          <w:sz w:val="22"/>
          <w:szCs w:val="22"/>
          <w:lang w:eastAsia="nl-NL"/>
        </w:rPr>
        <w:t>C</w:t>
      </w:r>
      <w:r w:rsidRPr="004F382D" w:rsidR="003C0DA9">
        <w:rPr>
          <w:rFonts w:ascii="Calibri" w:hAnsi="Calibri" w:cs="Calibri"/>
          <w:sz w:val="22"/>
          <w:szCs w:val="22"/>
          <w:lang w:eastAsia="nl-NL"/>
        </w:rPr>
        <w:t>ommissie met de strategie inzetten op duurzame, toegankelijke en transparante financiering voor maatschappelijke organisaties, zowel op EU</w:t>
      </w:r>
      <w:r w:rsidRPr="004F382D" w:rsidR="00F21A37">
        <w:rPr>
          <w:rFonts w:ascii="Calibri" w:hAnsi="Calibri" w:cs="Calibri"/>
          <w:sz w:val="22"/>
          <w:szCs w:val="22"/>
          <w:lang w:eastAsia="nl-NL"/>
        </w:rPr>
        <w:t>-</w:t>
      </w:r>
      <w:r w:rsidRPr="004F382D" w:rsidR="003C0DA9">
        <w:rPr>
          <w:rFonts w:ascii="Calibri" w:hAnsi="Calibri" w:cs="Calibri"/>
          <w:sz w:val="22"/>
          <w:szCs w:val="22"/>
          <w:lang w:eastAsia="nl-NL"/>
        </w:rPr>
        <w:t xml:space="preserve">niveau als nationaal. In het verlengde hiervan </w:t>
      </w:r>
      <w:r w:rsidRPr="004F382D">
        <w:rPr>
          <w:rFonts w:ascii="Calibri" w:hAnsi="Calibri" w:cs="Calibri"/>
          <w:sz w:val="22"/>
          <w:szCs w:val="22"/>
          <w:lang w:eastAsia="nl-NL"/>
        </w:rPr>
        <w:t xml:space="preserve">heeft de </w:t>
      </w:r>
      <w:r w:rsidRPr="004F382D" w:rsidR="007E65B1">
        <w:rPr>
          <w:rFonts w:ascii="Calibri" w:hAnsi="Calibri" w:cs="Calibri"/>
          <w:sz w:val="22"/>
          <w:szCs w:val="22"/>
          <w:lang w:eastAsia="nl-NL"/>
        </w:rPr>
        <w:t>C</w:t>
      </w:r>
      <w:r w:rsidRPr="004F382D">
        <w:rPr>
          <w:rFonts w:ascii="Calibri" w:hAnsi="Calibri" w:cs="Calibri"/>
          <w:sz w:val="22"/>
          <w:szCs w:val="22"/>
          <w:lang w:eastAsia="nl-NL"/>
        </w:rPr>
        <w:t xml:space="preserve">ommissie in </w:t>
      </w:r>
      <w:r w:rsidRPr="004F382D" w:rsidR="003C0DA9">
        <w:rPr>
          <w:rFonts w:ascii="Calibri" w:hAnsi="Calibri" w:cs="Calibri"/>
          <w:sz w:val="22"/>
          <w:szCs w:val="22"/>
          <w:lang w:eastAsia="nl-NL"/>
        </w:rPr>
        <w:t xml:space="preserve">haar </w:t>
      </w:r>
      <w:r w:rsidRPr="004F382D" w:rsidR="00F21A37">
        <w:rPr>
          <w:rFonts w:ascii="Calibri" w:hAnsi="Calibri" w:cs="Calibri"/>
          <w:sz w:val="22"/>
          <w:szCs w:val="22"/>
          <w:lang w:eastAsia="nl-NL"/>
        </w:rPr>
        <w:t xml:space="preserve">aankomende </w:t>
      </w:r>
      <w:r w:rsidRPr="004F382D" w:rsidR="00936AB9">
        <w:rPr>
          <w:rFonts w:ascii="Calibri" w:hAnsi="Calibri" w:cs="Calibri"/>
          <w:sz w:val="22"/>
          <w:szCs w:val="22"/>
          <w:lang w:eastAsia="nl-NL"/>
        </w:rPr>
        <w:t>M</w:t>
      </w:r>
      <w:r w:rsidRPr="004F382D" w:rsidR="003C0DA9">
        <w:rPr>
          <w:rFonts w:ascii="Calibri" w:hAnsi="Calibri" w:cs="Calibri"/>
          <w:sz w:val="22"/>
          <w:szCs w:val="22"/>
          <w:lang w:eastAsia="nl-NL"/>
        </w:rPr>
        <w:t xml:space="preserve">eerjarig </w:t>
      </w:r>
      <w:r w:rsidRPr="004F382D" w:rsidR="00936AB9">
        <w:rPr>
          <w:rFonts w:ascii="Calibri" w:hAnsi="Calibri" w:cs="Calibri"/>
          <w:sz w:val="22"/>
          <w:szCs w:val="22"/>
          <w:lang w:eastAsia="nl-NL"/>
        </w:rPr>
        <w:t>F</w:t>
      </w:r>
      <w:r w:rsidRPr="004F382D" w:rsidR="003C0DA9">
        <w:rPr>
          <w:rFonts w:ascii="Calibri" w:hAnsi="Calibri" w:cs="Calibri"/>
          <w:sz w:val="22"/>
          <w:szCs w:val="22"/>
          <w:lang w:eastAsia="nl-NL"/>
        </w:rPr>
        <w:t xml:space="preserve">inancieel </w:t>
      </w:r>
      <w:r w:rsidRPr="004F382D" w:rsidR="00936AB9">
        <w:rPr>
          <w:rFonts w:ascii="Calibri" w:hAnsi="Calibri" w:cs="Calibri"/>
          <w:sz w:val="22"/>
          <w:szCs w:val="22"/>
          <w:lang w:eastAsia="nl-NL"/>
        </w:rPr>
        <w:t>K</w:t>
      </w:r>
      <w:r w:rsidRPr="004F382D" w:rsidR="003C0DA9">
        <w:rPr>
          <w:rFonts w:ascii="Calibri" w:hAnsi="Calibri" w:cs="Calibri"/>
          <w:sz w:val="22"/>
          <w:szCs w:val="22"/>
          <w:lang w:eastAsia="nl-NL"/>
        </w:rPr>
        <w:t xml:space="preserve">ader </w:t>
      </w:r>
      <w:r w:rsidRPr="004F382D" w:rsidR="00F21A37">
        <w:rPr>
          <w:rFonts w:ascii="Calibri" w:hAnsi="Calibri" w:cs="Calibri"/>
          <w:sz w:val="22"/>
          <w:szCs w:val="22"/>
          <w:lang w:eastAsia="nl-NL"/>
        </w:rPr>
        <w:t>(</w:t>
      </w:r>
      <w:r w:rsidRPr="004F382D" w:rsidR="00936AB9">
        <w:rPr>
          <w:rFonts w:ascii="Calibri" w:hAnsi="Calibri" w:cs="Calibri"/>
          <w:sz w:val="22"/>
          <w:szCs w:val="22"/>
          <w:lang w:eastAsia="nl-NL"/>
        </w:rPr>
        <w:t xml:space="preserve">MFK, </w:t>
      </w:r>
      <w:r w:rsidRPr="004F382D" w:rsidR="00F21A37">
        <w:rPr>
          <w:rFonts w:ascii="Calibri" w:hAnsi="Calibri" w:cs="Calibri"/>
          <w:sz w:val="22"/>
          <w:szCs w:val="22"/>
          <w:lang w:eastAsia="nl-NL"/>
        </w:rPr>
        <w:t>2028-203</w:t>
      </w:r>
      <w:r w:rsidRPr="004F382D" w:rsidR="003E0CF3">
        <w:rPr>
          <w:rFonts w:ascii="Calibri" w:hAnsi="Calibri" w:cs="Calibri"/>
          <w:sz w:val="22"/>
          <w:szCs w:val="22"/>
          <w:lang w:eastAsia="nl-NL"/>
        </w:rPr>
        <w:t>4</w:t>
      </w:r>
      <w:r w:rsidRPr="004F382D" w:rsidR="00F21A37">
        <w:rPr>
          <w:rFonts w:ascii="Calibri" w:hAnsi="Calibri" w:cs="Calibri"/>
          <w:sz w:val="22"/>
          <w:szCs w:val="22"/>
          <w:lang w:eastAsia="nl-NL"/>
        </w:rPr>
        <w:t xml:space="preserve">) </w:t>
      </w:r>
      <w:r w:rsidRPr="004F382D" w:rsidR="00B640B1">
        <w:rPr>
          <w:rFonts w:ascii="Calibri" w:hAnsi="Calibri" w:cs="Calibri"/>
          <w:sz w:val="22"/>
          <w:szCs w:val="22"/>
          <w:lang w:eastAsia="nl-NL"/>
        </w:rPr>
        <w:t xml:space="preserve">een voorstel gedaan om de </w:t>
      </w:r>
      <w:r w:rsidRPr="004F382D" w:rsidR="003C0DA9">
        <w:rPr>
          <w:rFonts w:ascii="Calibri" w:hAnsi="Calibri" w:cs="Calibri"/>
          <w:sz w:val="22"/>
          <w:szCs w:val="22"/>
          <w:lang w:eastAsia="nl-NL"/>
        </w:rPr>
        <w:t>financiële</w:t>
      </w:r>
      <w:r w:rsidRPr="004F382D" w:rsidR="00B640B1">
        <w:rPr>
          <w:rFonts w:ascii="Calibri" w:hAnsi="Calibri" w:cs="Calibri"/>
          <w:sz w:val="22"/>
          <w:szCs w:val="22"/>
          <w:lang w:eastAsia="nl-NL"/>
        </w:rPr>
        <w:t xml:space="preserve"> </w:t>
      </w:r>
      <w:r w:rsidRPr="004F382D" w:rsidR="003C0DA9">
        <w:rPr>
          <w:rFonts w:ascii="Calibri" w:hAnsi="Calibri" w:cs="Calibri"/>
          <w:sz w:val="22"/>
          <w:szCs w:val="22"/>
          <w:lang w:eastAsia="nl-NL"/>
        </w:rPr>
        <w:t>ondersteuning</w:t>
      </w:r>
      <w:r w:rsidRPr="004F382D" w:rsidR="00B640B1">
        <w:rPr>
          <w:rFonts w:ascii="Calibri" w:hAnsi="Calibri" w:cs="Calibri"/>
          <w:sz w:val="22"/>
          <w:szCs w:val="22"/>
          <w:lang w:eastAsia="nl-NL"/>
        </w:rPr>
        <w:t xml:space="preserve"> van maatschappelijke organisaties te verhogen </w:t>
      </w:r>
      <w:r w:rsidRPr="004F382D" w:rsidR="007E65B1">
        <w:rPr>
          <w:rFonts w:ascii="Calibri" w:hAnsi="Calibri" w:cs="Calibri"/>
          <w:sz w:val="22"/>
          <w:szCs w:val="22"/>
          <w:lang w:eastAsia="nl-NL"/>
        </w:rPr>
        <w:t>naar</w:t>
      </w:r>
      <w:r w:rsidRPr="004F382D" w:rsidR="00B640B1">
        <w:rPr>
          <w:rFonts w:ascii="Calibri" w:hAnsi="Calibri" w:cs="Calibri"/>
          <w:sz w:val="22"/>
          <w:szCs w:val="22"/>
          <w:lang w:eastAsia="nl-NL"/>
        </w:rPr>
        <w:t xml:space="preserve"> 9 miljard euro</w:t>
      </w:r>
      <w:r w:rsidRPr="004F382D" w:rsidR="002917F1">
        <w:rPr>
          <w:rStyle w:val="Voetnootmarkering"/>
          <w:rFonts w:ascii="Calibri" w:hAnsi="Calibri" w:cs="Calibri"/>
          <w:sz w:val="22"/>
          <w:szCs w:val="22"/>
          <w:lang w:eastAsia="nl-NL"/>
        </w:rPr>
        <w:footnoteReference w:id="2"/>
      </w:r>
      <w:r w:rsidRPr="004F382D" w:rsidR="00B640B1">
        <w:rPr>
          <w:rFonts w:ascii="Calibri" w:hAnsi="Calibri" w:cs="Calibri"/>
          <w:sz w:val="22"/>
          <w:szCs w:val="22"/>
          <w:lang w:eastAsia="nl-NL"/>
        </w:rPr>
        <w:t xml:space="preserve"> middels het AgoraEU programma</w:t>
      </w:r>
      <w:r w:rsidRPr="004F382D" w:rsidR="006B4C4C">
        <w:rPr>
          <w:rFonts w:ascii="Calibri" w:hAnsi="Calibri" w:cs="Calibri"/>
          <w:bCs/>
          <w:iCs w:val="0"/>
          <w:sz w:val="22"/>
          <w:szCs w:val="22"/>
          <w:lang w:eastAsia="nl-NL"/>
        </w:rPr>
        <w:t>.</w:t>
      </w:r>
      <w:r w:rsidRPr="004F382D" w:rsidR="00936AB9">
        <w:rPr>
          <w:rStyle w:val="Voetnootmarkering"/>
          <w:rFonts w:ascii="Calibri" w:hAnsi="Calibri" w:cs="Calibri"/>
          <w:bCs/>
          <w:sz w:val="22"/>
          <w:szCs w:val="22"/>
          <w:lang w:eastAsia="nl-NL"/>
        </w:rPr>
        <w:footnoteReference w:id="3"/>
      </w:r>
      <w:r w:rsidRPr="004F382D" w:rsidR="00B640B1">
        <w:rPr>
          <w:rFonts w:ascii="Calibri" w:hAnsi="Calibri" w:cs="Calibri"/>
          <w:sz w:val="22"/>
          <w:szCs w:val="22"/>
          <w:lang w:eastAsia="nl-NL"/>
        </w:rPr>
        <w:t xml:space="preserve"> </w:t>
      </w:r>
      <w:r w:rsidRPr="004F382D" w:rsidR="003C0DA9">
        <w:rPr>
          <w:rFonts w:ascii="Calibri" w:hAnsi="Calibri" w:cs="Calibri"/>
          <w:sz w:val="22"/>
          <w:szCs w:val="22"/>
          <w:lang w:eastAsia="nl-NL"/>
        </w:rPr>
        <w:t>Daarnaast werkt de Commissie aan vereenvoudiging van de toegang tot EU</w:t>
      </w:r>
      <w:r w:rsidRPr="004F382D" w:rsidR="003C0DA9">
        <w:rPr>
          <w:rFonts w:ascii="Calibri" w:hAnsi="Calibri" w:cs="Calibri"/>
          <w:sz w:val="22"/>
          <w:szCs w:val="22"/>
          <w:lang w:eastAsia="nl-NL"/>
        </w:rPr>
        <w:noBreakHyphen/>
        <w:t xml:space="preserve">fondsen, </w:t>
      </w:r>
      <w:r w:rsidRPr="004F382D" w:rsidR="007E65B1">
        <w:rPr>
          <w:rFonts w:ascii="Calibri" w:hAnsi="Calibri" w:cs="Calibri"/>
          <w:sz w:val="22"/>
          <w:szCs w:val="22"/>
          <w:lang w:eastAsia="nl-NL"/>
        </w:rPr>
        <w:t xml:space="preserve">het bevorderen van transparantie, </w:t>
      </w:r>
      <w:r w:rsidRPr="004F382D" w:rsidR="003C0DA9">
        <w:rPr>
          <w:rFonts w:ascii="Calibri" w:hAnsi="Calibri" w:cs="Calibri"/>
          <w:sz w:val="22"/>
          <w:szCs w:val="22"/>
          <w:lang w:eastAsia="nl-NL"/>
        </w:rPr>
        <w:t>het terugdringen van administratieve lasten en het stimuleren van aanvullende financieringsbronnen, onder meer door sterkere samenwerking met particuliere donoren en door het ondersteunen van pro</w:t>
      </w:r>
      <w:r w:rsidRPr="004F382D" w:rsidR="003C0DA9">
        <w:rPr>
          <w:rFonts w:ascii="Calibri" w:hAnsi="Calibri" w:cs="Calibri"/>
          <w:sz w:val="22"/>
          <w:szCs w:val="22"/>
          <w:lang w:eastAsia="nl-NL"/>
        </w:rPr>
        <w:noBreakHyphen/>
        <w:t>bono</w:t>
      </w:r>
      <w:r w:rsidRPr="004F382D" w:rsidR="003C0DA9">
        <w:rPr>
          <w:rFonts w:ascii="Calibri" w:hAnsi="Calibri" w:cs="Calibri"/>
          <w:sz w:val="22"/>
          <w:szCs w:val="22"/>
          <w:lang w:eastAsia="nl-NL"/>
        </w:rPr>
        <w:noBreakHyphen/>
        <w:t>netwerken van juristen en andere professionals.​</w:t>
      </w:r>
    </w:p>
    <w:p w:rsidRPr="004F382D" w:rsidR="00C87A32" w:rsidP="00715FA4" w:rsidRDefault="00C87A32" w14:paraId="7A1B5116" w14:textId="2F1B28A0">
      <w:pPr>
        <w:pStyle w:val="Kop2"/>
        <w:numPr>
          <w:ilvl w:val="0"/>
          <w:numId w:val="0"/>
        </w:numPr>
        <w:spacing w:after="160" w:line="240" w:lineRule="auto"/>
        <w:ind w:left="360" w:hanging="360"/>
        <w:rPr>
          <w:rFonts w:ascii="Calibri" w:hAnsi="Calibri" w:cs="Calibri"/>
          <w:sz w:val="22"/>
          <w:szCs w:val="22"/>
        </w:rPr>
      </w:pPr>
    </w:p>
    <w:p w:rsidRPr="004F382D" w:rsidR="00CC3DCA" w:rsidP="00715FA4" w:rsidRDefault="00CC3DCA" w14:paraId="060E90D3" w14:textId="3FF25B84">
      <w:pPr>
        <w:pStyle w:val="Kop2"/>
        <w:numPr>
          <w:ilvl w:val="0"/>
          <w:numId w:val="28"/>
        </w:numPr>
        <w:spacing w:after="160" w:line="240" w:lineRule="auto"/>
        <w:rPr>
          <w:rFonts w:ascii="Calibri" w:hAnsi="Calibri" w:cs="Calibri"/>
          <w:sz w:val="22"/>
          <w:szCs w:val="22"/>
        </w:rPr>
      </w:pPr>
      <w:r w:rsidRPr="004F382D">
        <w:rPr>
          <w:rFonts w:ascii="Calibri" w:hAnsi="Calibri" w:cs="Calibri"/>
          <w:sz w:val="22"/>
          <w:szCs w:val="22"/>
        </w:rPr>
        <w:t>Nederlandse positie ten aanzien van de mededeling</w:t>
      </w:r>
    </w:p>
    <w:p w:rsidRPr="004F382D" w:rsidR="00CC3DCA" w:rsidP="00715FA4" w:rsidRDefault="00CC3DCA" w14:paraId="77D6B070" w14:textId="77777777">
      <w:pPr>
        <w:pStyle w:val="Kop3"/>
        <w:numPr>
          <w:ilvl w:val="0"/>
          <w:numId w:val="22"/>
        </w:numPr>
        <w:spacing w:after="160" w:line="240" w:lineRule="auto"/>
        <w:rPr>
          <w:rFonts w:ascii="Calibri" w:hAnsi="Calibri" w:cs="Calibri"/>
          <w:sz w:val="22"/>
          <w:szCs w:val="22"/>
        </w:rPr>
      </w:pPr>
      <w:r w:rsidRPr="004F382D">
        <w:rPr>
          <w:rFonts w:ascii="Calibri" w:hAnsi="Calibri" w:cs="Calibri"/>
          <w:sz w:val="22"/>
          <w:szCs w:val="22"/>
        </w:rPr>
        <w:t>Essentie Nederlands beleid op dit terrein</w:t>
      </w:r>
    </w:p>
    <w:p w:rsidRPr="004F382D" w:rsidR="001F30EC" w:rsidP="00715FA4" w:rsidRDefault="00B42558" w14:paraId="59EE6B04" w14:textId="230E3240">
      <w:pPr>
        <w:spacing w:after="160" w:line="240" w:lineRule="auto"/>
        <w:rPr>
          <w:rFonts w:ascii="Calibri" w:hAnsi="Calibri" w:cs="Calibri"/>
          <w:sz w:val="22"/>
          <w:szCs w:val="22"/>
        </w:rPr>
      </w:pPr>
      <w:r w:rsidRPr="004F382D">
        <w:rPr>
          <w:rFonts w:ascii="Calibri" w:hAnsi="Calibri" w:cs="Calibri"/>
          <w:sz w:val="22"/>
          <w:szCs w:val="22"/>
        </w:rPr>
        <w:t>He</w:t>
      </w:r>
      <w:r w:rsidRPr="004F382D" w:rsidR="00066773">
        <w:rPr>
          <w:rFonts w:ascii="Calibri" w:hAnsi="Calibri" w:cs="Calibri"/>
          <w:sz w:val="22"/>
          <w:szCs w:val="22"/>
        </w:rPr>
        <w:t xml:space="preserve">t kabinet </w:t>
      </w:r>
      <w:r w:rsidRPr="004F382D" w:rsidR="00AD28E5">
        <w:rPr>
          <w:rFonts w:ascii="Calibri" w:hAnsi="Calibri" w:cs="Calibri"/>
          <w:sz w:val="22"/>
          <w:szCs w:val="22"/>
        </w:rPr>
        <w:t>onderstreept</w:t>
      </w:r>
      <w:r w:rsidRPr="004F382D" w:rsidR="009C3C0E">
        <w:rPr>
          <w:rFonts w:ascii="Calibri" w:hAnsi="Calibri" w:cs="Calibri"/>
          <w:sz w:val="22"/>
          <w:szCs w:val="22"/>
        </w:rPr>
        <w:t xml:space="preserve"> dat </w:t>
      </w:r>
      <w:r w:rsidRPr="004F382D" w:rsidR="000C6487">
        <w:rPr>
          <w:rFonts w:ascii="Calibri" w:hAnsi="Calibri" w:cs="Calibri"/>
          <w:sz w:val="22"/>
          <w:szCs w:val="22"/>
        </w:rPr>
        <w:t xml:space="preserve">een sterk </w:t>
      </w:r>
      <w:r w:rsidRPr="004F382D" w:rsidR="000530D6">
        <w:rPr>
          <w:rFonts w:ascii="Calibri" w:hAnsi="Calibri" w:cs="Calibri"/>
          <w:sz w:val="22"/>
          <w:szCs w:val="22"/>
        </w:rPr>
        <w:t xml:space="preserve">maatschappelijk middenveld een essentieel onderdeel is van </w:t>
      </w:r>
      <w:r w:rsidRPr="004F382D" w:rsidR="000D08A5">
        <w:rPr>
          <w:rFonts w:ascii="Calibri" w:hAnsi="Calibri" w:cs="Calibri"/>
          <w:sz w:val="22"/>
          <w:szCs w:val="22"/>
        </w:rPr>
        <w:t>een weerbare</w:t>
      </w:r>
      <w:r w:rsidRPr="004F382D" w:rsidR="000530D6">
        <w:rPr>
          <w:rFonts w:ascii="Calibri" w:hAnsi="Calibri" w:cs="Calibri"/>
          <w:sz w:val="22"/>
          <w:szCs w:val="22"/>
        </w:rPr>
        <w:t xml:space="preserve"> democratische rechtstaat</w:t>
      </w:r>
      <w:r w:rsidRPr="004F382D" w:rsidR="000C6487">
        <w:rPr>
          <w:rFonts w:ascii="Calibri" w:hAnsi="Calibri" w:cs="Calibri"/>
          <w:sz w:val="22"/>
          <w:szCs w:val="22"/>
        </w:rPr>
        <w:t>. M</w:t>
      </w:r>
      <w:r w:rsidRPr="004F382D" w:rsidR="009C3C0E">
        <w:rPr>
          <w:rFonts w:ascii="Calibri" w:hAnsi="Calibri" w:cs="Calibri"/>
          <w:sz w:val="22"/>
          <w:szCs w:val="22"/>
        </w:rPr>
        <w:t xml:space="preserve">aatschappelijke organisaties </w:t>
      </w:r>
      <w:r w:rsidRPr="004F382D" w:rsidR="000530D6">
        <w:rPr>
          <w:rFonts w:ascii="Calibri" w:hAnsi="Calibri" w:cs="Calibri"/>
          <w:sz w:val="22"/>
          <w:szCs w:val="22"/>
        </w:rPr>
        <w:t xml:space="preserve">en mensenrechtenverdedigers </w:t>
      </w:r>
      <w:r w:rsidRPr="004F382D" w:rsidR="000C6487">
        <w:rPr>
          <w:rFonts w:ascii="Calibri" w:hAnsi="Calibri" w:cs="Calibri"/>
          <w:sz w:val="22"/>
          <w:szCs w:val="22"/>
        </w:rPr>
        <w:t xml:space="preserve">vervullen </w:t>
      </w:r>
      <w:r w:rsidRPr="004F382D" w:rsidR="009C3C0E">
        <w:rPr>
          <w:rFonts w:ascii="Calibri" w:hAnsi="Calibri" w:cs="Calibri"/>
          <w:sz w:val="22"/>
          <w:szCs w:val="22"/>
        </w:rPr>
        <w:t xml:space="preserve">een </w:t>
      </w:r>
      <w:r w:rsidRPr="004F382D" w:rsidR="00AD28E5">
        <w:rPr>
          <w:rFonts w:ascii="Calibri" w:hAnsi="Calibri" w:cs="Calibri"/>
          <w:sz w:val="22"/>
          <w:szCs w:val="22"/>
        </w:rPr>
        <w:t xml:space="preserve">essentiële en </w:t>
      </w:r>
      <w:r w:rsidRPr="004F382D" w:rsidR="009C3C0E">
        <w:rPr>
          <w:rFonts w:ascii="Calibri" w:hAnsi="Calibri" w:cs="Calibri"/>
          <w:sz w:val="22"/>
          <w:szCs w:val="22"/>
        </w:rPr>
        <w:t xml:space="preserve">unieke rol </w:t>
      </w:r>
      <w:r w:rsidRPr="004F382D" w:rsidR="000C6487">
        <w:rPr>
          <w:rFonts w:ascii="Calibri" w:hAnsi="Calibri" w:cs="Calibri"/>
          <w:sz w:val="22"/>
          <w:szCs w:val="22"/>
        </w:rPr>
        <w:t>als waakhond, belangenbehartiger, dienstverlener, bruggenbouwer en beleids- en kennispartner</w:t>
      </w:r>
      <w:r w:rsidRPr="004F382D" w:rsidR="00972D07">
        <w:rPr>
          <w:rFonts w:ascii="Calibri" w:hAnsi="Calibri" w:cs="Calibri"/>
          <w:sz w:val="22"/>
          <w:szCs w:val="22"/>
        </w:rPr>
        <w:t>. Zij z</w:t>
      </w:r>
      <w:r w:rsidRPr="004F382D" w:rsidR="000C6487">
        <w:rPr>
          <w:rFonts w:ascii="Calibri" w:hAnsi="Calibri" w:cs="Calibri"/>
          <w:sz w:val="22"/>
          <w:szCs w:val="22"/>
        </w:rPr>
        <w:t>ijn onmisbaar i</w:t>
      </w:r>
      <w:r w:rsidRPr="004F382D" w:rsidR="007E65B1">
        <w:rPr>
          <w:rFonts w:ascii="Calibri" w:hAnsi="Calibri" w:cs="Calibri"/>
          <w:sz w:val="22"/>
          <w:szCs w:val="22"/>
        </w:rPr>
        <w:t>n het ondersteunen van democratische betrokkenheid, het signaleren van maatschappelijke grieven</w:t>
      </w:r>
      <w:r w:rsidRPr="004F382D" w:rsidR="00A56FDB">
        <w:rPr>
          <w:rFonts w:ascii="Calibri" w:hAnsi="Calibri" w:cs="Calibri"/>
          <w:sz w:val="22"/>
          <w:szCs w:val="22"/>
        </w:rPr>
        <w:t xml:space="preserve">, </w:t>
      </w:r>
      <w:r w:rsidRPr="004F382D" w:rsidR="007E65B1">
        <w:rPr>
          <w:rFonts w:ascii="Calibri" w:hAnsi="Calibri" w:cs="Calibri"/>
          <w:sz w:val="22"/>
          <w:szCs w:val="22"/>
        </w:rPr>
        <w:t>het bedenken van nieuwe en creatieve oplossingen voor maatschappelijke problemen</w:t>
      </w:r>
      <w:r w:rsidRPr="004F382D" w:rsidR="00A56FDB">
        <w:rPr>
          <w:rFonts w:ascii="Calibri" w:hAnsi="Calibri" w:cs="Calibri"/>
          <w:sz w:val="22"/>
          <w:szCs w:val="22"/>
        </w:rPr>
        <w:t xml:space="preserve">, en ze vormen een belangrijk onderdeel vormen van het systeem van </w:t>
      </w:r>
      <w:r w:rsidRPr="004F382D" w:rsidR="00A56FDB">
        <w:rPr>
          <w:rFonts w:ascii="Calibri" w:hAnsi="Calibri" w:cs="Calibri"/>
          <w:i/>
          <w:iCs w:val="0"/>
          <w:sz w:val="22"/>
          <w:szCs w:val="22"/>
        </w:rPr>
        <w:t>checks and balances</w:t>
      </w:r>
      <w:r w:rsidRPr="004F382D" w:rsidR="007E65B1">
        <w:rPr>
          <w:rFonts w:ascii="Calibri" w:hAnsi="Calibri" w:cs="Calibri"/>
          <w:sz w:val="22"/>
          <w:szCs w:val="22"/>
        </w:rPr>
        <w:t>.</w:t>
      </w:r>
      <w:r w:rsidRPr="004F382D" w:rsidR="001F30EC">
        <w:rPr>
          <w:rFonts w:ascii="Calibri" w:hAnsi="Calibri" w:cs="Calibri"/>
          <w:sz w:val="22"/>
          <w:szCs w:val="22"/>
        </w:rPr>
        <w:t xml:space="preserve"> </w:t>
      </w:r>
      <w:r w:rsidRPr="004F382D" w:rsidR="000D08A5">
        <w:rPr>
          <w:rFonts w:ascii="Calibri" w:hAnsi="Calibri" w:cs="Calibri"/>
          <w:sz w:val="22"/>
          <w:szCs w:val="22"/>
        </w:rPr>
        <w:t xml:space="preserve">Tegelijk </w:t>
      </w:r>
      <w:r w:rsidRPr="004F382D" w:rsidR="000D08A5">
        <w:rPr>
          <w:rFonts w:ascii="Calibri" w:hAnsi="Calibri" w:cs="Calibri"/>
          <w:sz w:val="22"/>
          <w:szCs w:val="22"/>
        </w:rPr>
        <w:lastRenderedPageBreak/>
        <w:t>erkent het kabinet dat de ruimte van het maatschappelijk middenveld in Nederland</w:t>
      </w:r>
      <w:r w:rsidRPr="004F382D" w:rsidR="00EB50AA">
        <w:rPr>
          <w:rFonts w:ascii="Calibri" w:hAnsi="Calibri" w:cs="Calibri"/>
          <w:sz w:val="22"/>
          <w:szCs w:val="22"/>
        </w:rPr>
        <w:t>,</w:t>
      </w:r>
      <w:r w:rsidRPr="004F382D" w:rsidR="000D08A5">
        <w:rPr>
          <w:rFonts w:ascii="Calibri" w:hAnsi="Calibri" w:cs="Calibri"/>
          <w:sz w:val="22"/>
          <w:szCs w:val="22"/>
        </w:rPr>
        <w:t xml:space="preserve"> in de U</w:t>
      </w:r>
      <w:r w:rsidRPr="004F382D" w:rsidR="001B30F9">
        <w:rPr>
          <w:rFonts w:ascii="Calibri" w:hAnsi="Calibri" w:cs="Calibri"/>
          <w:sz w:val="22"/>
          <w:szCs w:val="22"/>
        </w:rPr>
        <w:t>nie en daarbuiten</w:t>
      </w:r>
      <w:r w:rsidRPr="004F382D" w:rsidR="000D08A5">
        <w:rPr>
          <w:rFonts w:ascii="Calibri" w:hAnsi="Calibri" w:cs="Calibri"/>
          <w:sz w:val="22"/>
          <w:szCs w:val="22"/>
        </w:rPr>
        <w:t xml:space="preserve"> krimpt</w:t>
      </w:r>
      <w:r w:rsidRPr="004F382D" w:rsidR="00454969">
        <w:rPr>
          <w:rFonts w:ascii="Calibri" w:hAnsi="Calibri" w:cs="Calibri"/>
          <w:sz w:val="22"/>
          <w:szCs w:val="22"/>
        </w:rPr>
        <w:t xml:space="preserve"> en deelt </w:t>
      </w:r>
      <w:r w:rsidRPr="004F382D" w:rsidR="000077E0">
        <w:rPr>
          <w:rFonts w:ascii="Calibri" w:hAnsi="Calibri" w:cs="Calibri"/>
          <w:sz w:val="22"/>
          <w:szCs w:val="22"/>
        </w:rPr>
        <w:t xml:space="preserve">zij </w:t>
      </w:r>
      <w:r w:rsidRPr="004F382D" w:rsidR="00454969">
        <w:rPr>
          <w:rFonts w:ascii="Calibri" w:hAnsi="Calibri" w:cs="Calibri"/>
          <w:sz w:val="22"/>
          <w:szCs w:val="22"/>
        </w:rPr>
        <w:t>de zorgen over deze negatieve ontwikkeling</w:t>
      </w:r>
      <w:r w:rsidRPr="004F382D" w:rsidR="006B4C4C">
        <w:rPr>
          <w:rFonts w:ascii="Calibri" w:hAnsi="Calibri" w:cs="Calibri"/>
          <w:sz w:val="22"/>
          <w:szCs w:val="22"/>
        </w:rPr>
        <w:t>.</w:t>
      </w:r>
      <w:r w:rsidRPr="004F382D" w:rsidR="00454969">
        <w:rPr>
          <w:rStyle w:val="Voetnootmarkering"/>
          <w:rFonts w:ascii="Calibri" w:hAnsi="Calibri" w:cs="Calibri"/>
          <w:sz w:val="22"/>
          <w:szCs w:val="22"/>
        </w:rPr>
        <w:footnoteReference w:id="4"/>
      </w:r>
      <w:r w:rsidRPr="004F382D" w:rsidR="00EB50AA">
        <w:rPr>
          <w:rFonts w:ascii="Calibri" w:hAnsi="Calibri" w:cs="Calibri"/>
          <w:sz w:val="22"/>
          <w:szCs w:val="22"/>
        </w:rPr>
        <w:t xml:space="preserve"> </w:t>
      </w:r>
    </w:p>
    <w:p w:rsidRPr="004F382D" w:rsidR="00B02A4F" w:rsidP="00715FA4" w:rsidRDefault="00B02A4F" w14:paraId="6E6ECDD9" w14:textId="77777777">
      <w:pPr>
        <w:spacing w:after="160" w:line="240" w:lineRule="auto"/>
        <w:rPr>
          <w:rFonts w:ascii="Calibri" w:hAnsi="Calibri" w:cs="Calibri"/>
          <w:sz w:val="22"/>
          <w:szCs w:val="22"/>
        </w:rPr>
      </w:pPr>
    </w:p>
    <w:p w:rsidRPr="004F382D" w:rsidR="009C5405" w:rsidP="00715FA4" w:rsidRDefault="00632E9D" w14:paraId="40CCF77D" w14:textId="0E18733A">
      <w:pPr>
        <w:spacing w:after="160" w:line="240" w:lineRule="auto"/>
        <w:rPr>
          <w:rFonts w:ascii="Calibri" w:hAnsi="Calibri" w:cs="Calibri"/>
          <w:sz w:val="22"/>
          <w:szCs w:val="22"/>
        </w:rPr>
      </w:pPr>
      <w:r w:rsidRPr="004F382D">
        <w:rPr>
          <w:rFonts w:ascii="Calibri" w:hAnsi="Calibri" w:cs="Calibri"/>
          <w:sz w:val="22"/>
          <w:szCs w:val="22"/>
        </w:rPr>
        <w:t>Het kabinet hecht grote waarde aan de betrokkenheid van</w:t>
      </w:r>
      <w:r w:rsidRPr="004F382D" w:rsidR="006E720B">
        <w:rPr>
          <w:rFonts w:ascii="Calibri" w:hAnsi="Calibri" w:cs="Calibri"/>
          <w:sz w:val="22"/>
          <w:szCs w:val="22"/>
        </w:rPr>
        <w:t>-</w:t>
      </w:r>
      <w:r w:rsidRPr="004F382D">
        <w:rPr>
          <w:rFonts w:ascii="Calibri" w:hAnsi="Calibri" w:cs="Calibri"/>
          <w:sz w:val="22"/>
          <w:szCs w:val="22"/>
        </w:rPr>
        <w:t xml:space="preserve"> en de dialoog met het maatschappelijke middenveld</w:t>
      </w:r>
      <w:r w:rsidRPr="004F382D" w:rsidR="00F62CFC">
        <w:rPr>
          <w:rFonts w:ascii="Calibri" w:hAnsi="Calibri" w:cs="Calibri"/>
          <w:sz w:val="22"/>
          <w:szCs w:val="22"/>
        </w:rPr>
        <w:t xml:space="preserve">. Om deze samenwerking te waarborgen en versterken zijn </w:t>
      </w:r>
      <w:r w:rsidRPr="004F382D">
        <w:rPr>
          <w:rFonts w:ascii="Calibri" w:hAnsi="Calibri" w:cs="Calibri"/>
          <w:sz w:val="22"/>
          <w:szCs w:val="22"/>
        </w:rPr>
        <w:t>verschillende structuren ingericht</w:t>
      </w:r>
      <w:r w:rsidRPr="004F382D" w:rsidR="00F62CFC">
        <w:rPr>
          <w:rFonts w:ascii="Calibri" w:hAnsi="Calibri" w:cs="Calibri"/>
          <w:sz w:val="22"/>
          <w:szCs w:val="22"/>
        </w:rPr>
        <w:t>.</w:t>
      </w:r>
      <w:r w:rsidRPr="004F382D" w:rsidR="0028756E">
        <w:rPr>
          <w:rFonts w:ascii="Calibri" w:hAnsi="Calibri" w:cs="Calibri"/>
          <w:i/>
          <w:sz w:val="22"/>
          <w:szCs w:val="22"/>
        </w:rPr>
        <w:t xml:space="preserve"> </w:t>
      </w:r>
      <w:r w:rsidRPr="004F382D" w:rsidR="0028756E">
        <w:rPr>
          <w:rFonts w:ascii="Calibri" w:hAnsi="Calibri" w:cs="Calibri"/>
          <w:iCs w:val="0"/>
          <w:sz w:val="22"/>
          <w:szCs w:val="22"/>
        </w:rPr>
        <w:t>Allereerst bevordert het Beleidskompas – de centrale werkwijze voor het maken van beleid bij de Rijksoverheid – de vroegtijdige betrokkenheid van belanghebbenden in de beleidsvoorbereiding en het werken in co-creatie. Dit sluit aan bij de werkwijze van opgavegericht en grenzeloos samenwerken, dat onderdeel is van goed ambtelijk vakmanschap.</w:t>
      </w:r>
      <w:r w:rsidRPr="004F382D" w:rsidR="00F62CFC">
        <w:rPr>
          <w:rFonts w:ascii="Calibri" w:hAnsi="Calibri" w:cs="Calibri"/>
          <w:color w:val="000000"/>
          <w:sz w:val="22"/>
          <w:szCs w:val="22"/>
        </w:rPr>
        <w:t xml:space="preserve"> </w:t>
      </w:r>
      <w:r w:rsidRPr="004F382D" w:rsidR="00F62CFC">
        <w:rPr>
          <w:rFonts w:ascii="Calibri" w:hAnsi="Calibri" w:cs="Calibri"/>
          <w:sz w:val="22"/>
          <w:szCs w:val="22"/>
        </w:rPr>
        <w:t xml:space="preserve">Daarnaast zet dit </w:t>
      </w:r>
      <w:r w:rsidRPr="004F382D" w:rsidR="000C6487">
        <w:rPr>
          <w:rFonts w:ascii="Calibri" w:hAnsi="Calibri" w:cs="Calibri"/>
          <w:sz w:val="22"/>
          <w:szCs w:val="22"/>
        </w:rPr>
        <w:t>kabinet</w:t>
      </w:r>
      <w:r w:rsidRPr="004F382D" w:rsidR="008002C1">
        <w:rPr>
          <w:rFonts w:ascii="Calibri" w:hAnsi="Calibri" w:cs="Calibri"/>
          <w:sz w:val="22"/>
          <w:szCs w:val="22"/>
        </w:rPr>
        <w:t xml:space="preserve"> </w:t>
      </w:r>
      <w:r w:rsidRPr="004F382D" w:rsidR="00972D07">
        <w:rPr>
          <w:rFonts w:ascii="Calibri" w:hAnsi="Calibri" w:cs="Calibri"/>
          <w:sz w:val="22"/>
          <w:szCs w:val="22"/>
        </w:rPr>
        <w:t xml:space="preserve">in op </w:t>
      </w:r>
      <w:r w:rsidRPr="004F382D" w:rsidR="00AB6BD3">
        <w:rPr>
          <w:rFonts w:ascii="Calibri" w:hAnsi="Calibri" w:cs="Calibri"/>
          <w:sz w:val="22"/>
          <w:szCs w:val="22"/>
        </w:rPr>
        <w:t xml:space="preserve">het versterken </w:t>
      </w:r>
      <w:r w:rsidRPr="004F382D" w:rsidR="008002C1">
        <w:rPr>
          <w:rFonts w:ascii="Calibri" w:hAnsi="Calibri" w:cs="Calibri"/>
          <w:sz w:val="22"/>
          <w:szCs w:val="22"/>
        </w:rPr>
        <w:t>van invloed en zeggenschap</w:t>
      </w:r>
      <w:r w:rsidRPr="004F382D" w:rsidR="00CA568D">
        <w:rPr>
          <w:rFonts w:ascii="Calibri" w:hAnsi="Calibri" w:cs="Calibri"/>
          <w:sz w:val="22"/>
          <w:szCs w:val="22"/>
        </w:rPr>
        <w:t xml:space="preserve"> voor burgers</w:t>
      </w:r>
      <w:r w:rsidRPr="004F382D" w:rsidR="002412FA">
        <w:rPr>
          <w:rFonts w:ascii="Calibri" w:hAnsi="Calibri" w:cs="Calibri"/>
          <w:sz w:val="22"/>
          <w:szCs w:val="22"/>
        </w:rPr>
        <w:t xml:space="preserve"> </w:t>
      </w:r>
      <w:r w:rsidRPr="004F382D" w:rsidR="000C6487">
        <w:rPr>
          <w:rFonts w:ascii="Calibri" w:hAnsi="Calibri" w:cs="Calibri"/>
          <w:sz w:val="22"/>
          <w:szCs w:val="22"/>
        </w:rPr>
        <w:t xml:space="preserve">en het maatschappelijk middenveld </w:t>
      </w:r>
      <w:r w:rsidRPr="004F382D" w:rsidR="002412FA">
        <w:rPr>
          <w:rFonts w:ascii="Calibri" w:hAnsi="Calibri" w:cs="Calibri"/>
          <w:sz w:val="22"/>
          <w:szCs w:val="22"/>
        </w:rPr>
        <w:t>op lokaal en nationaal niveau</w:t>
      </w:r>
      <w:r w:rsidRPr="004F382D" w:rsidR="00AD28E5">
        <w:rPr>
          <w:rFonts w:ascii="Calibri" w:hAnsi="Calibri" w:cs="Calibri"/>
          <w:sz w:val="22"/>
          <w:szCs w:val="22"/>
        </w:rPr>
        <w:t xml:space="preserve"> in Nederland</w:t>
      </w:r>
      <w:r w:rsidRPr="004F382D" w:rsidR="00AB6BD3">
        <w:rPr>
          <w:rFonts w:ascii="Calibri" w:hAnsi="Calibri" w:cs="Calibri"/>
          <w:sz w:val="22"/>
          <w:szCs w:val="22"/>
        </w:rPr>
        <w:t>, zodat de kracht van de samenleving benut wordt en meer mensen mee kunnen doen in democratie</w:t>
      </w:r>
      <w:r w:rsidRPr="004F382D" w:rsidR="00B02A4F">
        <w:rPr>
          <w:rFonts w:ascii="Calibri" w:hAnsi="Calibri" w:cs="Calibri"/>
          <w:sz w:val="22"/>
          <w:szCs w:val="22"/>
        </w:rPr>
        <w:t>.</w:t>
      </w:r>
      <w:r w:rsidRPr="004F382D" w:rsidR="00FA7825">
        <w:rPr>
          <w:rStyle w:val="Voetnootmarkering"/>
          <w:rFonts w:ascii="Calibri" w:hAnsi="Calibri" w:cs="Calibri"/>
          <w:sz w:val="22"/>
          <w:szCs w:val="22"/>
        </w:rPr>
        <w:footnoteReference w:id="5"/>
      </w:r>
      <w:r w:rsidRPr="004F382D" w:rsidR="00B02A4F">
        <w:rPr>
          <w:rFonts w:ascii="Calibri" w:hAnsi="Calibri" w:cs="Calibri"/>
          <w:sz w:val="22"/>
          <w:szCs w:val="22"/>
        </w:rPr>
        <w:t xml:space="preserve"> </w:t>
      </w:r>
      <w:bookmarkStart w:name="_Hlk216774715" w:id="1"/>
      <w:r w:rsidRPr="004F382D" w:rsidR="008775EB">
        <w:rPr>
          <w:rFonts w:ascii="Calibri" w:hAnsi="Calibri" w:cs="Calibri"/>
          <w:sz w:val="22"/>
          <w:szCs w:val="22"/>
        </w:rPr>
        <w:t xml:space="preserve">Hierin is ook aandacht voor </w:t>
      </w:r>
      <w:r w:rsidRPr="004F382D" w:rsidR="0023794C">
        <w:rPr>
          <w:rFonts w:ascii="Calibri" w:hAnsi="Calibri" w:cs="Calibri"/>
          <w:sz w:val="22"/>
          <w:szCs w:val="22"/>
        </w:rPr>
        <w:t>betekenisvolle participatie van jonge burgers</w:t>
      </w:r>
      <w:r w:rsidRPr="004F382D" w:rsidR="00B02A4F">
        <w:rPr>
          <w:rFonts w:ascii="Calibri" w:hAnsi="Calibri" w:cs="Calibri"/>
          <w:sz w:val="22"/>
          <w:szCs w:val="22"/>
        </w:rPr>
        <w:t>.</w:t>
      </w:r>
      <w:r w:rsidRPr="004F382D" w:rsidR="008775EB">
        <w:rPr>
          <w:rStyle w:val="Voetnootmarkering"/>
          <w:rFonts w:ascii="Calibri" w:hAnsi="Calibri" w:cs="Calibri"/>
          <w:sz w:val="22"/>
          <w:szCs w:val="22"/>
        </w:rPr>
        <w:footnoteReference w:id="6"/>
      </w:r>
    </w:p>
    <w:bookmarkEnd w:id="1"/>
    <w:p w:rsidRPr="004F382D" w:rsidR="009C5405" w:rsidP="00715FA4" w:rsidRDefault="009C5405" w14:paraId="500ED075" w14:textId="77777777">
      <w:pPr>
        <w:spacing w:after="160" w:line="240" w:lineRule="auto"/>
        <w:rPr>
          <w:rFonts w:ascii="Calibri" w:hAnsi="Calibri" w:cs="Calibri"/>
          <w:sz w:val="22"/>
          <w:szCs w:val="22"/>
        </w:rPr>
      </w:pPr>
    </w:p>
    <w:p w:rsidRPr="004F382D" w:rsidR="006A6D81" w:rsidP="00715FA4" w:rsidRDefault="009C5405" w14:paraId="338D9306" w14:textId="3A8D1E35">
      <w:pPr>
        <w:spacing w:after="160" w:line="240" w:lineRule="auto"/>
        <w:rPr>
          <w:rFonts w:ascii="Calibri" w:hAnsi="Calibri" w:cs="Calibri"/>
          <w:sz w:val="22"/>
          <w:szCs w:val="22"/>
        </w:rPr>
      </w:pPr>
      <w:r w:rsidRPr="004F382D">
        <w:rPr>
          <w:rFonts w:ascii="Calibri" w:hAnsi="Calibri" w:cs="Calibri"/>
          <w:sz w:val="22"/>
          <w:szCs w:val="22"/>
        </w:rPr>
        <w:t>Voor de ondersteuning en financiering van maatschappelijke organisaties is ook het overheidsbeleid ten aanzien van de filantropische sector van belang. Drie doelstellingen staan daarbij centraal; het stimuleren van geefgedrag, het bevorderen van transparantie en betrouwbaarheid van de sector en het bevorderen van samenwerking tussen overheid en filantropie in de aanpak van maatschappelijke opgaven.</w:t>
      </w:r>
      <w:r w:rsidRPr="004F382D">
        <w:rPr>
          <w:rStyle w:val="Voetnootmarkering"/>
          <w:rFonts w:ascii="Calibri" w:hAnsi="Calibri" w:cs="Calibri"/>
          <w:sz w:val="22"/>
          <w:szCs w:val="22"/>
        </w:rPr>
        <w:footnoteReference w:id="7"/>
      </w:r>
      <w:r w:rsidRPr="004F382D">
        <w:rPr>
          <w:rFonts w:ascii="Calibri" w:hAnsi="Calibri" w:cs="Calibri"/>
          <w:sz w:val="22"/>
          <w:szCs w:val="22"/>
        </w:rPr>
        <w:t xml:space="preserve"> </w:t>
      </w:r>
      <w:r w:rsidRPr="004F382D" w:rsidR="006A6D81">
        <w:rPr>
          <w:rFonts w:ascii="Calibri" w:hAnsi="Calibri" w:cs="Calibri"/>
          <w:sz w:val="22"/>
          <w:szCs w:val="22"/>
        </w:rPr>
        <w:t>In samenwerking met een brede vertegenwoordiging uit het maatschappelijk middenveld werkt het kabinet aan de vermindering van en het voorkomen van nieuwe regeldruk bij vrijwilligersorganisaties, filantropische instellingen en maatschappelijk initiatief</w:t>
      </w:r>
      <w:r w:rsidRPr="004F382D" w:rsidR="00F75624">
        <w:rPr>
          <w:rFonts w:ascii="Calibri" w:hAnsi="Calibri" w:cs="Calibri"/>
          <w:sz w:val="22"/>
          <w:szCs w:val="22"/>
        </w:rPr>
        <w:t>.</w:t>
      </w:r>
      <w:r w:rsidRPr="004F382D" w:rsidR="009F7D49">
        <w:rPr>
          <w:rStyle w:val="Voetnootmarkering"/>
          <w:rFonts w:ascii="Calibri" w:hAnsi="Calibri" w:cs="Calibri"/>
          <w:sz w:val="22"/>
          <w:szCs w:val="22"/>
        </w:rPr>
        <w:footnoteReference w:id="8"/>
      </w:r>
      <w:r w:rsidRPr="004F382D" w:rsidR="00D30669">
        <w:rPr>
          <w:rFonts w:ascii="Calibri" w:hAnsi="Calibri" w:cs="Calibri"/>
          <w:sz w:val="22"/>
          <w:szCs w:val="22"/>
        </w:rPr>
        <w:t xml:space="preserve"> </w:t>
      </w:r>
      <w:r w:rsidRPr="004F382D" w:rsidR="006A6D81">
        <w:rPr>
          <w:rFonts w:ascii="Calibri" w:hAnsi="Calibri" w:cs="Calibri"/>
          <w:sz w:val="22"/>
          <w:szCs w:val="22"/>
        </w:rPr>
        <w:t xml:space="preserve">Het kabinet zet zich daarnaast in voor een faciliterende omgeving voor maatschappelijke organisaties, donoren en </w:t>
      </w:r>
      <w:r w:rsidRPr="004F382D" w:rsidR="00CB2B4D">
        <w:rPr>
          <w:rFonts w:ascii="Calibri" w:hAnsi="Calibri" w:cs="Calibri"/>
          <w:sz w:val="22"/>
          <w:szCs w:val="22"/>
        </w:rPr>
        <w:t>filantropische</w:t>
      </w:r>
      <w:r w:rsidRPr="004F382D" w:rsidR="002367A2">
        <w:rPr>
          <w:rFonts w:ascii="Calibri" w:hAnsi="Calibri" w:cs="Calibri"/>
          <w:sz w:val="22"/>
          <w:szCs w:val="22"/>
        </w:rPr>
        <w:t xml:space="preserve"> </w:t>
      </w:r>
      <w:r w:rsidRPr="004F382D" w:rsidR="006A6D81">
        <w:rPr>
          <w:rFonts w:ascii="Calibri" w:hAnsi="Calibri" w:cs="Calibri"/>
          <w:sz w:val="22"/>
          <w:szCs w:val="22"/>
        </w:rPr>
        <w:t>fondsen</w:t>
      </w:r>
      <w:r w:rsidRPr="004F382D" w:rsidR="00B77BA4">
        <w:rPr>
          <w:rFonts w:ascii="Calibri" w:hAnsi="Calibri" w:cs="Calibri"/>
          <w:sz w:val="22"/>
          <w:szCs w:val="22"/>
        </w:rPr>
        <w:t>.</w:t>
      </w:r>
      <w:r w:rsidRPr="004F382D" w:rsidR="001A7775">
        <w:rPr>
          <w:rStyle w:val="Voetnootmarkering"/>
          <w:rFonts w:ascii="Calibri" w:hAnsi="Calibri" w:cs="Calibri"/>
          <w:sz w:val="22"/>
          <w:szCs w:val="22"/>
        </w:rPr>
        <w:footnoteReference w:id="9"/>
      </w:r>
    </w:p>
    <w:p w:rsidRPr="004F382D" w:rsidR="007E65B1" w:rsidP="00715FA4" w:rsidRDefault="007E65B1" w14:paraId="722318FC" w14:textId="77777777">
      <w:pPr>
        <w:spacing w:after="160" w:line="240" w:lineRule="auto"/>
        <w:rPr>
          <w:rFonts w:ascii="Calibri" w:hAnsi="Calibri" w:cs="Calibri"/>
          <w:sz w:val="22"/>
          <w:szCs w:val="22"/>
        </w:rPr>
      </w:pPr>
    </w:p>
    <w:p w:rsidRPr="004F382D" w:rsidR="00B11FDF" w:rsidP="00715FA4" w:rsidRDefault="006A6D81" w14:paraId="448C5C96" w14:textId="087D5B36">
      <w:pPr>
        <w:spacing w:after="160" w:line="240" w:lineRule="auto"/>
        <w:rPr>
          <w:rFonts w:ascii="Calibri" w:hAnsi="Calibri" w:cs="Calibri"/>
          <w:sz w:val="22"/>
          <w:szCs w:val="22"/>
        </w:rPr>
      </w:pPr>
      <w:r w:rsidRPr="004F382D">
        <w:rPr>
          <w:rFonts w:ascii="Calibri" w:hAnsi="Calibri" w:cs="Calibri"/>
          <w:sz w:val="22"/>
          <w:szCs w:val="22"/>
          <w:lang w:eastAsia="nl-NL"/>
        </w:rPr>
        <w:t xml:space="preserve">Tot slot vindt dit kabinet het belangrijk dat </w:t>
      </w:r>
      <w:r w:rsidRPr="004F382D">
        <w:rPr>
          <w:rFonts w:ascii="Calibri" w:hAnsi="Calibri" w:cs="Calibri"/>
          <w:sz w:val="22"/>
          <w:szCs w:val="22"/>
        </w:rPr>
        <w:t xml:space="preserve">maatschappelijke organisaties en mensenrechtenverdedigers worden ondersteund in zichzelf weerbaar te maken. </w:t>
      </w:r>
      <w:r w:rsidRPr="004F382D" w:rsidR="006A2DD8">
        <w:rPr>
          <w:rFonts w:ascii="Calibri" w:hAnsi="Calibri" w:cs="Calibri"/>
          <w:sz w:val="22"/>
          <w:szCs w:val="22"/>
        </w:rPr>
        <w:t>Het kabinet doet dit bijvoorbeeld bij organisaties die opkomen voor vrouwen- en lhbtiq+- rechten.</w:t>
      </w:r>
      <w:r w:rsidRPr="004F382D" w:rsidR="006A2DD8">
        <w:rPr>
          <w:rStyle w:val="Voetnootmarkering"/>
          <w:rFonts w:ascii="Calibri" w:hAnsi="Calibri" w:cs="Calibri"/>
          <w:sz w:val="22"/>
          <w:szCs w:val="22"/>
        </w:rPr>
        <w:footnoteReference w:id="10"/>
      </w:r>
      <w:r w:rsidRPr="004F382D" w:rsidR="006A2DD8">
        <w:rPr>
          <w:rFonts w:ascii="Calibri" w:hAnsi="Calibri" w:cs="Calibri"/>
          <w:sz w:val="22"/>
          <w:szCs w:val="22"/>
        </w:rPr>
        <w:t xml:space="preserve"> </w:t>
      </w:r>
      <w:r w:rsidRPr="004F382D" w:rsidR="00B11FDF">
        <w:rPr>
          <w:rFonts w:ascii="Calibri" w:hAnsi="Calibri" w:cs="Calibri"/>
          <w:sz w:val="22"/>
          <w:szCs w:val="22"/>
        </w:rPr>
        <w:t xml:space="preserve">Verder voorziet het kabinetsbeleid, waar mogelijk, in steun aan hervormingen in kandidaat-lidstaten. </w:t>
      </w:r>
      <w:r w:rsidRPr="004F382D" w:rsidR="0023794C">
        <w:rPr>
          <w:rFonts w:ascii="Calibri" w:hAnsi="Calibri" w:cs="Calibri"/>
          <w:sz w:val="22"/>
          <w:szCs w:val="22"/>
        </w:rPr>
        <w:t xml:space="preserve">Dit gebeurt onder andere via het </w:t>
      </w:r>
      <w:r w:rsidRPr="004F382D" w:rsidR="00CB7A2E">
        <w:rPr>
          <w:rFonts w:ascii="Calibri" w:hAnsi="Calibri" w:cs="Calibri"/>
          <w:sz w:val="22"/>
          <w:szCs w:val="22"/>
        </w:rPr>
        <w:t xml:space="preserve">Maatschappelijke Transformatie (MATRA) </w:t>
      </w:r>
      <w:r w:rsidRPr="004F382D" w:rsidR="0023794C">
        <w:rPr>
          <w:rFonts w:ascii="Calibri" w:hAnsi="Calibri" w:cs="Calibri"/>
          <w:sz w:val="22"/>
          <w:szCs w:val="22"/>
        </w:rPr>
        <w:t>programma voor de versterking van de democratie en de rechtsstaat.</w:t>
      </w:r>
      <w:r w:rsidRPr="004F382D" w:rsidR="0023794C">
        <w:rPr>
          <w:rStyle w:val="Voetnootmarkering"/>
          <w:rFonts w:ascii="Calibri" w:hAnsi="Calibri" w:cs="Calibri"/>
          <w:sz w:val="22"/>
          <w:szCs w:val="22"/>
        </w:rPr>
        <w:footnoteReference w:id="11"/>
      </w:r>
    </w:p>
    <w:p w:rsidRPr="004F382D" w:rsidR="0023794C" w:rsidP="00715FA4" w:rsidRDefault="0023794C" w14:paraId="53DC37B1" w14:textId="77777777">
      <w:pPr>
        <w:spacing w:after="160" w:line="240" w:lineRule="auto"/>
        <w:rPr>
          <w:rFonts w:ascii="Calibri" w:hAnsi="Calibri" w:cs="Calibri"/>
          <w:sz w:val="22"/>
          <w:szCs w:val="22"/>
        </w:rPr>
      </w:pPr>
    </w:p>
    <w:p w:rsidRPr="004F382D" w:rsidR="00CC3DCA" w:rsidP="00715FA4" w:rsidRDefault="00CC3DCA" w14:paraId="7F2DE4D8" w14:textId="058A108B">
      <w:pPr>
        <w:pStyle w:val="Kop3"/>
        <w:spacing w:after="160" w:line="240" w:lineRule="auto"/>
        <w:rPr>
          <w:rFonts w:ascii="Calibri" w:hAnsi="Calibri" w:cs="Calibri"/>
          <w:sz w:val="22"/>
          <w:szCs w:val="22"/>
        </w:rPr>
      </w:pPr>
      <w:r w:rsidRPr="004F382D">
        <w:rPr>
          <w:rFonts w:ascii="Calibri" w:hAnsi="Calibri" w:cs="Calibri"/>
          <w:sz w:val="22"/>
          <w:szCs w:val="22"/>
        </w:rPr>
        <w:t>Beoordeling + inzet ten aanzien van dit voorstel</w:t>
      </w:r>
      <w:r w:rsidRPr="004F382D" w:rsidR="006004CB">
        <w:rPr>
          <w:rFonts w:ascii="Calibri" w:hAnsi="Calibri" w:cs="Calibri"/>
          <w:sz w:val="22"/>
          <w:szCs w:val="22"/>
        </w:rPr>
        <w:t xml:space="preserve"> </w:t>
      </w:r>
    </w:p>
    <w:p w:rsidRPr="004F382D" w:rsidR="0020585E" w:rsidP="00715FA4" w:rsidRDefault="000B70F2" w14:paraId="566360C1" w14:textId="6855F8CC">
      <w:pPr>
        <w:spacing w:after="160" w:line="240" w:lineRule="auto"/>
        <w:rPr>
          <w:rFonts w:ascii="Calibri" w:hAnsi="Calibri" w:cs="Calibri"/>
          <w:sz w:val="22"/>
          <w:szCs w:val="22"/>
        </w:rPr>
      </w:pPr>
      <w:r w:rsidRPr="004F382D">
        <w:rPr>
          <w:rFonts w:ascii="Calibri" w:hAnsi="Calibri" w:cs="Calibri"/>
          <w:sz w:val="22"/>
          <w:szCs w:val="22"/>
        </w:rPr>
        <w:t>Het kabinet verwelkomt het voorstel en steunt de doelstellingen welke bijdragen aan de versterking en bescherming van het maatschappelijk middenveld.</w:t>
      </w:r>
      <w:r w:rsidRPr="004F382D" w:rsidR="009A0762">
        <w:rPr>
          <w:rFonts w:ascii="Calibri" w:hAnsi="Calibri" w:cs="Calibri"/>
          <w:sz w:val="22"/>
          <w:szCs w:val="22"/>
        </w:rPr>
        <w:t xml:space="preserve"> De krimpende maatschappelijke ruimte</w:t>
      </w:r>
      <w:r w:rsidRPr="004F382D" w:rsidR="002A143C">
        <w:rPr>
          <w:rFonts w:ascii="Calibri" w:hAnsi="Calibri" w:cs="Calibri"/>
          <w:sz w:val="22"/>
          <w:szCs w:val="22"/>
        </w:rPr>
        <w:t xml:space="preserve"> in de Unie</w:t>
      </w:r>
      <w:r w:rsidRPr="004F382D" w:rsidR="00B30C68">
        <w:rPr>
          <w:rFonts w:ascii="Calibri" w:hAnsi="Calibri" w:cs="Calibri"/>
          <w:sz w:val="22"/>
          <w:szCs w:val="22"/>
        </w:rPr>
        <w:t>, door maatschappelijke ontwikkelingen en</w:t>
      </w:r>
      <w:r w:rsidRPr="004F382D" w:rsidR="00F41B71">
        <w:rPr>
          <w:rFonts w:ascii="Calibri" w:hAnsi="Calibri" w:cs="Calibri"/>
          <w:sz w:val="22"/>
          <w:szCs w:val="22"/>
        </w:rPr>
        <w:t xml:space="preserve"> </w:t>
      </w:r>
      <w:r w:rsidRPr="004F382D" w:rsidR="00B30C68">
        <w:rPr>
          <w:rFonts w:ascii="Calibri" w:hAnsi="Calibri" w:cs="Calibri"/>
          <w:sz w:val="22"/>
          <w:szCs w:val="22"/>
        </w:rPr>
        <w:t>maatregelen van enkele lidstaten</w:t>
      </w:r>
      <w:r w:rsidRPr="004F382D" w:rsidR="00AD28E5">
        <w:rPr>
          <w:rFonts w:ascii="Calibri" w:hAnsi="Calibri" w:cs="Calibri"/>
          <w:sz w:val="22"/>
          <w:szCs w:val="22"/>
        </w:rPr>
        <w:t xml:space="preserve"> en verschillende kandidaat-lidstaten</w:t>
      </w:r>
      <w:r w:rsidRPr="004F382D" w:rsidR="002A143C">
        <w:rPr>
          <w:rFonts w:ascii="Calibri" w:hAnsi="Calibri" w:cs="Calibri"/>
          <w:sz w:val="22"/>
          <w:szCs w:val="22"/>
        </w:rPr>
        <w:t xml:space="preserve"> rechtvaardigt de voorgestelde inzet vanuit de Commissie.</w:t>
      </w:r>
      <w:r w:rsidRPr="004F382D">
        <w:rPr>
          <w:rFonts w:ascii="Calibri" w:hAnsi="Calibri" w:cs="Calibri"/>
          <w:sz w:val="22"/>
          <w:szCs w:val="22"/>
        </w:rPr>
        <w:t xml:space="preserve"> </w:t>
      </w:r>
      <w:r w:rsidRPr="004F382D" w:rsidR="00B30C68">
        <w:rPr>
          <w:rFonts w:ascii="Calibri" w:hAnsi="Calibri" w:cs="Calibri"/>
          <w:sz w:val="22"/>
          <w:szCs w:val="22"/>
        </w:rPr>
        <w:t>Desalniettemin</w:t>
      </w:r>
      <w:r w:rsidRPr="004F382D" w:rsidR="002A143C">
        <w:rPr>
          <w:rFonts w:ascii="Calibri" w:hAnsi="Calibri" w:cs="Calibri"/>
          <w:sz w:val="22"/>
          <w:szCs w:val="22"/>
        </w:rPr>
        <w:t xml:space="preserve"> </w:t>
      </w:r>
      <w:r w:rsidRPr="004F382D" w:rsidR="007234A1">
        <w:rPr>
          <w:rFonts w:ascii="Calibri" w:hAnsi="Calibri" w:cs="Calibri"/>
          <w:sz w:val="22"/>
          <w:szCs w:val="22"/>
        </w:rPr>
        <w:t xml:space="preserve">ziet het kabinet </w:t>
      </w:r>
      <w:r w:rsidRPr="004F382D" w:rsidR="00D2405E">
        <w:rPr>
          <w:rFonts w:ascii="Calibri" w:hAnsi="Calibri" w:cs="Calibri"/>
          <w:sz w:val="22"/>
          <w:szCs w:val="22"/>
        </w:rPr>
        <w:t>enkele aandachtspunten.</w:t>
      </w:r>
    </w:p>
    <w:p w:rsidRPr="004F382D" w:rsidR="0020585E" w:rsidP="00715FA4" w:rsidRDefault="0020585E" w14:paraId="7DFE1942" w14:textId="77777777">
      <w:pPr>
        <w:spacing w:after="160" w:line="240" w:lineRule="auto"/>
        <w:rPr>
          <w:rFonts w:ascii="Calibri" w:hAnsi="Calibri" w:cs="Calibri"/>
          <w:sz w:val="22"/>
          <w:szCs w:val="22"/>
        </w:rPr>
      </w:pPr>
    </w:p>
    <w:p w:rsidRPr="004F382D" w:rsidR="006C6555" w:rsidP="00715FA4" w:rsidRDefault="00A72496" w14:paraId="730E8FC9" w14:textId="22058BC8">
      <w:pPr>
        <w:spacing w:after="160" w:line="240" w:lineRule="auto"/>
        <w:rPr>
          <w:rFonts w:ascii="Calibri" w:hAnsi="Calibri" w:cs="Calibri"/>
          <w:sz w:val="22"/>
          <w:szCs w:val="22"/>
        </w:rPr>
      </w:pPr>
      <w:r w:rsidRPr="004F382D">
        <w:rPr>
          <w:rFonts w:ascii="Calibri" w:hAnsi="Calibri" w:cs="Calibri"/>
          <w:sz w:val="22"/>
          <w:szCs w:val="22"/>
        </w:rPr>
        <w:t>Het</w:t>
      </w:r>
      <w:r w:rsidRPr="004F382D" w:rsidR="00B75B7D">
        <w:rPr>
          <w:rFonts w:ascii="Calibri" w:hAnsi="Calibri" w:cs="Calibri"/>
          <w:sz w:val="22"/>
          <w:szCs w:val="22"/>
        </w:rPr>
        <w:t xml:space="preserve"> kabinet acht het van belang dat de inzet op het maatschappelijk middenveld integraal past binnen de bredere inzet om Europese fundamentele rechten en waarden te beschermen en bevorderen. </w:t>
      </w:r>
      <w:r w:rsidRPr="004F382D" w:rsidR="006C6555">
        <w:rPr>
          <w:rFonts w:ascii="Calibri" w:hAnsi="Calibri" w:cs="Calibri"/>
          <w:sz w:val="22"/>
          <w:szCs w:val="22"/>
        </w:rPr>
        <w:t>De strategie moet in samenhang bekeken worden met reeds bestaande strategieën,</w:t>
      </w:r>
      <w:r w:rsidRPr="004F382D" w:rsidR="00D30669">
        <w:rPr>
          <w:rFonts w:ascii="Calibri" w:hAnsi="Calibri" w:cs="Calibri"/>
          <w:sz w:val="22"/>
          <w:szCs w:val="22"/>
        </w:rPr>
        <w:t xml:space="preserve"> </w:t>
      </w:r>
      <w:r w:rsidRPr="004F382D" w:rsidR="002917F1">
        <w:rPr>
          <w:rFonts w:ascii="Calibri" w:hAnsi="Calibri" w:cs="Calibri"/>
          <w:sz w:val="22"/>
          <w:szCs w:val="22"/>
        </w:rPr>
        <w:t xml:space="preserve">rapporten (Rechtsstaatrapportage, rapporten van het grondrechten agentschap FRA), </w:t>
      </w:r>
      <w:r w:rsidRPr="004F382D" w:rsidR="006C6555">
        <w:rPr>
          <w:rFonts w:ascii="Calibri" w:hAnsi="Calibri" w:cs="Calibri"/>
          <w:sz w:val="22"/>
          <w:szCs w:val="22"/>
        </w:rPr>
        <w:t xml:space="preserve">(EU) wetgeving </w:t>
      </w:r>
      <w:r w:rsidRPr="004F382D" w:rsidR="002917F1">
        <w:rPr>
          <w:rFonts w:ascii="Calibri" w:hAnsi="Calibri" w:cs="Calibri"/>
          <w:sz w:val="22"/>
          <w:szCs w:val="22"/>
        </w:rPr>
        <w:t>of aanbevelingen.</w:t>
      </w:r>
      <w:r w:rsidRPr="004F382D" w:rsidR="00D30669">
        <w:rPr>
          <w:rFonts w:ascii="Calibri" w:hAnsi="Calibri" w:cs="Calibri"/>
          <w:sz w:val="22"/>
          <w:szCs w:val="22"/>
        </w:rPr>
        <w:t xml:space="preserve"> </w:t>
      </w:r>
      <w:r w:rsidRPr="004F382D" w:rsidR="00F41B71">
        <w:rPr>
          <w:rFonts w:ascii="Calibri" w:hAnsi="Calibri" w:cs="Calibri"/>
          <w:sz w:val="22"/>
          <w:szCs w:val="22"/>
        </w:rPr>
        <w:t xml:space="preserve">Het kabinet mist in de huidige strategie een </w:t>
      </w:r>
      <w:r w:rsidRPr="004F382D" w:rsidR="00DE323E">
        <w:rPr>
          <w:rFonts w:ascii="Calibri" w:hAnsi="Calibri" w:cs="Calibri"/>
          <w:sz w:val="22"/>
          <w:szCs w:val="22"/>
        </w:rPr>
        <w:t xml:space="preserve">duidelijke </w:t>
      </w:r>
      <w:r w:rsidRPr="004F382D" w:rsidR="006C6555">
        <w:rPr>
          <w:rFonts w:ascii="Calibri" w:hAnsi="Calibri" w:cs="Calibri"/>
          <w:sz w:val="22"/>
          <w:szCs w:val="22"/>
        </w:rPr>
        <w:t xml:space="preserve">koppeling </w:t>
      </w:r>
      <w:r w:rsidRPr="004F382D" w:rsidR="006004CB">
        <w:rPr>
          <w:rFonts w:ascii="Calibri" w:hAnsi="Calibri" w:cs="Calibri"/>
          <w:sz w:val="22"/>
          <w:szCs w:val="22"/>
        </w:rPr>
        <w:t xml:space="preserve">met </w:t>
      </w:r>
      <w:r w:rsidRPr="004F382D" w:rsidR="006C6555">
        <w:rPr>
          <w:rFonts w:ascii="Calibri" w:hAnsi="Calibri" w:cs="Calibri"/>
          <w:sz w:val="22"/>
          <w:szCs w:val="22"/>
        </w:rPr>
        <w:t>andere strategieën op het vlak van Europese fundamentele rechten en waarden zoals de EU strategie gelijkheid voor lhbtiq’ers 2026-2030 en de aangekondigde Gendergelijkheidstrategie 2026-2030</w:t>
      </w:r>
      <w:r w:rsidRPr="004F382D" w:rsidR="00706E79">
        <w:rPr>
          <w:rFonts w:ascii="Calibri" w:hAnsi="Calibri" w:cs="Calibri"/>
          <w:sz w:val="22"/>
          <w:szCs w:val="22"/>
        </w:rPr>
        <w:t xml:space="preserve">. Ook ontbreekt een link met </w:t>
      </w:r>
      <w:r w:rsidRPr="004F382D" w:rsidR="00F41B71">
        <w:rPr>
          <w:rFonts w:ascii="Calibri" w:hAnsi="Calibri" w:cs="Calibri"/>
          <w:sz w:val="22"/>
          <w:szCs w:val="22"/>
        </w:rPr>
        <w:t>relevante EU wetgeving, zoals de Digital Services Act</w:t>
      </w:r>
      <w:r w:rsidRPr="004F382D" w:rsidR="00F41B71">
        <w:rPr>
          <w:rStyle w:val="Voetnootmarkering"/>
          <w:rFonts w:ascii="Calibri" w:hAnsi="Calibri" w:cs="Calibri"/>
          <w:sz w:val="22"/>
          <w:szCs w:val="22"/>
        </w:rPr>
        <w:footnoteReference w:id="12"/>
      </w:r>
      <w:r w:rsidRPr="004F382D" w:rsidR="00F41B71">
        <w:rPr>
          <w:rFonts w:ascii="Calibri" w:hAnsi="Calibri" w:cs="Calibri"/>
          <w:sz w:val="22"/>
          <w:szCs w:val="22"/>
        </w:rPr>
        <w:t xml:space="preserve"> en de anti-SLAPP richtlijn</w:t>
      </w:r>
      <w:r w:rsidRPr="004F382D" w:rsidR="006B4C4C">
        <w:rPr>
          <w:rFonts w:ascii="Calibri" w:hAnsi="Calibri" w:cs="Calibri"/>
          <w:sz w:val="22"/>
          <w:szCs w:val="22"/>
        </w:rPr>
        <w:t>.</w:t>
      </w:r>
      <w:r w:rsidRPr="004F382D" w:rsidR="00F41B71">
        <w:rPr>
          <w:rStyle w:val="Voetnootmarkering"/>
          <w:rFonts w:ascii="Calibri" w:hAnsi="Calibri" w:cs="Calibri"/>
          <w:sz w:val="22"/>
          <w:szCs w:val="22"/>
        </w:rPr>
        <w:footnoteReference w:id="13"/>
      </w:r>
      <w:r w:rsidRPr="004F382D" w:rsidR="00F41B71">
        <w:rPr>
          <w:rFonts w:ascii="Calibri" w:hAnsi="Calibri" w:cs="Calibri"/>
          <w:sz w:val="22"/>
          <w:szCs w:val="22"/>
        </w:rPr>
        <w:t xml:space="preserve"> </w:t>
      </w:r>
      <w:r w:rsidRPr="004F382D" w:rsidR="00DE323E">
        <w:rPr>
          <w:rFonts w:ascii="Calibri" w:hAnsi="Calibri" w:cs="Calibri"/>
          <w:sz w:val="22"/>
          <w:szCs w:val="22"/>
        </w:rPr>
        <w:t>Het kabinet is van oordeel dat bij de uitwerking van het voorste</w:t>
      </w:r>
      <w:r w:rsidRPr="004F382D" w:rsidR="00B77BA4">
        <w:rPr>
          <w:rFonts w:ascii="Calibri" w:hAnsi="Calibri" w:cs="Calibri"/>
          <w:sz w:val="22"/>
          <w:szCs w:val="22"/>
        </w:rPr>
        <w:t>l</w:t>
      </w:r>
      <w:r w:rsidRPr="004F382D" w:rsidR="00DE323E">
        <w:rPr>
          <w:rFonts w:ascii="Calibri" w:hAnsi="Calibri" w:cs="Calibri"/>
          <w:sz w:val="22"/>
          <w:szCs w:val="22"/>
        </w:rPr>
        <w:t xml:space="preserve"> samenhang aangebracht dient te worden met bestaande en nieuwe initiatieven van de Commissie; evenals een verbinding met het werk van de Raad van Europa en de </w:t>
      </w:r>
      <w:r w:rsidRPr="004F382D" w:rsidR="00CB7A2E">
        <w:rPr>
          <w:rFonts w:ascii="Calibri" w:hAnsi="Calibri" w:cs="Calibri"/>
          <w:sz w:val="22"/>
          <w:szCs w:val="22"/>
        </w:rPr>
        <w:t>Organisatie voor Europese Samenwerking en Ontwikkeling (</w:t>
      </w:r>
      <w:r w:rsidRPr="004F382D" w:rsidR="00DE323E">
        <w:rPr>
          <w:rFonts w:ascii="Calibri" w:hAnsi="Calibri" w:cs="Calibri"/>
          <w:sz w:val="22"/>
          <w:szCs w:val="22"/>
        </w:rPr>
        <w:t>OESO</w:t>
      </w:r>
      <w:r w:rsidRPr="004F382D" w:rsidR="00CB7A2E">
        <w:rPr>
          <w:rFonts w:ascii="Calibri" w:hAnsi="Calibri" w:cs="Calibri"/>
          <w:sz w:val="22"/>
          <w:szCs w:val="22"/>
        </w:rPr>
        <w:t>)</w:t>
      </w:r>
      <w:r w:rsidRPr="004F382D" w:rsidR="00DE323E">
        <w:rPr>
          <w:rFonts w:ascii="Calibri" w:hAnsi="Calibri" w:cs="Calibri"/>
          <w:sz w:val="22"/>
          <w:szCs w:val="22"/>
        </w:rPr>
        <w:t xml:space="preserve"> om tot een sterke en </w:t>
      </w:r>
      <w:r w:rsidRPr="004F382D" w:rsidR="00C11810">
        <w:rPr>
          <w:rFonts w:ascii="Calibri" w:hAnsi="Calibri" w:cs="Calibri"/>
          <w:sz w:val="22"/>
          <w:szCs w:val="22"/>
        </w:rPr>
        <w:t>geïntegreerde</w:t>
      </w:r>
      <w:r w:rsidRPr="004F382D" w:rsidR="00DE323E">
        <w:rPr>
          <w:rFonts w:ascii="Calibri" w:hAnsi="Calibri" w:cs="Calibri"/>
          <w:sz w:val="22"/>
          <w:szCs w:val="22"/>
        </w:rPr>
        <w:t xml:space="preserve"> aanpak te komen.</w:t>
      </w:r>
    </w:p>
    <w:p w:rsidRPr="004F382D" w:rsidR="00F41B71" w:rsidP="00715FA4" w:rsidRDefault="00F41B71" w14:paraId="0F4DB137" w14:textId="77777777">
      <w:pPr>
        <w:spacing w:after="160" w:line="240" w:lineRule="auto"/>
        <w:rPr>
          <w:rFonts w:ascii="Calibri" w:hAnsi="Calibri" w:cs="Calibri"/>
          <w:sz w:val="22"/>
          <w:szCs w:val="22"/>
        </w:rPr>
      </w:pPr>
    </w:p>
    <w:p w:rsidRPr="004F382D" w:rsidR="002922A9" w:rsidP="00715FA4" w:rsidRDefault="00AD28E5" w14:paraId="17104EDE" w14:textId="557FEEEC">
      <w:pPr>
        <w:spacing w:after="160" w:line="240" w:lineRule="auto"/>
        <w:rPr>
          <w:rFonts w:ascii="Calibri" w:hAnsi="Calibri" w:cs="Calibri"/>
          <w:sz w:val="22"/>
          <w:szCs w:val="22"/>
        </w:rPr>
      </w:pPr>
      <w:r w:rsidRPr="004F382D">
        <w:rPr>
          <w:rFonts w:ascii="Calibri" w:hAnsi="Calibri" w:cs="Calibri"/>
          <w:sz w:val="22"/>
          <w:szCs w:val="22"/>
        </w:rPr>
        <w:t xml:space="preserve">De voorgestelde inzet op EU-buitenlandbeleid onder de strategie (hoofdstuk vijf) sluit aan bij het Nederlandse </w:t>
      </w:r>
      <w:r w:rsidRPr="004F382D" w:rsidR="00E9083D">
        <w:rPr>
          <w:rFonts w:ascii="Calibri" w:hAnsi="Calibri" w:cs="Calibri"/>
          <w:sz w:val="22"/>
          <w:szCs w:val="22"/>
        </w:rPr>
        <w:t>buitenland</w:t>
      </w:r>
      <w:r w:rsidRPr="004F382D">
        <w:rPr>
          <w:rFonts w:ascii="Calibri" w:hAnsi="Calibri" w:cs="Calibri"/>
          <w:sz w:val="22"/>
          <w:szCs w:val="22"/>
        </w:rPr>
        <w:t>beleid</w:t>
      </w:r>
      <w:r w:rsidRPr="004F382D" w:rsidR="00E9083D">
        <w:rPr>
          <w:rFonts w:ascii="Calibri" w:hAnsi="Calibri" w:cs="Calibri"/>
          <w:sz w:val="22"/>
          <w:szCs w:val="22"/>
        </w:rPr>
        <w:t>.</w:t>
      </w:r>
      <w:r w:rsidRPr="004F382D" w:rsidR="001A3CF1">
        <w:rPr>
          <w:rStyle w:val="Voetnootmarkering"/>
          <w:rFonts w:ascii="Calibri" w:hAnsi="Calibri" w:cs="Calibri"/>
          <w:sz w:val="22"/>
          <w:szCs w:val="22"/>
        </w:rPr>
        <w:footnoteReference w:id="14"/>
      </w:r>
      <w:r w:rsidRPr="004F382D">
        <w:rPr>
          <w:rFonts w:ascii="Calibri" w:hAnsi="Calibri" w:cs="Calibri"/>
          <w:sz w:val="22"/>
          <w:szCs w:val="22"/>
        </w:rPr>
        <w:t xml:space="preserve"> </w:t>
      </w:r>
      <w:r w:rsidRPr="004F382D" w:rsidR="002922A9">
        <w:rPr>
          <w:rFonts w:ascii="Calibri" w:hAnsi="Calibri" w:cs="Calibri"/>
          <w:sz w:val="22"/>
          <w:szCs w:val="22"/>
        </w:rPr>
        <w:t xml:space="preserve">De strategie erkent de veelzijdige rol van het maatschappelijk middenveld en sluit aan bij de Nederlandse inzet om maatschappelijke ruimte en participatie van het maatschappelijk middenveld en mensenrechtenverdedigers structureel te verankeren in het Europees buitenlandbeleid. Het kabinet verwelkomt het initiatief van de EC om lidstaten trainingen aan te bieden ter bevordering van de implementatie van het EU Visa Code Handboek, waaronder visa voor mensenrechtenverdedigers. Het kabinet acht het belangrijk dat de uitvoering van hoofdstuk vijf van de strategie complementair aan bestaande EU-instrumenten plaatsvindt en waar mogelijk gebruik maakt van bestaande structuren, zoals het </w:t>
      </w:r>
      <w:r w:rsidRPr="004F382D" w:rsidR="002922A9">
        <w:rPr>
          <w:rFonts w:ascii="Calibri" w:hAnsi="Calibri" w:cs="Calibri"/>
          <w:i/>
          <w:sz w:val="22"/>
          <w:szCs w:val="22"/>
        </w:rPr>
        <w:t>Team Europe Democracy-</w:t>
      </w:r>
      <w:r w:rsidRPr="004F382D" w:rsidR="002922A9">
        <w:rPr>
          <w:rFonts w:ascii="Calibri" w:hAnsi="Calibri" w:cs="Calibri"/>
          <w:sz w:val="22"/>
          <w:szCs w:val="22"/>
        </w:rPr>
        <w:t>verband en EU’s mensenrechtenverdedigers beschermingsmechanisme.</w:t>
      </w:r>
    </w:p>
    <w:p w:rsidRPr="004F382D" w:rsidR="002922A9" w:rsidP="00715FA4" w:rsidRDefault="002922A9" w14:paraId="60448690" w14:textId="77777777">
      <w:pPr>
        <w:spacing w:after="160" w:line="240" w:lineRule="auto"/>
        <w:rPr>
          <w:rFonts w:ascii="Calibri" w:hAnsi="Calibri" w:cs="Calibri"/>
          <w:sz w:val="22"/>
          <w:szCs w:val="22"/>
        </w:rPr>
      </w:pPr>
    </w:p>
    <w:p w:rsidRPr="004F382D" w:rsidR="006C6555" w:rsidP="00715FA4" w:rsidRDefault="00F41B71" w14:paraId="2D52AB93" w14:textId="446D0099">
      <w:pPr>
        <w:spacing w:after="160" w:line="240" w:lineRule="auto"/>
        <w:rPr>
          <w:rFonts w:ascii="Calibri" w:hAnsi="Calibri" w:cs="Calibri"/>
          <w:sz w:val="22"/>
          <w:szCs w:val="22"/>
        </w:rPr>
      </w:pPr>
      <w:r w:rsidRPr="004F382D">
        <w:rPr>
          <w:rFonts w:ascii="Calibri" w:hAnsi="Calibri" w:cs="Calibri"/>
          <w:sz w:val="22"/>
          <w:szCs w:val="22"/>
        </w:rPr>
        <w:t xml:space="preserve">Het kabinet onderschrijft </w:t>
      </w:r>
      <w:r w:rsidRPr="004F382D" w:rsidR="00C24795">
        <w:rPr>
          <w:rFonts w:ascii="Calibri" w:hAnsi="Calibri" w:cs="Calibri"/>
          <w:sz w:val="22"/>
          <w:szCs w:val="22"/>
        </w:rPr>
        <w:t xml:space="preserve">het </w:t>
      </w:r>
      <w:r w:rsidRPr="004F382D">
        <w:rPr>
          <w:rFonts w:ascii="Calibri" w:hAnsi="Calibri" w:cs="Calibri"/>
          <w:sz w:val="22"/>
          <w:szCs w:val="22"/>
        </w:rPr>
        <w:t>belang van het betrekken van het maatschappelijk middenveld bij het uitvoeren van deze strategie en staat positief tegenover de middelen die worden vrijgemaakt ter versterking van het maatschappelijk middenveld. Wel vraagt zij aandach</w:t>
      </w:r>
      <w:r w:rsidRPr="004F382D" w:rsidR="00706E79">
        <w:rPr>
          <w:rFonts w:ascii="Calibri" w:hAnsi="Calibri" w:cs="Calibri"/>
          <w:sz w:val="22"/>
          <w:szCs w:val="22"/>
        </w:rPr>
        <w:t xml:space="preserve">t voor </w:t>
      </w:r>
      <w:r w:rsidRPr="004F382D" w:rsidR="00FF4055">
        <w:rPr>
          <w:rFonts w:ascii="Calibri" w:hAnsi="Calibri" w:cs="Calibri"/>
          <w:sz w:val="22"/>
          <w:szCs w:val="22"/>
        </w:rPr>
        <w:t xml:space="preserve">toegankelijkheid </w:t>
      </w:r>
      <w:r w:rsidRPr="004F382D" w:rsidR="007B655C">
        <w:rPr>
          <w:rFonts w:ascii="Calibri" w:hAnsi="Calibri" w:cs="Calibri"/>
          <w:sz w:val="22"/>
          <w:szCs w:val="22"/>
        </w:rPr>
        <w:t xml:space="preserve">en begrijpelijkheid </w:t>
      </w:r>
      <w:r w:rsidRPr="004F382D" w:rsidR="00FF4055">
        <w:rPr>
          <w:rFonts w:ascii="Calibri" w:hAnsi="Calibri" w:cs="Calibri"/>
          <w:sz w:val="22"/>
          <w:szCs w:val="22"/>
        </w:rPr>
        <w:t xml:space="preserve">van deze middelen voor maatschappelijke organisaties zelf. </w:t>
      </w:r>
      <w:r w:rsidRPr="004F382D" w:rsidR="00CE32A1">
        <w:rPr>
          <w:rFonts w:ascii="Calibri" w:hAnsi="Calibri" w:cs="Calibri"/>
          <w:sz w:val="22"/>
          <w:szCs w:val="22"/>
        </w:rPr>
        <w:t xml:space="preserve">Ook ziet ze graag meer aandacht voor de kansen die zelfregulering kan bieden in het bevorderen van transparantie en betrouwbaarheid van de sector. </w:t>
      </w:r>
      <w:r w:rsidRPr="004F382D" w:rsidR="00AD28E5">
        <w:rPr>
          <w:rFonts w:ascii="Calibri" w:hAnsi="Calibri" w:cs="Calibri"/>
          <w:sz w:val="22"/>
          <w:szCs w:val="22"/>
        </w:rPr>
        <w:t>Ook in de onderhandelingen over het nieuwe MFK onderstreept het kabinet voor het Global Europe instrument het belang van betekenisvolle participatie van het maatschappelijk middenveld in alle fasen van de beleids- en programmeringscyclus</w:t>
      </w:r>
      <w:r w:rsidRPr="004F382D" w:rsidR="006A2DD8">
        <w:rPr>
          <w:rFonts w:ascii="Calibri" w:hAnsi="Calibri" w:cs="Calibri"/>
          <w:sz w:val="22"/>
          <w:szCs w:val="22"/>
        </w:rPr>
        <w:t>, in lijn met de motie Ceder.</w:t>
      </w:r>
      <w:r w:rsidRPr="004F382D" w:rsidR="006A2DD8">
        <w:rPr>
          <w:rStyle w:val="Voetnootmarkering"/>
          <w:rFonts w:ascii="Calibri" w:hAnsi="Calibri" w:cs="Calibri"/>
          <w:sz w:val="22"/>
          <w:szCs w:val="22"/>
        </w:rPr>
        <w:footnoteReference w:id="15"/>
      </w:r>
    </w:p>
    <w:p w:rsidRPr="004F382D" w:rsidR="00706E79" w:rsidP="00715FA4" w:rsidRDefault="00706E79" w14:paraId="20944CC6" w14:textId="77777777">
      <w:pPr>
        <w:spacing w:after="160" w:line="240" w:lineRule="auto"/>
        <w:rPr>
          <w:rFonts w:ascii="Calibri" w:hAnsi="Calibri" w:cs="Calibri"/>
          <w:sz w:val="22"/>
          <w:szCs w:val="22"/>
        </w:rPr>
      </w:pPr>
    </w:p>
    <w:p w:rsidRPr="004F382D" w:rsidR="00BE05D0" w:rsidP="00715FA4" w:rsidRDefault="00BE05D0" w14:paraId="2449F8BB" w14:textId="53AB9863">
      <w:pPr>
        <w:spacing w:after="160" w:line="240" w:lineRule="auto"/>
        <w:rPr>
          <w:rFonts w:ascii="Calibri" w:hAnsi="Calibri" w:cs="Calibri"/>
          <w:sz w:val="22"/>
          <w:szCs w:val="22"/>
        </w:rPr>
      </w:pPr>
      <w:r w:rsidRPr="004F382D">
        <w:rPr>
          <w:rFonts w:ascii="Calibri" w:hAnsi="Calibri" w:cs="Calibri"/>
          <w:sz w:val="22"/>
          <w:szCs w:val="22"/>
        </w:rPr>
        <w:t>Ook</w:t>
      </w:r>
      <w:r w:rsidRPr="004F382D" w:rsidR="00F41B71">
        <w:rPr>
          <w:rFonts w:ascii="Calibri" w:hAnsi="Calibri" w:cs="Calibri"/>
          <w:sz w:val="22"/>
          <w:szCs w:val="22"/>
        </w:rPr>
        <w:t xml:space="preserve"> vraagt </w:t>
      </w:r>
      <w:r w:rsidRPr="004F382D" w:rsidR="00151873">
        <w:rPr>
          <w:rFonts w:ascii="Calibri" w:hAnsi="Calibri" w:cs="Calibri"/>
          <w:sz w:val="22"/>
          <w:szCs w:val="22"/>
        </w:rPr>
        <w:t>he</w:t>
      </w:r>
      <w:r w:rsidRPr="004F382D" w:rsidR="006C6555">
        <w:rPr>
          <w:rFonts w:ascii="Calibri" w:hAnsi="Calibri" w:cs="Calibri"/>
          <w:sz w:val="22"/>
          <w:szCs w:val="22"/>
        </w:rPr>
        <w:t>t kabinet zich af hoe deze strategie zich verhoudt tot het door de Commissie voorgestelde transparantierichtlij</w:t>
      </w:r>
      <w:r w:rsidRPr="004F382D" w:rsidR="00DE323E">
        <w:rPr>
          <w:rFonts w:ascii="Calibri" w:hAnsi="Calibri" w:cs="Calibri"/>
          <w:sz w:val="22"/>
          <w:szCs w:val="22"/>
        </w:rPr>
        <w:t>n</w:t>
      </w:r>
      <w:r w:rsidRPr="004F382D" w:rsidR="006C6555">
        <w:rPr>
          <w:rStyle w:val="Voetnootmarkering"/>
          <w:rFonts w:ascii="Calibri" w:hAnsi="Calibri" w:cs="Calibri"/>
          <w:sz w:val="22"/>
          <w:szCs w:val="22"/>
        </w:rPr>
        <w:footnoteReference w:id="16"/>
      </w:r>
      <w:r w:rsidRPr="004F382D" w:rsidR="00DE323E">
        <w:rPr>
          <w:rFonts w:ascii="Calibri" w:hAnsi="Calibri" w:cs="Calibri"/>
          <w:sz w:val="22"/>
          <w:szCs w:val="22"/>
        </w:rPr>
        <w:t xml:space="preserve"> en de lopende onderhandelingen hierover. In de gesprekken daarover is aandacht gevraagd voor het risico van stigmatisering en toenemende lastendruk in geval maatschappelijke organisaties zich dienen te registreren in een lobbyregister. Het kabinet is waakzaam dat dit </w:t>
      </w:r>
      <w:r w:rsidRPr="004F382D" w:rsidR="00D30669">
        <w:rPr>
          <w:rFonts w:ascii="Calibri" w:hAnsi="Calibri" w:cs="Calibri"/>
          <w:sz w:val="22"/>
          <w:szCs w:val="22"/>
        </w:rPr>
        <w:t>initiatief</w:t>
      </w:r>
      <w:r w:rsidRPr="004F382D" w:rsidR="00DE323E">
        <w:rPr>
          <w:rFonts w:ascii="Calibri" w:hAnsi="Calibri" w:cs="Calibri"/>
          <w:sz w:val="22"/>
          <w:szCs w:val="22"/>
        </w:rPr>
        <w:t xml:space="preserve"> – maar ook anderen – niet leiden tot een onbedoeld effect – namelijk een afname van </w:t>
      </w:r>
      <w:r w:rsidRPr="004F382D" w:rsidR="00D30669">
        <w:rPr>
          <w:rFonts w:ascii="Calibri" w:hAnsi="Calibri" w:cs="Calibri"/>
          <w:sz w:val="22"/>
          <w:szCs w:val="22"/>
        </w:rPr>
        <w:t>participatie</w:t>
      </w:r>
      <w:r w:rsidRPr="004F382D" w:rsidR="00DE323E">
        <w:rPr>
          <w:rFonts w:ascii="Calibri" w:hAnsi="Calibri" w:cs="Calibri"/>
          <w:sz w:val="22"/>
          <w:szCs w:val="22"/>
        </w:rPr>
        <w:t xml:space="preserve"> in belangenbehartiging en besluitvorming. </w:t>
      </w:r>
      <w:r w:rsidRPr="004F382D" w:rsidR="00A72496">
        <w:rPr>
          <w:rFonts w:ascii="Calibri" w:hAnsi="Calibri" w:cs="Calibri"/>
          <w:sz w:val="22"/>
          <w:szCs w:val="22"/>
        </w:rPr>
        <w:t xml:space="preserve">Het kabinet vraagt ook hier, ten </w:t>
      </w:r>
      <w:r w:rsidRPr="004F382D" w:rsidR="00A72496">
        <w:rPr>
          <w:rFonts w:ascii="Calibri" w:hAnsi="Calibri" w:cs="Calibri"/>
          <w:sz w:val="22"/>
          <w:szCs w:val="22"/>
        </w:rPr>
        <w:lastRenderedPageBreak/>
        <w:t>aanzien van deze strategie, aandacht voor het risico van stigmatisering, toename van lastendruk (drempels) en onveiligheid van het maatschappelijk middenveld.</w:t>
      </w:r>
      <w:r w:rsidRPr="004F382D" w:rsidR="006C6555">
        <w:rPr>
          <w:rStyle w:val="Voetnootmarkering"/>
          <w:rFonts w:ascii="Calibri" w:hAnsi="Calibri" w:cs="Calibri"/>
          <w:sz w:val="22"/>
          <w:szCs w:val="22"/>
        </w:rPr>
        <w:footnoteReference w:id="17"/>
      </w:r>
      <w:r w:rsidRPr="004F382D" w:rsidR="006C6555">
        <w:rPr>
          <w:rFonts w:ascii="Calibri" w:hAnsi="Calibri" w:cs="Calibri"/>
          <w:sz w:val="22"/>
          <w:szCs w:val="22"/>
        </w:rPr>
        <w:t xml:space="preserve"> </w:t>
      </w:r>
    </w:p>
    <w:p w:rsidRPr="004F382D" w:rsidR="00BE05D0" w:rsidP="00715FA4" w:rsidRDefault="00BE05D0" w14:paraId="7E840781" w14:textId="77777777">
      <w:pPr>
        <w:spacing w:after="160" w:line="240" w:lineRule="auto"/>
        <w:rPr>
          <w:rFonts w:ascii="Calibri" w:hAnsi="Calibri" w:cs="Calibri"/>
          <w:sz w:val="22"/>
          <w:szCs w:val="22"/>
        </w:rPr>
      </w:pPr>
    </w:p>
    <w:p w:rsidRPr="004F382D" w:rsidR="00415222" w:rsidP="00715FA4" w:rsidRDefault="00BE05D0" w14:paraId="23D54434" w14:textId="51B4AC94">
      <w:pPr>
        <w:spacing w:after="160" w:line="240" w:lineRule="auto"/>
        <w:rPr>
          <w:rFonts w:ascii="Calibri" w:hAnsi="Calibri" w:cs="Calibri"/>
          <w:sz w:val="22"/>
          <w:szCs w:val="22"/>
        </w:rPr>
      </w:pPr>
      <w:r w:rsidRPr="004F382D">
        <w:rPr>
          <w:rFonts w:ascii="Calibri" w:hAnsi="Calibri" w:cs="Calibri"/>
          <w:sz w:val="22"/>
          <w:szCs w:val="22"/>
        </w:rPr>
        <w:t xml:space="preserve">Tot slot </w:t>
      </w:r>
      <w:r w:rsidRPr="004F382D" w:rsidR="00706E79">
        <w:rPr>
          <w:rFonts w:ascii="Calibri" w:hAnsi="Calibri" w:cs="Calibri"/>
          <w:sz w:val="22"/>
          <w:szCs w:val="22"/>
        </w:rPr>
        <w:t xml:space="preserve">onderschrijft het </w:t>
      </w:r>
      <w:r w:rsidRPr="004F382D">
        <w:rPr>
          <w:rFonts w:ascii="Calibri" w:hAnsi="Calibri" w:cs="Calibri"/>
          <w:sz w:val="22"/>
          <w:szCs w:val="22"/>
        </w:rPr>
        <w:t xml:space="preserve">kabinet het </w:t>
      </w:r>
      <w:r w:rsidRPr="004F382D" w:rsidR="00706E79">
        <w:rPr>
          <w:rFonts w:ascii="Calibri" w:hAnsi="Calibri" w:cs="Calibri"/>
          <w:sz w:val="22"/>
          <w:szCs w:val="22"/>
        </w:rPr>
        <w:t xml:space="preserve">door de </w:t>
      </w:r>
      <w:r w:rsidRPr="004F382D" w:rsidR="00BD4443">
        <w:rPr>
          <w:rFonts w:ascii="Calibri" w:hAnsi="Calibri" w:cs="Calibri"/>
          <w:sz w:val="22"/>
          <w:szCs w:val="22"/>
        </w:rPr>
        <w:t>C</w:t>
      </w:r>
      <w:r w:rsidRPr="004F382D" w:rsidR="00706E79">
        <w:rPr>
          <w:rFonts w:ascii="Calibri" w:hAnsi="Calibri" w:cs="Calibri"/>
          <w:sz w:val="22"/>
          <w:szCs w:val="22"/>
        </w:rPr>
        <w:t xml:space="preserve">ommissie omschreven belang van een zorgvuldige monitoring </w:t>
      </w:r>
      <w:r w:rsidRPr="004F382D" w:rsidR="007D7A2A">
        <w:rPr>
          <w:rFonts w:ascii="Calibri" w:hAnsi="Calibri" w:cs="Calibri"/>
          <w:sz w:val="22"/>
          <w:szCs w:val="22"/>
        </w:rPr>
        <w:t>van risico’s en bedreigingen voor</w:t>
      </w:r>
      <w:r w:rsidRPr="004F382D" w:rsidR="00706E79">
        <w:rPr>
          <w:rFonts w:ascii="Calibri" w:hAnsi="Calibri" w:cs="Calibri"/>
          <w:sz w:val="22"/>
          <w:szCs w:val="22"/>
        </w:rPr>
        <w:t xml:space="preserve"> het maatschappelijk middenveld </w:t>
      </w:r>
      <w:r w:rsidRPr="004F382D" w:rsidR="007D7A2A">
        <w:rPr>
          <w:rFonts w:ascii="Calibri" w:hAnsi="Calibri" w:cs="Calibri"/>
          <w:sz w:val="22"/>
          <w:szCs w:val="22"/>
        </w:rPr>
        <w:t xml:space="preserve">om vrij en veilig te kunnen </w:t>
      </w:r>
      <w:r w:rsidRPr="004F382D" w:rsidR="00196A4F">
        <w:rPr>
          <w:rFonts w:ascii="Calibri" w:hAnsi="Calibri" w:cs="Calibri"/>
          <w:sz w:val="22"/>
          <w:szCs w:val="22"/>
        </w:rPr>
        <w:t>functioneren</w:t>
      </w:r>
      <w:r w:rsidRPr="004F382D" w:rsidR="00842AF1">
        <w:rPr>
          <w:rFonts w:ascii="Calibri" w:hAnsi="Calibri" w:cs="Calibri"/>
          <w:sz w:val="22"/>
          <w:szCs w:val="22"/>
        </w:rPr>
        <w:t xml:space="preserve">, zoals het versterken van </w:t>
      </w:r>
      <w:r w:rsidRPr="004F382D" w:rsidR="00842AF1">
        <w:rPr>
          <w:rFonts w:ascii="Calibri" w:hAnsi="Calibri" w:cs="Calibri"/>
          <w:i/>
          <w:iCs w:val="0"/>
          <w:sz w:val="22"/>
          <w:szCs w:val="22"/>
        </w:rPr>
        <w:t>early warning systems</w:t>
      </w:r>
      <w:r w:rsidRPr="004F382D" w:rsidR="00842AF1">
        <w:rPr>
          <w:rFonts w:ascii="Calibri" w:hAnsi="Calibri" w:cs="Calibri"/>
          <w:sz w:val="22"/>
          <w:szCs w:val="22"/>
        </w:rPr>
        <w:t xml:space="preserve"> voor het signaleren van krimpende ruimte voor het maatschappelijk middenveld in kandidaat-lidstaten</w:t>
      </w:r>
      <w:r w:rsidRPr="004F382D" w:rsidR="00196A4F">
        <w:rPr>
          <w:rFonts w:ascii="Calibri" w:hAnsi="Calibri" w:cs="Calibri"/>
          <w:sz w:val="22"/>
          <w:szCs w:val="22"/>
        </w:rPr>
        <w:t xml:space="preserve">. Dergelijke monitoring kan resulteren in acties die </w:t>
      </w:r>
      <w:r w:rsidRPr="004F382D" w:rsidR="00706E79">
        <w:rPr>
          <w:rFonts w:ascii="Calibri" w:hAnsi="Calibri" w:cs="Calibri"/>
          <w:sz w:val="22"/>
          <w:szCs w:val="22"/>
        </w:rPr>
        <w:t xml:space="preserve">maatschappelijke organisaties </w:t>
      </w:r>
      <w:bookmarkStart w:name="_Hlk215066279" w:id="2"/>
      <w:r w:rsidRPr="004F382D" w:rsidR="00706E79">
        <w:rPr>
          <w:rFonts w:ascii="Calibri" w:hAnsi="Calibri" w:cs="Calibri"/>
          <w:sz w:val="22"/>
          <w:szCs w:val="22"/>
        </w:rPr>
        <w:t xml:space="preserve">en mensenrechtenverdedigers </w:t>
      </w:r>
      <w:bookmarkEnd w:id="2"/>
      <w:r w:rsidRPr="004F382D" w:rsidR="00706E79">
        <w:rPr>
          <w:rFonts w:ascii="Calibri" w:hAnsi="Calibri" w:cs="Calibri"/>
          <w:sz w:val="22"/>
          <w:szCs w:val="22"/>
        </w:rPr>
        <w:t xml:space="preserve">adequaat </w:t>
      </w:r>
      <w:r w:rsidRPr="004F382D" w:rsidR="00196A4F">
        <w:rPr>
          <w:rFonts w:ascii="Calibri" w:hAnsi="Calibri" w:cs="Calibri"/>
          <w:sz w:val="22"/>
          <w:szCs w:val="22"/>
        </w:rPr>
        <w:t>beschermen en ondersteunen</w:t>
      </w:r>
      <w:r w:rsidRPr="004F382D" w:rsidR="00706E79">
        <w:rPr>
          <w:rFonts w:ascii="Calibri" w:hAnsi="Calibri" w:cs="Calibri"/>
          <w:sz w:val="22"/>
          <w:szCs w:val="22"/>
        </w:rPr>
        <w:t>.</w:t>
      </w:r>
      <w:r w:rsidRPr="004F382D" w:rsidR="00415222">
        <w:rPr>
          <w:rFonts w:ascii="Calibri" w:hAnsi="Calibri" w:cs="Calibri"/>
          <w:sz w:val="22"/>
          <w:szCs w:val="22"/>
        </w:rPr>
        <w:t xml:space="preserve"> </w:t>
      </w:r>
    </w:p>
    <w:p w:rsidRPr="004F382D" w:rsidR="008D169A" w:rsidP="00715FA4" w:rsidRDefault="008D169A" w14:paraId="7D76BAF3" w14:textId="5EC7F2E2">
      <w:pPr>
        <w:spacing w:after="160" w:line="240" w:lineRule="auto"/>
        <w:rPr>
          <w:rFonts w:ascii="Calibri" w:hAnsi="Calibri" w:cs="Calibri"/>
          <w:sz w:val="22"/>
          <w:szCs w:val="22"/>
        </w:rPr>
      </w:pPr>
    </w:p>
    <w:p w:rsidRPr="004F382D" w:rsidR="00CC3DCA" w:rsidP="00715FA4" w:rsidRDefault="00CC3DCA" w14:paraId="1C846094" w14:textId="5A330311">
      <w:pPr>
        <w:pStyle w:val="Kop3"/>
        <w:spacing w:after="160" w:line="240" w:lineRule="auto"/>
        <w:rPr>
          <w:rFonts w:ascii="Calibri" w:hAnsi="Calibri" w:cs="Calibri"/>
          <w:sz w:val="22"/>
          <w:szCs w:val="22"/>
        </w:rPr>
      </w:pPr>
      <w:r w:rsidRPr="004F382D">
        <w:rPr>
          <w:rFonts w:ascii="Calibri" w:hAnsi="Calibri" w:cs="Calibri"/>
          <w:sz w:val="22"/>
          <w:szCs w:val="22"/>
        </w:rPr>
        <w:t>Eerste inschatting van krachtenveld</w:t>
      </w:r>
    </w:p>
    <w:p w:rsidRPr="004F382D" w:rsidR="0007179C" w:rsidP="00715FA4" w:rsidRDefault="0007179C" w14:paraId="5673335E" w14:textId="5682F5F0">
      <w:pPr>
        <w:spacing w:after="160" w:line="240" w:lineRule="auto"/>
        <w:rPr>
          <w:rFonts w:ascii="Calibri" w:hAnsi="Calibri" w:cs="Calibri"/>
          <w:sz w:val="22"/>
          <w:szCs w:val="22"/>
        </w:rPr>
      </w:pPr>
      <w:r w:rsidRPr="004F382D">
        <w:rPr>
          <w:rFonts w:ascii="Calibri" w:hAnsi="Calibri" w:cs="Calibri"/>
          <w:sz w:val="22"/>
          <w:szCs w:val="22"/>
        </w:rPr>
        <w:t xml:space="preserve">Zowel het </w:t>
      </w:r>
      <w:r w:rsidRPr="004F382D" w:rsidR="00BD4443">
        <w:rPr>
          <w:rFonts w:ascii="Calibri" w:hAnsi="Calibri" w:cs="Calibri"/>
          <w:sz w:val="22"/>
          <w:szCs w:val="22"/>
        </w:rPr>
        <w:t>EUDS</w:t>
      </w:r>
      <w:r w:rsidRPr="004F382D">
        <w:rPr>
          <w:rFonts w:ascii="Calibri" w:hAnsi="Calibri" w:cs="Calibri"/>
          <w:sz w:val="22"/>
          <w:szCs w:val="22"/>
        </w:rPr>
        <w:t xml:space="preserve"> als de </w:t>
      </w:r>
      <w:r w:rsidRPr="004F382D" w:rsidR="00BD4443">
        <w:rPr>
          <w:rFonts w:ascii="Calibri" w:hAnsi="Calibri" w:cs="Calibri"/>
          <w:sz w:val="22"/>
          <w:szCs w:val="22"/>
        </w:rPr>
        <w:t>strategie</w:t>
      </w:r>
      <w:r w:rsidRPr="004F382D">
        <w:rPr>
          <w:rFonts w:ascii="Calibri" w:hAnsi="Calibri" w:cs="Calibri"/>
          <w:sz w:val="22"/>
          <w:szCs w:val="22"/>
        </w:rPr>
        <w:t xml:space="preserve"> zijn eerder </w:t>
      </w:r>
      <w:r w:rsidRPr="004F382D" w:rsidR="00BE6A90">
        <w:rPr>
          <w:rFonts w:ascii="Calibri" w:hAnsi="Calibri" w:cs="Calibri"/>
          <w:sz w:val="22"/>
          <w:szCs w:val="22"/>
        </w:rPr>
        <w:t>in 2025</w:t>
      </w:r>
      <w:r w:rsidRPr="004F382D">
        <w:rPr>
          <w:rFonts w:ascii="Calibri" w:hAnsi="Calibri" w:cs="Calibri"/>
          <w:sz w:val="22"/>
          <w:szCs w:val="22"/>
        </w:rPr>
        <w:t xml:space="preserve"> aangekondigd in de politieke beleidslijnen en in de </w:t>
      </w:r>
      <w:r w:rsidRPr="004F382D" w:rsidR="00BD4443">
        <w:rPr>
          <w:rFonts w:ascii="Calibri" w:hAnsi="Calibri" w:cs="Calibri"/>
          <w:sz w:val="22"/>
          <w:szCs w:val="22"/>
        </w:rPr>
        <w:t>Staat van de Unie</w:t>
      </w:r>
      <w:r w:rsidRPr="004F382D">
        <w:rPr>
          <w:rFonts w:ascii="Calibri" w:hAnsi="Calibri" w:cs="Calibri"/>
          <w:sz w:val="22"/>
          <w:szCs w:val="22"/>
        </w:rPr>
        <w:t>, uitgesproken door</w:t>
      </w:r>
      <w:r w:rsidRPr="004F382D" w:rsidR="00BD4443">
        <w:rPr>
          <w:rFonts w:ascii="Calibri" w:hAnsi="Calibri" w:cs="Calibri"/>
          <w:sz w:val="22"/>
          <w:szCs w:val="22"/>
        </w:rPr>
        <w:t xml:space="preserve"> de</w:t>
      </w:r>
      <w:r w:rsidRPr="004F382D">
        <w:rPr>
          <w:rFonts w:ascii="Calibri" w:hAnsi="Calibri" w:cs="Calibri"/>
          <w:sz w:val="22"/>
          <w:szCs w:val="22"/>
        </w:rPr>
        <w:t xml:space="preserve"> voorzitter van de Commissie, Ursula </w:t>
      </w:r>
      <w:r w:rsidRPr="004F382D" w:rsidR="00BD4443">
        <w:rPr>
          <w:rFonts w:ascii="Calibri" w:hAnsi="Calibri" w:cs="Calibri"/>
          <w:sz w:val="22"/>
          <w:szCs w:val="22"/>
        </w:rPr>
        <w:t>v</w:t>
      </w:r>
      <w:r w:rsidRPr="004F382D">
        <w:rPr>
          <w:rFonts w:ascii="Calibri" w:hAnsi="Calibri" w:cs="Calibri"/>
          <w:sz w:val="22"/>
          <w:szCs w:val="22"/>
        </w:rPr>
        <w:t xml:space="preserve">on der Leyen. De posities van lidstaten </w:t>
      </w:r>
      <w:r w:rsidRPr="004F382D" w:rsidR="00540FA2">
        <w:rPr>
          <w:rFonts w:ascii="Calibri" w:hAnsi="Calibri" w:cs="Calibri"/>
          <w:sz w:val="22"/>
          <w:szCs w:val="22"/>
        </w:rPr>
        <w:t>m.b.t.</w:t>
      </w:r>
      <w:r w:rsidRPr="004F382D">
        <w:rPr>
          <w:rFonts w:ascii="Calibri" w:hAnsi="Calibri" w:cs="Calibri"/>
          <w:sz w:val="22"/>
          <w:szCs w:val="22"/>
        </w:rPr>
        <w:t xml:space="preserve"> de strategie zijn nog niet bekend omdat</w:t>
      </w:r>
      <w:r w:rsidRPr="004F382D" w:rsidR="00140BBF">
        <w:rPr>
          <w:rFonts w:ascii="Calibri" w:hAnsi="Calibri" w:cs="Calibri"/>
          <w:sz w:val="22"/>
          <w:szCs w:val="22"/>
        </w:rPr>
        <w:t xml:space="preserve"> de</w:t>
      </w:r>
      <w:r w:rsidRPr="004F382D">
        <w:rPr>
          <w:rFonts w:ascii="Calibri" w:hAnsi="Calibri" w:cs="Calibri"/>
          <w:sz w:val="22"/>
          <w:szCs w:val="22"/>
        </w:rPr>
        <w:t xml:space="preserve"> eerste besprekingen over dit voorstel nog moeten plaatsvinden. </w:t>
      </w:r>
      <w:r w:rsidRPr="004F382D" w:rsidR="007E65B1">
        <w:rPr>
          <w:rFonts w:ascii="Calibri" w:hAnsi="Calibri" w:cs="Calibri"/>
          <w:sz w:val="22"/>
          <w:szCs w:val="22"/>
        </w:rPr>
        <w:t xml:space="preserve">Hetzelfde geldt voor de positie van het Nederlands maatschappelijk middenveld. </w:t>
      </w:r>
    </w:p>
    <w:p w:rsidRPr="004F382D" w:rsidR="00412EF3" w:rsidP="00715FA4" w:rsidRDefault="00412EF3" w14:paraId="6137B037" w14:textId="77777777">
      <w:pPr>
        <w:spacing w:after="160" w:line="240" w:lineRule="auto"/>
        <w:rPr>
          <w:rFonts w:ascii="Calibri" w:hAnsi="Calibri" w:cs="Calibri"/>
          <w:sz w:val="22"/>
          <w:szCs w:val="22"/>
          <w:highlight w:val="yellow"/>
        </w:rPr>
      </w:pPr>
    </w:p>
    <w:p w:rsidRPr="004F382D" w:rsidR="00A72496" w:rsidP="00715FA4" w:rsidRDefault="00A72496" w14:paraId="06FF7811" w14:textId="7CCF5605">
      <w:pPr>
        <w:spacing w:after="160" w:line="240" w:lineRule="auto"/>
        <w:rPr>
          <w:rFonts w:ascii="Calibri" w:hAnsi="Calibri" w:cs="Calibri"/>
          <w:sz w:val="22"/>
          <w:szCs w:val="22"/>
        </w:rPr>
      </w:pPr>
      <w:r w:rsidRPr="004F382D">
        <w:rPr>
          <w:rFonts w:ascii="Calibri" w:hAnsi="Calibri" w:cs="Calibri"/>
          <w:sz w:val="22"/>
          <w:szCs w:val="22"/>
        </w:rPr>
        <w:t xml:space="preserve">Het Europees Parlement heeft een eerste </w:t>
      </w:r>
      <w:r w:rsidRPr="004F382D" w:rsidR="00C11810">
        <w:rPr>
          <w:rFonts w:ascii="Calibri" w:hAnsi="Calibri" w:cs="Calibri"/>
          <w:sz w:val="22"/>
          <w:szCs w:val="22"/>
        </w:rPr>
        <w:t>bespreking</w:t>
      </w:r>
      <w:r w:rsidRPr="004F382D">
        <w:rPr>
          <w:rFonts w:ascii="Calibri" w:hAnsi="Calibri" w:cs="Calibri"/>
          <w:sz w:val="22"/>
          <w:szCs w:val="22"/>
        </w:rPr>
        <w:t xml:space="preserve"> van het EUDS gehouden. Dat leidt tot een verdeeld beeld in deze fase en veel fracties beraden zich nog op hun standpunt. Er zijn geluiden dat het EUDS en de </w:t>
      </w:r>
      <w:r w:rsidRPr="004F382D" w:rsidR="00C11810">
        <w:rPr>
          <w:rFonts w:ascii="Calibri" w:hAnsi="Calibri" w:cs="Calibri"/>
          <w:sz w:val="22"/>
          <w:szCs w:val="22"/>
        </w:rPr>
        <w:t>strategie</w:t>
      </w:r>
      <w:r w:rsidRPr="004F382D">
        <w:rPr>
          <w:rFonts w:ascii="Calibri" w:hAnsi="Calibri" w:cs="Calibri"/>
          <w:sz w:val="22"/>
          <w:szCs w:val="22"/>
        </w:rPr>
        <w:t xml:space="preserve"> te weinig concrete voorstellen bevat</w:t>
      </w:r>
      <w:r w:rsidRPr="004F382D" w:rsidR="0080521F">
        <w:rPr>
          <w:rFonts w:ascii="Calibri" w:hAnsi="Calibri" w:cs="Calibri"/>
          <w:sz w:val="22"/>
          <w:szCs w:val="22"/>
        </w:rPr>
        <w:t>ten</w:t>
      </w:r>
      <w:r w:rsidRPr="004F382D">
        <w:rPr>
          <w:rFonts w:ascii="Calibri" w:hAnsi="Calibri" w:cs="Calibri"/>
          <w:sz w:val="22"/>
          <w:szCs w:val="22"/>
        </w:rPr>
        <w:t>, die afdwingbaar zijn om tot effect te komen; andere fracties verwelkomen het EUDS en de CSO</w:t>
      </w:r>
      <w:r w:rsidRPr="004F382D" w:rsidR="00BE6A90">
        <w:rPr>
          <w:rFonts w:ascii="Calibri" w:hAnsi="Calibri" w:cs="Calibri"/>
          <w:sz w:val="22"/>
          <w:szCs w:val="22"/>
        </w:rPr>
        <w:t>-</w:t>
      </w:r>
      <w:r w:rsidRPr="004F382D">
        <w:rPr>
          <w:rFonts w:ascii="Calibri" w:hAnsi="Calibri" w:cs="Calibri"/>
          <w:sz w:val="22"/>
          <w:szCs w:val="22"/>
        </w:rPr>
        <w:t xml:space="preserve">strategie als een stap in de goede richting. Nadere standpuntbepaling volgt als de Commissie helderheid heeft gegeven over de concrete vervolgstappen en hoe de uitwerking van de beide </w:t>
      </w:r>
      <w:r w:rsidRPr="004F382D" w:rsidR="00C11810">
        <w:rPr>
          <w:rFonts w:ascii="Calibri" w:hAnsi="Calibri" w:cs="Calibri"/>
          <w:sz w:val="22"/>
          <w:szCs w:val="22"/>
        </w:rPr>
        <w:t>voorstellen</w:t>
      </w:r>
      <w:r w:rsidRPr="004F382D">
        <w:rPr>
          <w:rFonts w:ascii="Calibri" w:hAnsi="Calibri" w:cs="Calibri"/>
          <w:sz w:val="22"/>
          <w:szCs w:val="22"/>
        </w:rPr>
        <w:t xml:space="preserve"> eruit ziet. </w:t>
      </w:r>
    </w:p>
    <w:p w:rsidRPr="004F382D" w:rsidR="00C87A32" w:rsidP="00715FA4" w:rsidRDefault="00C87A32" w14:paraId="18E0ABFA" w14:textId="3923FE52">
      <w:pPr>
        <w:pStyle w:val="Kop2"/>
        <w:numPr>
          <w:ilvl w:val="0"/>
          <w:numId w:val="0"/>
        </w:numPr>
        <w:spacing w:after="160" w:line="240" w:lineRule="auto"/>
        <w:ind w:left="360"/>
        <w:rPr>
          <w:rFonts w:ascii="Calibri" w:hAnsi="Calibri" w:cs="Calibri"/>
          <w:sz w:val="22"/>
          <w:szCs w:val="22"/>
        </w:rPr>
      </w:pPr>
    </w:p>
    <w:p w:rsidRPr="004F382D" w:rsidR="00CC3DCA" w:rsidP="00715FA4" w:rsidRDefault="00CC3DCA" w14:paraId="5A681E85" w14:textId="5AA93070">
      <w:pPr>
        <w:pStyle w:val="Kop2"/>
        <w:numPr>
          <w:ilvl w:val="0"/>
          <w:numId w:val="28"/>
        </w:numPr>
        <w:spacing w:after="160" w:line="240" w:lineRule="auto"/>
        <w:rPr>
          <w:rFonts w:ascii="Calibri" w:hAnsi="Calibri" w:cs="Calibri"/>
          <w:sz w:val="22"/>
          <w:szCs w:val="22"/>
        </w:rPr>
      </w:pPr>
      <w:r w:rsidRPr="004F382D">
        <w:rPr>
          <w:rFonts w:ascii="Calibri" w:hAnsi="Calibri" w:cs="Calibri"/>
          <w:sz w:val="22"/>
          <w:szCs w:val="22"/>
        </w:rPr>
        <w:t xml:space="preserve">Grondhouding ten aanzien van bevoegdheid, subsidiariteit, proportionaliteit, financiële gevolgen en gevolgen </w:t>
      </w:r>
      <w:r w:rsidRPr="004F382D" w:rsidR="00D529BC">
        <w:rPr>
          <w:rFonts w:ascii="Calibri" w:hAnsi="Calibri" w:cs="Calibri"/>
          <w:sz w:val="22"/>
          <w:szCs w:val="22"/>
        </w:rPr>
        <w:t>voor</w:t>
      </w:r>
      <w:r w:rsidRPr="004F382D">
        <w:rPr>
          <w:rFonts w:ascii="Calibri" w:hAnsi="Calibri" w:cs="Calibri"/>
          <w:sz w:val="22"/>
          <w:szCs w:val="22"/>
        </w:rPr>
        <w:t xml:space="preserve"> regeldruk</w:t>
      </w:r>
      <w:r w:rsidRPr="004F382D" w:rsidR="00100C4B">
        <w:rPr>
          <w:rFonts w:ascii="Calibri" w:hAnsi="Calibri" w:cs="Calibri"/>
          <w:sz w:val="22"/>
          <w:szCs w:val="22"/>
        </w:rPr>
        <w:t>, concurrentiekracht en geopolitieke aspecten</w:t>
      </w:r>
    </w:p>
    <w:p w:rsidRPr="004F382D" w:rsidR="004B0068" w:rsidP="00715FA4" w:rsidRDefault="004B0068" w14:paraId="6767BFB0" w14:textId="77777777">
      <w:pPr>
        <w:spacing w:after="160" w:line="240" w:lineRule="auto"/>
        <w:rPr>
          <w:rFonts w:ascii="Calibri" w:hAnsi="Calibri" w:cs="Calibri"/>
          <w:sz w:val="22"/>
          <w:szCs w:val="22"/>
        </w:rPr>
      </w:pPr>
    </w:p>
    <w:p w:rsidRPr="004F382D" w:rsidR="00412EF3" w:rsidP="00715FA4" w:rsidRDefault="00412EF3" w14:paraId="57AB7546" w14:textId="77777777">
      <w:pPr>
        <w:pStyle w:val="Kop3"/>
        <w:numPr>
          <w:ilvl w:val="0"/>
          <w:numId w:val="23"/>
        </w:numPr>
        <w:spacing w:after="160" w:line="240" w:lineRule="auto"/>
        <w:rPr>
          <w:rFonts w:ascii="Calibri" w:hAnsi="Calibri" w:cs="Calibri"/>
          <w:sz w:val="22"/>
          <w:szCs w:val="22"/>
        </w:rPr>
      </w:pPr>
      <w:r w:rsidRPr="004F382D">
        <w:rPr>
          <w:rFonts w:ascii="Calibri" w:hAnsi="Calibri" w:cs="Calibri"/>
          <w:sz w:val="22"/>
          <w:szCs w:val="22"/>
        </w:rPr>
        <w:t>Bevoegdheid</w:t>
      </w:r>
    </w:p>
    <w:p w:rsidRPr="004F382D" w:rsidR="00412EF3" w:rsidP="00715FA4" w:rsidRDefault="00923193" w14:paraId="210E0EA3" w14:textId="43EC0603">
      <w:pPr>
        <w:spacing w:after="160" w:line="240" w:lineRule="auto"/>
        <w:rPr>
          <w:rFonts w:ascii="Calibri" w:hAnsi="Calibri" w:cs="Calibri"/>
          <w:iCs w:val="0"/>
          <w:sz w:val="22"/>
          <w:szCs w:val="22"/>
        </w:rPr>
      </w:pPr>
      <w:r w:rsidRPr="004F382D">
        <w:rPr>
          <w:rFonts w:ascii="Calibri" w:hAnsi="Calibri" w:cs="Calibri"/>
          <w:iCs w:val="0"/>
          <w:sz w:val="22"/>
          <w:szCs w:val="22"/>
        </w:rPr>
        <w:t>De grondhouding van het kabinet is positief. De mededeling heeft betrekking op het bevorderen van de democratie en het maatschappelijke middenveld van de Europese Unie. De democratie is één van de waarden waarop de Unie berust die zijn neergelegd in artikel 2 VEU. De waarden van de Unie van artikel 2 VEU moet de EU (en haar lidstaten) eerbiedigen wanneer zij optreden binnen de grenzen van de bevoegdheden die in de Verdragen aan de Unie zijn toebedeeld. De Commissie kan deze mededeling uitvaardigen uit hoofde van haar rol als hoedster van de Verdragen (artikel 17 VEU). Het betreft hier overigens geen aankondiging van concrete regelgeving, maar de Commissie wil met deze mededeling een strategie uitrollen die zich richt op het versterken van de betrokkenheid, bescherming, ondersteuning en financiering van maatschappelijke organisaties en mensenrechtenverdedigers. De Commissie is zodoende bevoegd deze mededeling uit te vaardigen.</w:t>
      </w:r>
      <w:r w:rsidRPr="004F382D">
        <w:rPr>
          <w:rFonts w:ascii="Calibri" w:hAnsi="Calibri" w:cs="Calibri"/>
          <w:iCs w:val="0"/>
          <w:sz w:val="22"/>
          <w:szCs w:val="22"/>
        </w:rPr>
        <w:br/>
      </w:r>
    </w:p>
    <w:p w:rsidRPr="004F382D" w:rsidR="00412EF3" w:rsidP="00715FA4" w:rsidRDefault="00412EF3" w14:paraId="335434BE" w14:textId="77777777">
      <w:pPr>
        <w:pStyle w:val="Kop3"/>
        <w:spacing w:after="160" w:line="240" w:lineRule="auto"/>
        <w:rPr>
          <w:rFonts w:ascii="Calibri" w:hAnsi="Calibri" w:cs="Calibri"/>
          <w:sz w:val="22"/>
          <w:szCs w:val="22"/>
        </w:rPr>
      </w:pPr>
      <w:r w:rsidRPr="004F382D">
        <w:rPr>
          <w:rFonts w:ascii="Calibri" w:hAnsi="Calibri" w:cs="Calibri"/>
          <w:sz w:val="22"/>
          <w:szCs w:val="22"/>
        </w:rPr>
        <w:t>Subsidiariteit</w:t>
      </w:r>
    </w:p>
    <w:p w:rsidRPr="004F382D" w:rsidR="00412EF3" w:rsidP="00715FA4" w:rsidRDefault="00412EF3" w14:paraId="40783956" w14:textId="11DA5CEC">
      <w:pPr>
        <w:spacing w:after="160" w:line="240" w:lineRule="auto"/>
        <w:rPr>
          <w:rFonts w:ascii="Calibri" w:hAnsi="Calibri" w:cs="Calibri"/>
          <w:sz w:val="22"/>
          <w:szCs w:val="22"/>
        </w:rPr>
      </w:pPr>
      <w:r w:rsidRPr="004F382D">
        <w:rPr>
          <w:rFonts w:ascii="Calibri" w:hAnsi="Calibri" w:cs="Calibri"/>
          <w:sz w:val="22"/>
          <w:szCs w:val="22"/>
        </w:rPr>
        <w:lastRenderedPageBreak/>
        <w:t xml:space="preserve">De grondhouding van het kabinet ten aanzien van de subsidiariteit is positief. </w:t>
      </w:r>
      <w:r w:rsidRPr="004F382D" w:rsidR="002951FF">
        <w:rPr>
          <w:rFonts w:ascii="Calibri" w:hAnsi="Calibri" w:cs="Calibri"/>
          <w:sz w:val="22"/>
          <w:szCs w:val="22"/>
        </w:rPr>
        <w:t>De mededeling heeft tot doel</w:t>
      </w:r>
      <w:r w:rsidRPr="004F382D" w:rsidR="00C07EE5">
        <w:rPr>
          <w:rFonts w:ascii="Calibri" w:hAnsi="Calibri" w:cs="Calibri"/>
          <w:sz w:val="22"/>
          <w:szCs w:val="22"/>
        </w:rPr>
        <w:t xml:space="preserve"> het versterken van de betrokkenheid, bescherming, ondersteuning en financiering van maatschappelijke organisaties en mensenrechtenverdedigers, zowel op Europees niveau, in EU-extern beleid als in de afzonderlijke lidstaten. </w:t>
      </w:r>
      <w:r w:rsidRPr="004F382D" w:rsidR="006A2DD8">
        <w:rPr>
          <w:rFonts w:ascii="Calibri" w:hAnsi="Calibri" w:cs="Calibri"/>
          <w:sz w:val="22"/>
          <w:szCs w:val="22"/>
        </w:rPr>
        <w:t xml:space="preserve">Gezien de grensoverschrijdende aard van de bedreigingen voor het maatschappelijk middenveld – en het feit dat veel maatschappelijke organisaties internationaal opereren – volstaat een nationale aanpak binnen de lidstaat niet. Een EU-aanpak met sturing en stimulans </w:t>
      </w:r>
      <w:r w:rsidRPr="004F382D" w:rsidR="00202747">
        <w:rPr>
          <w:rFonts w:ascii="Calibri" w:hAnsi="Calibri" w:cs="Calibri"/>
          <w:sz w:val="22"/>
          <w:szCs w:val="22"/>
        </w:rPr>
        <w:t xml:space="preserve">om de grensoverschrijdende problematiek aan te pakken is nuttig en gerechtvaardigd. </w:t>
      </w:r>
    </w:p>
    <w:p w:rsidRPr="004F382D" w:rsidR="00412EF3" w:rsidP="00715FA4" w:rsidRDefault="00412EF3" w14:paraId="5F3C69B0" w14:textId="77777777">
      <w:pPr>
        <w:spacing w:after="160" w:line="240" w:lineRule="auto"/>
        <w:rPr>
          <w:rFonts w:ascii="Calibri" w:hAnsi="Calibri" w:cs="Calibri"/>
          <w:sz w:val="22"/>
          <w:szCs w:val="22"/>
        </w:rPr>
      </w:pPr>
    </w:p>
    <w:p w:rsidRPr="004F382D" w:rsidR="00412EF3" w:rsidP="00715FA4" w:rsidRDefault="00412EF3" w14:paraId="2BAF6FC9" w14:textId="77777777">
      <w:pPr>
        <w:pStyle w:val="Kop3"/>
        <w:spacing w:after="160" w:line="240" w:lineRule="auto"/>
        <w:rPr>
          <w:rFonts w:ascii="Calibri" w:hAnsi="Calibri" w:cs="Calibri"/>
          <w:sz w:val="22"/>
          <w:szCs w:val="22"/>
        </w:rPr>
      </w:pPr>
      <w:r w:rsidRPr="004F382D">
        <w:rPr>
          <w:rFonts w:ascii="Calibri" w:hAnsi="Calibri" w:cs="Calibri"/>
          <w:sz w:val="22"/>
          <w:szCs w:val="22"/>
        </w:rPr>
        <w:t>Proportionaliteit</w:t>
      </w:r>
    </w:p>
    <w:p w:rsidRPr="004F382D" w:rsidR="00412EF3" w:rsidP="00715FA4" w:rsidRDefault="00412EF3" w14:paraId="04604C9D" w14:textId="1D266A64">
      <w:pPr>
        <w:spacing w:after="160" w:line="240" w:lineRule="auto"/>
        <w:rPr>
          <w:rFonts w:ascii="Calibri" w:hAnsi="Calibri" w:cs="Calibri"/>
          <w:sz w:val="22"/>
          <w:szCs w:val="22"/>
        </w:rPr>
      </w:pPr>
      <w:r w:rsidRPr="004F382D">
        <w:rPr>
          <w:rFonts w:ascii="Calibri" w:hAnsi="Calibri" w:cs="Calibri"/>
          <w:sz w:val="22"/>
          <w:szCs w:val="22"/>
        </w:rPr>
        <w:t xml:space="preserve">De grondhouding van het kabinet ten aanzien van de proportionaliteit is positief. De </w:t>
      </w:r>
      <w:r w:rsidRPr="004F382D" w:rsidR="00043832">
        <w:rPr>
          <w:rFonts w:ascii="Calibri" w:hAnsi="Calibri" w:cs="Calibri"/>
          <w:sz w:val="22"/>
          <w:szCs w:val="22"/>
        </w:rPr>
        <w:t>mededeling heeft tot doel het versterken van de betrokkenheid, bescherming, ondersteuning en financiering van maatschappelijke organisaties en mensenrechtenverdedigers, zowel op Europees niveau, in EU-extern beleid als in de afzonderlijke lidstaten.</w:t>
      </w:r>
      <w:r w:rsidRPr="004F382D">
        <w:rPr>
          <w:rFonts w:ascii="Calibri" w:hAnsi="Calibri" w:cs="Calibri"/>
          <w:sz w:val="22"/>
          <w:szCs w:val="22"/>
        </w:rPr>
        <w:t xml:space="preserve"> De </w:t>
      </w:r>
      <w:r w:rsidRPr="004F382D" w:rsidR="00043832">
        <w:rPr>
          <w:rFonts w:ascii="Calibri" w:hAnsi="Calibri" w:cs="Calibri"/>
          <w:sz w:val="22"/>
          <w:szCs w:val="22"/>
        </w:rPr>
        <w:t xml:space="preserve">mededeling </w:t>
      </w:r>
      <w:r w:rsidRPr="004F382D">
        <w:rPr>
          <w:rFonts w:ascii="Calibri" w:hAnsi="Calibri" w:cs="Calibri"/>
          <w:sz w:val="22"/>
          <w:szCs w:val="22"/>
        </w:rPr>
        <w:t xml:space="preserve">is geschikt om deze doelstelling te behalen door voorstellen te doen omtrent </w:t>
      </w:r>
      <w:r w:rsidRPr="004F382D" w:rsidR="00043832">
        <w:rPr>
          <w:rFonts w:ascii="Calibri" w:hAnsi="Calibri" w:cs="Calibri"/>
          <w:sz w:val="22"/>
          <w:szCs w:val="22"/>
        </w:rPr>
        <w:t xml:space="preserve">de leidende principes voor dialoog tussen de Commissie en het maatschappelijk middenveld. </w:t>
      </w:r>
      <w:r w:rsidRPr="004F382D">
        <w:rPr>
          <w:rFonts w:ascii="Calibri" w:hAnsi="Calibri" w:cs="Calibri"/>
          <w:sz w:val="22"/>
          <w:szCs w:val="22"/>
        </w:rPr>
        <w:t xml:space="preserve">De randvoorwaarden die gesteld worden in de </w:t>
      </w:r>
      <w:r w:rsidRPr="004F382D" w:rsidR="00CB7A2E">
        <w:rPr>
          <w:rFonts w:ascii="Calibri" w:hAnsi="Calibri" w:cs="Calibri"/>
          <w:sz w:val="22"/>
          <w:szCs w:val="22"/>
        </w:rPr>
        <w:t xml:space="preserve">mededeling </w:t>
      </w:r>
      <w:r w:rsidRPr="004F382D">
        <w:rPr>
          <w:rFonts w:ascii="Calibri" w:hAnsi="Calibri" w:cs="Calibri"/>
          <w:sz w:val="22"/>
          <w:szCs w:val="22"/>
        </w:rPr>
        <w:t xml:space="preserve">worden door het kabinet geschikt geacht om aan de doelstelling te voldoen. De </w:t>
      </w:r>
      <w:r w:rsidRPr="004F382D" w:rsidR="00A95942">
        <w:rPr>
          <w:rFonts w:ascii="Calibri" w:hAnsi="Calibri" w:cs="Calibri"/>
          <w:sz w:val="22"/>
          <w:szCs w:val="22"/>
        </w:rPr>
        <w:t>mededeling</w:t>
      </w:r>
      <w:r w:rsidRPr="004F382D">
        <w:rPr>
          <w:rFonts w:ascii="Calibri" w:hAnsi="Calibri" w:cs="Calibri"/>
          <w:sz w:val="22"/>
          <w:szCs w:val="22"/>
        </w:rPr>
        <w:t xml:space="preserve"> gaat niet verder dan noodzakelijk, </w:t>
      </w:r>
      <w:r w:rsidRPr="004F382D" w:rsidR="001F30EC">
        <w:rPr>
          <w:rFonts w:ascii="Calibri" w:hAnsi="Calibri" w:cs="Calibri"/>
          <w:sz w:val="22"/>
          <w:szCs w:val="22"/>
        </w:rPr>
        <w:t>en</w:t>
      </w:r>
      <w:r w:rsidRPr="004F382D">
        <w:rPr>
          <w:rFonts w:ascii="Calibri" w:hAnsi="Calibri" w:cs="Calibri"/>
          <w:sz w:val="22"/>
          <w:szCs w:val="22"/>
        </w:rPr>
        <w:t xml:space="preserve"> kan dienen ter inspiratie zonder normen en verplichtingen op te leggen. Er wordt</w:t>
      </w:r>
      <w:r w:rsidRPr="004F382D" w:rsidR="00202747">
        <w:rPr>
          <w:rFonts w:ascii="Calibri" w:hAnsi="Calibri" w:cs="Calibri"/>
          <w:sz w:val="22"/>
          <w:szCs w:val="22"/>
        </w:rPr>
        <w:t xml:space="preserve"> daarmee</w:t>
      </w:r>
      <w:r w:rsidRPr="004F382D">
        <w:rPr>
          <w:rFonts w:ascii="Calibri" w:hAnsi="Calibri" w:cs="Calibri"/>
          <w:sz w:val="22"/>
          <w:szCs w:val="22"/>
        </w:rPr>
        <w:t xml:space="preserve"> voldoende ruimte gelaten voor de lidstaten om hun eigen beleidsafwegingen te maken. </w:t>
      </w:r>
    </w:p>
    <w:p w:rsidRPr="004F382D" w:rsidR="00B02EA4" w:rsidP="00715FA4" w:rsidRDefault="00B02EA4" w14:paraId="07B93186" w14:textId="77777777">
      <w:pPr>
        <w:spacing w:after="160" w:line="240" w:lineRule="auto"/>
        <w:rPr>
          <w:rFonts w:ascii="Calibri" w:hAnsi="Calibri" w:cs="Calibri"/>
          <w:sz w:val="22"/>
          <w:szCs w:val="22"/>
        </w:rPr>
      </w:pPr>
    </w:p>
    <w:p w:rsidRPr="004F382D" w:rsidR="00412EF3" w:rsidP="00715FA4" w:rsidRDefault="00412EF3" w14:paraId="1155AB85" w14:textId="77777777">
      <w:pPr>
        <w:pStyle w:val="Kop3"/>
        <w:spacing w:after="160" w:line="240" w:lineRule="auto"/>
        <w:rPr>
          <w:rFonts w:ascii="Calibri" w:hAnsi="Calibri" w:cs="Calibri"/>
          <w:sz w:val="22"/>
          <w:szCs w:val="22"/>
        </w:rPr>
      </w:pPr>
      <w:r w:rsidRPr="004F382D">
        <w:rPr>
          <w:rFonts w:ascii="Calibri" w:hAnsi="Calibri" w:cs="Calibri"/>
          <w:sz w:val="22"/>
          <w:szCs w:val="22"/>
        </w:rPr>
        <w:t>Financiële gevolgen</w:t>
      </w:r>
    </w:p>
    <w:p w:rsidRPr="004F382D" w:rsidR="00412EF3" w:rsidP="00715FA4" w:rsidRDefault="008D7B9A" w14:paraId="1EA1B901" w14:textId="12BA28AA">
      <w:pPr>
        <w:spacing w:after="160" w:line="240" w:lineRule="auto"/>
        <w:rPr>
          <w:rFonts w:ascii="Calibri" w:hAnsi="Calibri" w:cs="Calibri"/>
          <w:sz w:val="22"/>
          <w:szCs w:val="22"/>
        </w:rPr>
      </w:pPr>
      <w:r w:rsidRPr="004F382D">
        <w:rPr>
          <w:rFonts w:ascii="Calibri" w:hAnsi="Calibri" w:cs="Calibri"/>
          <w:sz w:val="22"/>
          <w:szCs w:val="22"/>
        </w:rPr>
        <w:t>Er zijn geen</w:t>
      </w:r>
      <w:r w:rsidRPr="004F382D" w:rsidR="00F16E3B">
        <w:rPr>
          <w:rFonts w:ascii="Calibri" w:hAnsi="Calibri" w:cs="Calibri"/>
          <w:sz w:val="22"/>
          <w:szCs w:val="22"/>
        </w:rPr>
        <w:t xml:space="preserve"> directe</w:t>
      </w:r>
      <w:r w:rsidRPr="004F382D">
        <w:rPr>
          <w:rFonts w:ascii="Calibri" w:hAnsi="Calibri" w:cs="Calibri"/>
          <w:sz w:val="22"/>
          <w:szCs w:val="22"/>
        </w:rPr>
        <w:t xml:space="preserve"> gevolgen voor de Rijksbegroting en geen consequenties voor de EU-begroting voorzien uit de navolging van deze </w:t>
      </w:r>
      <w:r w:rsidRPr="004F382D" w:rsidR="00A95942">
        <w:rPr>
          <w:rFonts w:ascii="Calibri" w:hAnsi="Calibri" w:cs="Calibri"/>
          <w:sz w:val="22"/>
          <w:szCs w:val="22"/>
        </w:rPr>
        <w:t>mededeling</w:t>
      </w:r>
      <w:r w:rsidRPr="004F382D">
        <w:rPr>
          <w:rFonts w:ascii="Calibri" w:hAnsi="Calibri" w:cs="Calibri"/>
          <w:sz w:val="22"/>
          <w:szCs w:val="22"/>
        </w:rPr>
        <w:t xml:space="preserve">. Eventuele extra personele capaciteit wordt opgevangen binnen bestaande budgettaire kaders. Het kabinet is van mening dat eventueel benodigde EU-middelen gevonden dienen te worden binnen de in de Raad afgesproken financiële kaders van de EU-begroting en dat deze moeten passen bij een prudente ontwikkeling van de jaarbegroting. </w:t>
      </w:r>
      <w:r w:rsidRPr="004F382D" w:rsidR="002922A9">
        <w:rPr>
          <w:rFonts w:ascii="Calibri" w:hAnsi="Calibri" w:cs="Calibri"/>
          <w:sz w:val="22"/>
          <w:szCs w:val="22"/>
        </w:rPr>
        <w:t xml:space="preserve">Eventuele budgettaire gevolgen op nationaal niveau worden ingepast op de begroting van de beleidsverantwoordelijke departementen, conform de regels van de budgetdiscipline. </w:t>
      </w:r>
    </w:p>
    <w:p w:rsidRPr="004F382D" w:rsidR="008D7B9A" w:rsidP="00715FA4" w:rsidRDefault="008D7B9A" w14:paraId="1EF3C173" w14:textId="77777777">
      <w:pPr>
        <w:spacing w:after="160" w:line="240" w:lineRule="auto"/>
        <w:rPr>
          <w:rFonts w:ascii="Calibri" w:hAnsi="Calibri" w:cs="Calibri"/>
          <w:sz w:val="22"/>
          <w:szCs w:val="22"/>
        </w:rPr>
      </w:pPr>
    </w:p>
    <w:p w:rsidRPr="004F382D" w:rsidR="00412EF3" w:rsidP="00715FA4" w:rsidRDefault="00412EF3" w14:paraId="3D430ADE" w14:textId="77777777">
      <w:pPr>
        <w:pStyle w:val="Kop3"/>
        <w:spacing w:after="160" w:line="240" w:lineRule="auto"/>
        <w:rPr>
          <w:rFonts w:ascii="Calibri" w:hAnsi="Calibri" w:cs="Calibri"/>
          <w:sz w:val="22"/>
          <w:szCs w:val="22"/>
        </w:rPr>
      </w:pPr>
      <w:r w:rsidRPr="004F382D">
        <w:rPr>
          <w:rFonts w:ascii="Calibri" w:hAnsi="Calibri" w:cs="Calibri"/>
          <w:sz w:val="22"/>
          <w:szCs w:val="22"/>
        </w:rPr>
        <w:t>Gevolgen voor regeldruk, concurrentiekracht en geopolitieke aspecten</w:t>
      </w:r>
    </w:p>
    <w:p w:rsidRPr="004F382D" w:rsidR="001F30EC" w:rsidP="00715FA4" w:rsidRDefault="00F16E3B" w14:paraId="7AD20C2C" w14:textId="23CDD44D">
      <w:pPr>
        <w:spacing w:after="160" w:line="240" w:lineRule="auto"/>
        <w:rPr>
          <w:rFonts w:ascii="Calibri" w:hAnsi="Calibri" w:cs="Calibri"/>
          <w:sz w:val="22"/>
          <w:szCs w:val="22"/>
        </w:rPr>
      </w:pPr>
      <w:r w:rsidRPr="004F382D">
        <w:rPr>
          <w:rFonts w:ascii="Calibri" w:hAnsi="Calibri" w:cs="Calibri"/>
          <w:sz w:val="22"/>
          <w:szCs w:val="22"/>
        </w:rPr>
        <w:t>De strategie</w:t>
      </w:r>
      <w:r w:rsidRPr="004F382D" w:rsidR="008D7B9A">
        <w:rPr>
          <w:rFonts w:ascii="Calibri" w:hAnsi="Calibri" w:cs="Calibri"/>
          <w:sz w:val="22"/>
          <w:szCs w:val="22"/>
        </w:rPr>
        <w:t xml:space="preserve"> leidt niet rechtstreeks tot nieuwe wet- en regelgeving omdat de lidstaten niet verplicht zijn deze aanbevelingen over te nemen. Het kabinet steunt aanbevelingen die aansluiten op het huidige beleid</w:t>
      </w:r>
      <w:r w:rsidRPr="004F382D" w:rsidR="00A72496">
        <w:rPr>
          <w:rFonts w:ascii="Calibri" w:hAnsi="Calibri" w:cs="Calibri"/>
          <w:sz w:val="22"/>
          <w:szCs w:val="22"/>
        </w:rPr>
        <w:t xml:space="preserve">. De Commissie voorziet uitdrukkelijk geen </w:t>
      </w:r>
      <w:r w:rsidRPr="004F382D" w:rsidR="00C11810">
        <w:rPr>
          <w:rFonts w:ascii="Calibri" w:hAnsi="Calibri" w:cs="Calibri"/>
          <w:sz w:val="22"/>
          <w:szCs w:val="22"/>
        </w:rPr>
        <w:t>initiatief</w:t>
      </w:r>
      <w:r w:rsidRPr="004F382D" w:rsidR="00A72496">
        <w:rPr>
          <w:rFonts w:ascii="Calibri" w:hAnsi="Calibri" w:cs="Calibri"/>
          <w:sz w:val="22"/>
          <w:szCs w:val="22"/>
        </w:rPr>
        <w:t xml:space="preserve"> of uitwerking die tot competentieverschuiving leidt tussen de EU en nationale wet en regelgeving. </w:t>
      </w:r>
      <w:r w:rsidRPr="004F382D" w:rsidR="008D7B9A">
        <w:rPr>
          <w:rFonts w:ascii="Calibri" w:hAnsi="Calibri" w:cs="Calibri"/>
          <w:sz w:val="22"/>
          <w:szCs w:val="22"/>
        </w:rPr>
        <w:t>De</w:t>
      </w:r>
      <w:r w:rsidRPr="004F382D" w:rsidR="00CB7A2E">
        <w:rPr>
          <w:rFonts w:ascii="Calibri" w:hAnsi="Calibri" w:cs="Calibri"/>
          <w:sz w:val="22"/>
          <w:szCs w:val="22"/>
        </w:rPr>
        <w:t xml:space="preserve"> mededeling</w:t>
      </w:r>
      <w:r w:rsidRPr="004F382D" w:rsidR="00C11810">
        <w:rPr>
          <w:rFonts w:ascii="Calibri" w:hAnsi="Calibri" w:cs="Calibri"/>
          <w:sz w:val="22"/>
          <w:szCs w:val="22"/>
        </w:rPr>
        <w:t xml:space="preserve"> </w:t>
      </w:r>
      <w:r w:rsidRPr="004F382D" w:rsidR="008D7B9A">
        <w:rPr>
          <w:rFonts w:ascii="Calibri" w:hAnsi="Calibri" w:cs="Calibri"/>
          <w:sz w:val="22"/>
          <w:szCs w:val="22"/>
        </w:rPr>
        <w:t>heeft daarmee geen effect op de regeldruk</w:t>
      </w:r>
      <w:r w:rsidRPr="004F382D">
        <w:rPr>
          <w:rFonts w:ascii="Calibri" w:hAnsi="Calibri" w:cs="Calibri"/>
          <w:sz w:val="22"/>
          <w:szCs w:val="22"/>
        </w:rPr>
        <w:t xml:space="preserve"> </w:t>
      </w:r>
      <w:r w:rsidRPr="004F382D" w:rsidR="008D7B9A">
        <w:rPr>
          <w:rFonts w:ascii="Calibri" w:hAnsi="Calibri" w:cs="Calibri"/>
          <w:sz w:val="22"/>
          <w:szCs w:val="22"/>
        </w:rPr>
        <w:t>en concurrentiekracht.</w:t>
      </w:r>
    </w:p>
    <w:p w:rsidRPr="004F382D" w:rsidR="00110974" w:rsidP="00715FA4" w:rsidRDefault="00110974" w14:paraId="51C04F83" w14:textId="258CAFCC">
      <w:pPr>
        <w:spacing w:after="160" w:line="240" w:lineRule="auto"/>
        <w:rPr>
          <w:rFonts w:ascii="Calibri" w:hAnsi="Calibri" w:cs="Calibri"/>
          <w:sz w:val="22"/>
          <w:szCs w:val="22"/>
        </w:rPr>
      </w:pPr>
    </w:p>
    <w:sectPr w:rsidRPr="004F382D" w:rsidR="00110974" w:rsidSect="009A6E40">
      <w:headerReference w:type="default" r:id="rId12"/>
      <w:footerReference w:type="even" r:id="rId13"/>
      <w:footerReference w:type="first" r:id="rId14"/>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C288" w14:textId="77777777" w:rsidR="00F14738" w:rsidRDefault="00F14738" w:rsidP="00413CEC">
      <w:r>
        <w:separator/>
      </w:r>
    </w:p>
  </w:endnote>
  <w:endnote w:type="continuationSeparator" w:id="0">
    <w:p w14:paraId="5EE779C9" w14:textId="77777777" w:rsidR="00F14738" w:rsidRDefault="00F14738" w:rsidP="00413CEC">
      <w:r>
        <w:continuationSeparator/>
      </w:r>
    </w:p>
  </w:endnote>
  <w:endnote w:type="continuationNotice" w:id="1">
    <w:p w14:paraId="0B592F54" w14:textId="77777777" w:rsidR="00F14738" w:rsidRDefault="00F14738" w:rsidP="0041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3A5796E5" w:rsidR="006A194B" w:rsidRDefault="00C87A32" w:rsidP="00413CEC">
    <w:pPr>
      <w:pStyle w:val="Voettekst"/>
      <w:rPr>
        <w:rStyle w:val="Paginanummer"/>
      </w:rPr>
    </w:pPr>
    <w:r>
      <w:rPr>
        <w:noProof/>
      </w:rPr>
      <mc:AlternateContent>
        <mc:Choice Requires="wps">
          <w:drawing>
            <wp:anchor distT="0" distB="0" distL="0" distR="0" simplePos="0" relativeHeight="251659264" behindDoc="0" locked="0" layoutInCell="1" allowOverlap="1" wp14:anchorId="4D44B4B8" wp14:editId="32497414">
              <wp:simplePos x="635" y="635"/>
              <wp:positionH relativeFrom="page">
                <wp:align>left</wp:align>
              </wp:positionH>
              <wp:positionV relativeFrom="page">
                <wp:align>bottom</wp:align>
              </wp:positionV>
              <wp:extent cx="1009015" cy="368300"/>
              <wp:effectExtent l="0" t="0" r="635" b="0"/>
              <wp:wrapNone/>
              <wp:docPr id="20215914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0ABA864" w14:textId="4467C3CB"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44B4B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30ABA864" w14:textId="4467C3CB"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6A194B" w:rsidRDefault="006A194B" w:rsidP="008D7B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6205" w14:textId="7934E3DF" w:rsidR="00C87A32" w:rsidRDefault="00C87A32">
    <w:pPr>
      <w:pStyle w:val="Voettekst"/>
    </w:pPr>
    <w:r>
      <w:rPr>
        <w:noProof/>
      </w:rPr>
      <mc:AlternateContent>
        <mc:Choice Requires="wps">
          <w:drawing>
            <wp:anchor distT="0" distB="0" distL="0" distR="0" simplePos="0" relativeHeight="251658240" behindDoc="0" locked="0" layoutInCell="1" allowOverlap="1" wp14:anchorId="7D16DFD0" wp14:editId="78E7C3AB">
              <wp:simplePos x="635" y="635"/>
              <wp:positionH relativeFrom="page">
                <wp:align>left</wp:align>
              </wp:positionH>
              <wp:positionV relativeFrom="page">
                <wp:align>bottom</wp:align>
              </wp:positionV>
              <wp:extent cx="1009015" cy="368300"/>
              <wp:effectExtent l="0" t="0" r="635" b="0"/>
              <wp:wrapNone/>
              <wp:docPr id="8666906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46EE206" w14:textId="1CE1CCC3"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6DFD0"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346EE206" w14:textId="1CE1CCC3"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FAE" w14:textId="77777777" w:rsidR="00F14738" w:rsidRDefault="00F14738" w:rsidP="00413CEC">
      <w:r>
        <w:separator/>
      </w:r>
    </w:p>
  </w:footnote>
  <w:footnote w:type="continuationSeparator" w:id="0">
    <w:p w14:paraId="5642DB53" w14:textId="77777777" w:rsidR="00F14738" w:rsidRDefault="00F14738" w:rsidP="00413CEC">
      <w:r>
        <w:continuationSeparator/>
      </w:r>
    </w:p>
  </w:footnote>
  <w:footnote w:type="continuationNotice" w:id="1">
    <w:p w14:paraId="31B85F2D" w14:textId="77777777" w:rsidR="00F14738" w:rsidRDefault="00F14738" w:rsidP="00413CEC"/>
  </w:footnote>
  <w:footnote w:id="2">
    <w:p w14:paraId="37D790D4" w14:textId="0E9F41A3" w:rsidR="002917F1" w:rsidRPr="004F382D" w:rsidRDefault="002917F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De Commissie dient het </w:t>
      </w:r>
      <w:r w:rsidR="00B212B6" w:rsidRPr="004F382D">
        <w:rPr>
          <w:rFonts w:ascii="Calibri" w:hAnsi="Calibri" w:cs="Calibri"/>
          <w:szCs w:val="20"/>
        </w:rPr>
        <w:t>financiële</w:t>
      </w:r>
      <w:r w:rsidRPr="004F382D">
        <w:rPr>
          <w:rFonts w:ascii="Calibri" w:hAnsi="Calibri" w:cs="Calibri"/>
          <w:szCs w:val="20"/>
        </w:rPr>
        <w:t xml:space="preserve"> arrangement nog nader uit te werken; hiertoe zijn het AgoraEU programma en het CERV (Citizens, Equality, Rights and Values) </w:t>
      </w:r>
      <w:r w:rsidR="00ED71EB" w:rsidRPr="004F382D">
        <w:rPr>
          <w:rFonts w:ascii="Calibri" w:hAnsi="Calibri" w:cs="Calibri"/>
          <w:szCs w:val="20"/>
        </w:rPr>
        <w:t xml:space="preserve">programma </w:t>
      </w:r>
      <w:r w:rsidRPr="004F382D">
        <w:rPr>
          <w:rFonts w:ascii="Calibri" w:hAnsi="Calibri" w:cs="Calibri"/>
          <w:szCs w:val="20"/>
        </w:rPr>
        <w:t>in beeld.</w:t>
      </w:r>
    </w:p>
  </w:footnote>
  <w:footnote w:id="3">
    <w:p w14:paraId="44B73180" w14:textId="1E641320" w:rsidR="00936AB9" w:rsidRPr="004F382D" w:rsidRDefault="00936AB9"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9F7D49" w:rsidRPr="004F382D">
        <w:rPr>
          <w:rFonts w:ascii="Calibri" w:hAnsi="Calibri" w:cs="Calibri"/>
          <w:szCs w:val="20"/>
        </w:rPr>
        <w:t>Kamerstuk 22</w:t>
      </w:r>
      <w:r w:rsidR="00DD061A" w:rsidRPr="004F382D">
        <w:rPr>
          <w:rFonts w:ascii="Calibri" w:hAnsi="Calibri" w:cs="Calibri"/>
          <w:szCs w:val="20"/>
        </w:rPr>
        <w:t xml:space="preserve"> </w:t>
      </w:r>
      <w:r w:rsidR="009F7D49" w:rsidRPr="004F382D">
        <w:rPr>
          <w:rFonts w:ascii="Calibri" w:hAnsi="Calibri" w:cs="Calibri"/>
          <w:szCs w:val="20"/>
        </w:rPr>
        <w:t>112, nr. 4157</w:t>
      </w:r>
      <w:r w:rsidR="00F90B4D" w:rsidRPr="004F382D">
        <w:rPr>
          <w:rFonts w:ascii="Calibri" w:hAnsi="Calibri" w:cs="Calibri"/>
          <w:szCs w:val="20"/>
        </w:rPr>
        <w:t>.</w:t>
      </w:r>
    </w:p>
  </w:footnote>
  <w:footnote w:id="4">
    <w:p w14:paraId="0DA8886E" w14:textId="4A7125C8" w:rsidR="00454969" w:rsidRPr="004F382D" w:rsidRDefault="00454969"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A1075F" w:rsidRPr="004F382D">
        <w:rPr>
          <w:rFonts w:ascii="Calibri" w:hAnsi="Calibri" w:cs="Calibri"/>
          <w:szCs w:val="20"/>
        </w:rPr>
        <w:t>Kamerstuk 36</w:t>
      </w:r>
      <w:r w:rsidR="00DD061A" w:rsidRPr="004F382D">
        <w:rPr>
          <w:rFonts w:ascii="Calibri" w:hAnsi="Calibri" w:cs="Calibri"/>
          <w:szCs w:val="20"/>
        </w:rPr>
        <w:t xml:space="preserve"> </w:t>
      </w:r>
      <w:r w:rsidR="00A1075F" w:rsidRPr="004F382D">
        <w:rPr>
          <w:rFonts w:ascii="Calibri" w:hAnsi="Calibri" w:cs="Calibri"/>
          <w:szCs w:val="20"/>
        </w:rPr>
        <w:t>800</w:t>
      </w:r>
      <w:r w:rsidR="00DD061A" w:rsidRPr="004F382D">
        <w:rPr>
          <w:rFonts w:ascii="Calibri" w:hAnsi="Calibri" w:cs="Calibri"/>
          <w:szCs w:val="20"/>
        </w:rPr>
        <w:t xml:space="preserve"> </w:t>
      </w:r>
      <w:r w:rsidR="00A1075F" w:rsidRPr="004F382D">
        <w:rPr>
          <w:rFonts w:ascii="Calibri" w:hAnsi="Calibri" w:cs="Calibri"/>
          <w:szCs w:val="20"/>
        </w:rPr>
        <w:t>XVII nr. 9.</w:t>
      </w:r>
    </w:p>
  </w:footnote>
  <w:footnote w:id="5">
    <w:p w14:paraId="5F232051" w14:textId="452578C7" w:rsidR="00FA7825" w:rsidRPr="004F382D" w:rsidRDefault="00FA782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1A7775" w:rsidRPr="004F382D">
        <w:rPr>
          <w:rFonts w:ascii="Calibri" w:hAnsi="Calibri" w:cs="Calibri"/>
          <w:szCs w:val="20"/>
        </w:rPr>
        <w:t>Kamerstuk</w:t>
      </w:r>
      <w:r w:rsidR="004970AC" w:rsidRPr="004F382D">
        <w:rPr>
          <w:rFonts w:ascii="Calibri" w:hAnsi="Calibri" w:cs="Calibri"/>
          <w:szCs w:val="20"/>
        </w:rPr>
        <w:t xml:space="preserve"> </w:t>
      </w:r>
      <w:r w:rsidR="001A7775" w:rsidRPr="004F382D">
        <w:rPr>
          <w:rFonts w:ascii="Calibri" w:hAnsi="Calibri" w:cs="Calibri"/>
          <w:szCs w:val="20"/>
        </w:rPr>
        <w:t>36</w:t>
      </w:r>
      <w:r w:rsidR="00DD061A" w:rsidRPr="004F382D">
        <w:rPr>
          <w:rFonts w:ascii="Calibri" w:hAnsi="Calibri" w:cs="Calibri"/>
          <w:szCs w:val="20"/>
        </w:rPr>
        <w:t xml:space="preserve"> </w:t>
      </w:r>
      <w:r w:rsidR="001A7775" w:rsidRPr="004F382D">
        <w:rPr>
          <w:rFonts w:ascii="Calibri" w:hAnsi="Calibri" w:cs="Calibri"/>
          <w:szCs w:val="20"/>
        </w:rPr>
        <w:t>600</w:t>
      </w:r>
      <w:r w:rsidR="00DD061A" w:rsidRPr="004F382D">
        <w:rPr>
          <w:rFonts w:ascii="Calibri" w:hAnsi="Calibri" w:cs="Calibri"/>
          <w:szCs w:val="20"/>
        </w:rPr>
        <w:t xml:space="preserve"> </w:t>
      </w:r>
      <w:r w:rsidR="001A7775" w:rsidRPr="004F382D">
        <w:rPr>
          <w:rFonts w:ascii="Calibri" w:hAnsi="Calibri" w:cs="Calibri"/>
          <w:szCs w:val="20"/>
        </w:rPr>
        <w:t>VII, nr. 142</w:t>
      </w:r>
      <w:r w:rsidR="004970AC" w:rsidRPr="004F382D">
        <w:rPr>
          <w:rFonts w:ascii="Calibri" w:hAnsi="Calibri" w:cs="Calibri"/>
          <w:szCs w:val="20"/>
        </w:rPr>
        <w:t xml:space="preserve">. </w:t>
      </w:r>
    </w:p>
  </w:footnote>
  <w:footnote w:id="6">
    <w:p w14:paraId="3430C699" w14:textId="5F9FD95B" w:rsidR="008775EB" w:rsidRPr="004F382D" w:rsidRDefault="008775EB"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1A7775" w:rsidRPr="004F382D">
        <w:rPr>
          <w:rFonts w:ascii="Calibri" w:hAnsi="Calibri" w:cs="Calibri"/>
          <w:szCs w:val="20"/>
        </w:rPr>
        <w:t xml:space="preserve">De </w:t>
      </w:r>
      <w:r w:rsidR="004970AC" w:rsidRPr="004F382D">
        <w:rPr>
          <w:rFonts w:ascii="Calibri" w:hAnsi="Calibri" w:cs="Calibri"/>
          <w:szCs w:val="20"/>
        </w:rPr>
        <w:t>Nationale Jeugdstrategie</w:t>
      </w:r>
      <w:r w:rsidR="001A7775" w:rsidRPr="004F382D">
        <w:rPr>
          <w:rFonts w:ascii="Calibri" w:hAnsi="Calibri" w:cs="Calibri"/>
          <w:szCs w:val="20"/>
        </w:rPr>
        <w:t>, https://nationalejeugdstrategie.nl/</w:t>
      </w:r>
      <w:r w:rsidR="004970AC" w:rsidRPr="004F382D">
        <w:rPr>
          <w:rFonts w:ascii="Calibri" w:hAnsi="Calibri" w:cs="Calibri"/>
          <w:szCs w:val="20"/>
        </w:rPr>
        <w:t>.</w:t>
      </w:r>
    </w:p>
  </w:footnote>
  <w:footnote w:id="7">
    <w:p w14:paraId="2AC66D52" w14:textId="5EEAECF8" w:rsidR="009C5405" w:rsidRPr="004F382D" w:rsidRDefault="009C540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32</w:t>
      </w:r>
      <w:r w:rsidR="00DD061A" w:rsidRPr="004F382D">
        <w:rPr>
          <w:rFonts w:ascii="Calibri" w:hAnsi="Calibri" w:cs="Calibri"/>
          <w:szCs w:val="20"/>
        </w:rPr>
        <w:t xml:space="preserve"> </w:t>
      </w:r>
      <w:r w:rsidRPr="004F382D">
        <w:rPr>
          <w:rFonts w:ascii="Calibri" w:hAnsi="Calibri" w:cs="Calibri"/>
          <w:szCs w:val="20"/>
        </w:rPr>
        <w:t xml:space="preserve">740, nr. 21. </w:t>
      </w:r>
    </w:p>
  </w:footnote>
  <w:footnote w:id="8">
    <w:p w14:paraId="01946CD9" w14:textId="5962FA48" w:rsidR="009F7D49" w:rsidRPr="004F382D" w:rsidRDefault="009F7D49"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w:t>
      </w:r>
      <w:r w:rsidR="004970AC" w:rsidRPr="004F382D">
        <w:rPr>
          <w:rFonts w:ascii="Calibri" w:hAnsi="Calibri" w:cs="Calibri"/>
          <w:szCs w:val="20"/>
        </w:rPr>
        <w:t>2</w:t>
      </w:r>
      <w:r w:rsidRPr="004F382D">
        <w:rPr>
          <w:rFonts w:ascii="Calibri" w:hAnsi="Calibri" w:cs="Calibri"/>
          <w:szCs w:val="20"/>
        </w:rPr>
        <w:t>9</w:t>
      </w:r>
      <w:r w:rsidR="00DD061A" w:rsidRPr="004F382D">
        <w:rPr>
          <w:rFonts w:ascii="Calibri" w:hAnsi="Calibri" w:cs="Calibri"/>
          <w:szCs w:val="20"/>
        </w:rPr>
        <w:t xml:space="preserve"> </w:t>
      </w:r>
      <w:r w:rsidRPr="004F382D">
        <w:rPr>
          <w:rFonts w:ascii="Calibri" w:hAnsi="Calibri" w:cs="Calibri"/>
          <w:szCs w:val="20"/>
        </w:rPr>
        <w:t>515 nr. 494</w:t>
      </w:r>
      <w:r w:rsidR="004970AC" w:rsidRPr="004F382D">
        <w:rPr>
          <w:rFonts w:ascii="Calibri" w:hAnsi="Calibri" w:cs="Calibri"/>
          <w:szCs w:val="20"/>
        </w:rPr>
        <w:t xml:space="preserve">. </w:t>
      </w:r>
    </w:p>
  </w:footnote>
  <w:footnote w:id="9">
    <w:p w14:paraId="499059DC" w14:textId="4A1FF30F" w:rsidR="001A7775" w:rsidRPr="004F382D" w:rsidRDefault="001A777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hyperlink w:history="1"/>
      <w:r w:rsidR="00A1075F" w:rsidRPr="004F382D">
        <w:rPr>
          <w:rFonts w:ascii="Calibri" w:hAnsi="Calibri" w:cs="Calibri"/>
          <w:szCs w:val="20"/>
        </w:rPr>
        <w:t>Kamerstuk 32</w:t>
      </w:r>
      <w:r w:rsidR="00DD061A" w:rsidRPr="004F382D">
        <w:rPr>
          <w:rFonts w:ascii="Calibri" w:hAnsi="Calibri" w:cs="Calibri"/>
          <w:szCs w:val="20"/>
        </w:rPr>
        <w:t xml:space="preserve"> </w:t>
      </w:r>
      <w:r w:rsidR="00A1075F" w:rsidRPr="004F382D">
        <w:rPr>
          <w:rFonts w:ascii="Calibri" w:hAnsi="Calibri" w:cs="Calibri"/>
          <w:szCs w:val="20"/>
        </w:rPr>
        <w:t>740, nr. 21</w:t>
      </w:r>
      <w:r w:rsidR="00CB7A2E" w:rsidRPr="004F382D">
        <w:rPr>
          <w:rFonts w:ascii="Calibri" w:hAnsi="Calibri" w:cs="Calibri"/>
          <w:szCs w:val="20"/>
        </w:rPr>
        <w:t xml:space="preserve">; </w:t>
      </w:r>
      <w:r w:rsidR="00A1075F" w:rsidRPr="004F382D">
        <w:rPr>
          <w:rFonts w:ascii="Calibri" w:hAnsi="Calibri" w:cs="Calibri"/>
          <w:szCs w:val="20"/>
        </w:rPr>
        <w:t>.</w:t>
      </w:r>
      <w:r w:rsidR="00CB7A2E" w:rsidRPr="004F382D">
        <w:rPr>
          <w:rFonts w:ascii="Calibri" w:hAnsi="Calibri" w:cs="Calibri"/>
          <w:szCs w:val="20"/>
        </w:rPr>
        <w:t xml:space="preserve"> Kamerstuk 36</w:t>
      </w:r>
      <w:r w:rsidR="00DD061A" w:rsidRPr="004F382D">
        <w:rPr>
          <w:rFonts w:ascii="Calibri" w:hAnsi="Calibri" w:cs="Calibri"/>
          <w:szCs w:val="20"/>
        </w:rPr>
        <w:t xml:space="preserve"> </w:t>
      </w:r>
      <w:r w:rsidR="00CB7A2E" w:rsidRPr="004F382D">
        <w:rPr>
          <w:rFonts w:ascii="Calibri" w:hAnsi="Calibri" w:cs="Calibri"/>
          <w:szCs w:val="20"/>
        </w:rPr>
        <w:t>600</w:t>
      </w:r>
      <w:r w:rsidR="00DD061A" w:rsidRPr="004F382D">
        <w:rPr>
          <w:rFonts w:ascii="Calibri" w:hAnsi="Calibri" w:cs="Calibri"/>
          <w:szCs w:val="20"/>
        </w:rPr>
        <w:t xml:space="preserve"> </w:t>
      </w:r>
      <w:r w:rsidR="00CB7A2E" w:rsidRPr="004F382D">
        <w:rPr>
          <w:rFonts w:ascii="Calibri" w:hAnsi="Calibri" w:cs="Calibri"/>
          <w:szCs w:val="20"/>
        </w:rPr>
        <w:t>VII, nr. 142.</w:t>
      </w:r>
    </w:p>
  </w:footnote>
  <w:footnote w:id="10">
    <w:p w14:paraId="197BDD6B" w14:textId="1BA8A05E" w:rsidR="006A2DD8" w:rsidRPr="004F382D" w:rsidRDefault="006A2DD8"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30</w:t>
      </w:r>
      <w:r w:rsidR="00DD061A" w:rsidRPr="004F382D">
        <w:rPr>
          <w:rFonts w:ascii="Calibri" w:hAnsi="Calibri" w:cs="Calibri"/>
          <w:szCs w:val="20"/>
        </w:rPr>
        <w:t xml:space="preserve"> </w:t>
      </w:r>
      <w:r w:rsidRPr="004F382D">
        <w:rPr>
          <w:rFonts w:ascii="Calibri" w:hAnsi="Calibri" w:cs="Calibri"/>
          <w:szCs w:val="20"/>
        </w:rPr>
        <w:t>420 nr. B.</w:t>
      </w:r>
    </w:p>
  </w:footnote>
  <w:footnote w:id="11">
    <w:p w14:paraId="37699759" w14:textId="224EB3CB" w:rsidR="0023794C" w:rsidRPr="004F382D" w:rsidRDefault="0023794C"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23</w:t>
      </w:r>
      <w:r w:rsidR="00DD061A" w:rsidRPr="004F382D">
        <w:rPr>
          <w:rFonts w:ascii="Calibri" w:hAnsi="Calibri" w:cs="Calibri"/>
          <w:szCs w:val="20"/>
        </w:rPr>
        <w:t xml:space="preserve"> </w:t>
      </w:r>
      <w:r w:rsidRPr="004F382D">
        <w:rPr>
          <w:rFonts w:ascii="Calibri" w:hAnsi="Calibri" w:cs="Calibri"/>
          <w:szCs w:val="20"/>
        </w:rPr>
        <w:t>987 nr. 398.</w:t>
      </w:r>
    </w:p>
  </w:footnote>
  <w:footnote w:id="12">
    <w:p w14:paraId="2CE5F763" w14:textId="40DB117E" w:rsidR="00F41B71" w:rsidRPr="004F382D" w:rsidRDefault="00F41B7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F90B4D" w:rsidRPr="004F382D">
        <w:rPr>
          <w:rFonts w:ascii="Calibri" w:hAnsi="Calibri" w:cs="Calibri"/>
          <w:szCs w:val="20"/>
        </w:rPr>
        <w:t>Verordening (EU) 2022/2065.</w:t>
      </w:r>
    </w:p>
  </w:footnote>
  <w:footnote w:id="13">
    <w:p w14:paraId="0D506B42" w14:textId="30627697" w:rsidR="00F41B71" w:rsidRPr="004F382D" w:rsidRDefault="00F41B7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F90B4D" w:rsidRPr="004F382D">
        <w:rPr>
          <w:rFonts w:ascii="Calibri" w:hAnsi="Calibri" w:cs="Calibri"/>
          <w:szCs w:val="20"/>
        </w:rPr>
        <w:t>Richtlijn (EU) 2024/1069.</w:t>
      </w:r>
    </w:p>
  </w:footnote>
  <w:footnote w:id="14">
    <w:p w14:paraId="54ABFB54" w14:textId="37636A06" w:rsidR="001A3CF1" w:rsidRPr="004F382D" w:rsidRDefault="001A3CF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E9083D" w:rsidRPr="004F382D">
        <w:rPr>
          <w:rFonts w:ascii="Calibri" w:hAnsi="Calibri" w:cs="Calibri"/>
          <w:szCs w:val="20"/>
        </w:rPr>
        <w:t xml:space="preserve">Bijvoorbeeld gericht op lokaal eigenaarschap, </w:t>
      </w:r>
      <w:r w:rsidRPr="004F382D">
        <w:rPr>
          <w:rFonts w:ascii="Calibri" w:hAnsi="Calibri" w:cs="Calibri"/>
          <w:szCs w:val="20"/>
        </w:rPr>
        <w:t>Kamerstuk 36</w:t>
      </w:r>
      <w:r w:rsidR="00DD061A" w:rsidRPr="004F382D">
        <w:rPr>
          <w:rFonts w:ascii="Calibri" w:hAnsi="Calibri" w:cs="Calibri"/>
          <w:szCs w:val="20"/>
        </w:rPr>
        <w:t xml:space="preserve"> 1</w:t>
      </w:r>
      <w:r w:rsidRPr="004F382D">
        <w:rPr>
          <w:rFonts w:ascii="Calibri" w:hAnsi="Calibri" w:cs="Calibri"/>
          <w:szCs w:val="20"/>
        </w:rPr>
        <w:t>80</w:t>
      </w:r>
      <w:r w:rsidR="00DD061A" w:rsidRPr="004F382D">
        <w:rPr>
          <w:rFonts w:ascii="Calibri" w:hAnsi="Calibri" w:cs="Calibri"/>
          <w:szCs w:val="20"/>
        </w:rPr>
        <w:t>,</w:t>
      </w:r>
      <w:r w:rsidRPr="004F382D">
        <w:rPr>
          <w:rFonts w:ascii="Calibri" w:hAnsi="Calibri" w:cs="Calibri"/>
          <w:szCs w:val="20"/>
        </w:rPr>
        <w:t xml:space="preserve"> nr. 133.</w:t>
      </w:r>
    </w:p>
  </w:footnote>
  <w:footnote w:id="15">
    <w:p w14:paraId="7B986127" w14:textId="36676390" w:rsidR="006A2DD8" w:rsidRPr="004F382D" w:rsidRDefault="006A2DD8"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22</w:t>
      </w:r>
      <w:r w:rsidR="00DD061A" w:rsidRPr="004F382D">
        <w:rPr>
          <w:rFonts w:ascii="Calibri" w:hAnsi="Calibri" w:cs="Calibri"/>
          <w:szCs w:val="20"/>
        </w:rPr>
        <w:t xml:space="preserve"> </w:t>
      </w:r>
      <w:r w:rsidRPr="004F382D">
        <w:rPr>
          <w:rFonts w:ascii="Calibri" w:hAnsi="Calibri" w:cs="Calibri"/>
          <w:szCs w:val="20"/>
        </w:rPr>
        <w:t>112</w:t>
      </w:r>
      <w:r w:rsidR="00DD061A" w:rsidRPr="004F382D">
        <w:rPr>
          <w:rFonts w:ascii="Calibri" w:hAnsi="Calibri" w:cs="Calibri"/>
          <w:szCs w:val="20"/>
        </w:rPr>
        <w:t>,</w:t>
      </w:r>
      <w:r w:rsidRPr="004F382D">
        <w:rPr>
          <w:rFonts w:ascii="Calibri" w:hAnsi="Calibri" w:cs="Calibri"/>
          <w:szCs w:val="20"/>
        </w:rPr>
        <w:t xml:space="preserve"> nr. 4159.</w:t>
      </w:r>
    </w:p>
  </w:footnote>
  <w:footnote w:id="16">
    <w:p w14:paraId="699B4E12" w14:textId="33EBDC85" w:rsidR="006C6555" w:rsidRPr="004F382D" w:rsidRDefault="006C655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DE56EE" w:rsidRPr="004F382D">
        <w:rPr>
          <w:rFonts w:ascii="Calibri" w:hAnsi="Calibri" w:cs="Calibri"/>
          <w:szCs w:val="20"/>
        </w:rPr>
        <w:t>Kamerstuk 36</w:t>
      </w:r>
      <w:r w:rsidR="00DD061A" w:rsidRPr="004F382D">
        <w:rPr>
          <w:rFonts w:ascii="Calibri" w:hAnsi="Calibri" w:cs="Calibri"/>
          <w:szCs w:val="20"/>
        </w:rPr>
        <w:t xml:space="preserve"> </w:t>
      </w:r>
      <w:r w:rsidR="00DE56EE" w:rsidRPr="004F382D">
        <w:rPr>
          <w:rFonts w:ascii="Calibri" w:hAnsi="Calibri" w:cs="Calibri"/>
          <w:szCs w:val="20"/>
        </w:rPr>
        <w:t>514</w:t>
      </w:r>
      <w:r w:rsidR="00DD061A" w:rsidRPr="004F382D">
        <w:rPr>
          <w:rFonts w:ascii="Calibri" w:hAnsi="Calibri" w:cs="Calibri"/>
          <w:szCs w:val="20"/>
        </w:rPr>
        <w:t>,</w:t>
      </w:r>
      <w:r w:rsidR="00DE56EE" w:rsidRPr="004F382D">
        <w:rPr>
          <w:rFonts w:ascii="Calibri" w:hAnsi="Calibri" w:cs="Calibri"/>
          <w:szCs w:val="20"/>
        </w:rPr>
        <w:t xml:space="preserve"> nr. 7.</w:t>
      </w:r>
    </w:p>
  </w:footnote>
  <w:footnote w:id="17">
    <w:p w14:paraId="060EE5D4" w14:textId="43A5457B" w:rsidR="006C6555" w:rsidRPr="004F382D" w:rsidRDefault="006C655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214BF4" w:rsidRPr="004F382D">
        <w:rPr>
          <w:rFonts w:ascii="Calibri" w:hAnsi="Calibri" w:cs="Calibri"/>
          <w:szCs w:val="20"/>
        </w:rPr>
        <w:t>Kamerstuk 22</w:t>
      </w:r>
      <w:r w:rsidR="00DD061A" w:rsidRPr="004F382D">
        <w:rPr>
          <w:rFonts w:ascii="Calibri" w:hAnsi="Calibri" w:cs="Calibri"/>
          <w:szCs w:val="20"/>
        </w:rPr>
        <w:t xml:space="preserve"> </w:t>
      </w:r>
      <w:r w:rsidR="00214BF4" w:rsidRPr="004F382D">
        <w:rPr>
          <w:rFonts w:ascii="Calibri" w:hAnsi="Calibri" w:cs="Calibri"/>
          <w:szCs w:val="20"/>
        </w:rPr>
        <w:t>112</w:t>
      </w:r>
      <w:r w:rsidR="00DD061A" w:rsidRPr="004F382D">
        <w:rPr>
          <w:rFonts w:ascii="Calibri" w:hAnsi="Calibri" w:cs="Calibri"/>
          <w:szCs w:val="20"/>
        </w:rPr>
        <w:t>,</w:t>
      </w:r>
      <w:r w:rsidR="00214BF4" w:rsidRPr="004F382D">
        <w:rPr>
          <w:rFonts w:ascii="Calibri" w:hAnsi="Calibri" w:cs="Calibri"/>
          <w:szCs w:val="20"/>
        </w:rPr>
        <w:t xml:space="preserve"> nr. 3896.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DEE6" w14:textId="77777777" w:rsidR="008B6629" w:rsidRDefault="008B6629" w:rsidP="008D7B9A">
    <w:pPr>
      <w:pStyle w:val="Koptekst"/>
      <w:rPr>
        <w:lang w:val="en-US"/>
      </w:rPr>
    </w:pPr>
  </w:p>
  <w:p w14:paraId="4F5E9C7E" w14:textId="77777777" w:rsidR="00B02EA4" w:rsidRDefault="00B02EA4" w:rsidP="00413CEC">
    <w:pPr>
      <w:pStyle w:val="Koptekst"/>
      <w:rPr>
        <w:b/>
        <w:bCs/>
        <w:lang w:val="en-US"/>
      </w:rPr>
    </w:pPr>
  </w:p>
  <w:p w14:paraId="2693F286" w14:textId="2E35AD1B" w:rsidR="008B6629" w:rsidRPr="00B02EA4" w:rsidRDefault="00B02EA4" w:rsidP="00413CEC">
    <w:pPr>
      <w:pStyle w:val="Koptekst"/>
      <w:rPr>
        <w:b/>
        <w:bCs/>
        <w:lang w:val="en-US"/>
      </w:rPr>
    </w:pPr>
    <w:r>
      <w:rPr>
        <w:b/>
        <w:bCs/>
        <w:lang w:val="en-US"/>
      </w:rPr>
      <w:tab/>
    </w:r>
    <w:r>
      <w:rPr>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34363F"/>
    <w:multiLevelType w:val="multilevel"/>
    <w:tmpl w:val="B11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741AC"/>
    <w:multiLevelType w:val="hybridMultilevel"/>
    <w:tmpl w:val="F46A0E18"/>
    <w:lvl w:ilvl="0" w:tplc="5ADC018E">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76830"/>
    <w:multiLevelType w:val="multilevel"/>
    <w:tmpl w:val="8F2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F4847"/>
    <w:multiLevelType w:val="hybridMultilevel"/>
    <w:tmpl w:val="A02AF060"/>
    <w:lvl w:ilvl="0" w:tplc="2AA2E16C">
      <w:start w:val="1"/>
      <w:numFmt w:val="decimal"/>
      <w:pStyle w:val="Kop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FF33D9"/>
    <w:multiLevelType w:val="hybridMultilevel"/>
    <w:tmpl w:val="45BCBE98"/>
    <w:lvl w:ilvl="0" w:tplc="804A3DE2">
      <w:start w:val="1"/>
      <w:numFmt w:val="lowerLetter"/>
      <w:pStyle w:val="Kop3"/>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pStyle w:val="Kop4"/>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9186800"/>
    <w:multiLevelType w:val="hybridMultilevel"/>
    <w:tmpl w:val="4DB6A544"/>
    <w:lvl w:ilvl="0" w:tplc="A116495C">
      <w:start w:val="1"/>
      <w:numFmt w:val="bullet"/>
      <w:lvlText w:val=""/>
      <w:lvlJc w:val="left"/>
      <w:pPr>
        <w:ind w:left="1080" w:hanging="360"/>
      </w:pPr>
      <w:rPr>
        <w:rFonts w:ascii="Symbol" w:hAnsi="Symbol"/>
      </w:rPr>
    </w:lvl>
    <w:lvl w:ilvl="1" w:tplc="D960BC08">
      <w:start w:val="1"/>
      <w:numFmt w:val="bullet"/>
      <w:lvlText w:val=""/>
      <w:lvlJc w:val="left"/>
      <w:pPr>
        <w:ind w:left="1080" w:hanging="360"/>
      </w:pPr>
      <w:rPr>
        <w:rFonts w:ascii="Symbol" w:hAnsi="Symbol"/>
      </w:rPr>
    </w:lvl>
    <w:lvl w:ilvl="2" w:tplc="2D964B46">
      <w:start w:val="1"/>
      <w:numFmt w:val="bullet"/>
      <w:lvlText w:val=""/>
      <w:lvlJc w:val="left"/>
      <w:pPr>
        <w:ind w:left="1080" w:hanging="360"/>
      </w:pPr>
      <w:rPr>
        <w:rFonts w:ascii="Symbol" w:hAnsi="Symbol"/>
      </w:rPr>
    </w:lvl>
    <w:lvl w:ilvl="3" w:tplc="226003C6">
      <w:start w:val="1"/>
      <w:numFmt w:val="bullet"/>
      <w:lvlText w:val=""/>
      <w:lvlJc w:val="left"/>
      <w:pPr>
        <w:ind w:left="1080" w:hanging="360"/>
      </w:pPr>
      <w:rPr>
        <w:rFonts w:ascii="Symbol" w:hAnsi="Symbol"/>
      </w:rPr>
    </w:lvl>
    <w:lvl w:ilvl="4" w:tplc="1E981D14">
      <w:start w:val="1"/>
      <w:numFmt w:val="bullet"/>
      <w:lvlText w:val=""/>
      <w:lvlJc w:val="left"/>
      <w:pPr>
        <w:ind w:left="1080" w:hanging="360"/>
      </w:pPr>
      <w:rPr>
        <w:rFonts w:ascii="Symbol" w:hAnsi="Symbol"/>
      </w:rPr>
    </w:lvl>
    <w:lvl w:ilvl="5" w:tplc="F63634E4">
      <w:start w:val="1"/>
      <w:numFmt w:val="bullet"/>
      <w:lvlText w:val=""/>
      <w:lvlJc w:val="left"/>
      <w:pPr>
        <w:ind w:left="1080" w:hanging="360"/>
      </w:pPr>
      <w:rPr>
        <w:rFonts w:ascii="Symbol" w:hAnsi="Symbol"/>
      </w:rPr>
    </w:lvl>
    <w:lvl w:ilvl="6" w:tplc="6A54AE34">
      <w:start w:val="1"/>
      <w:numFmt w:val="bullet"/>
      <w:lvlText w:val=""/>
      <w:lvlJc w:val="left"/>
      <w:pPr>
        <w:ind w:left="1080" w:hanging="360"/>
      </w:pPr>
      <w:rPr>
        <w:rFonts w:ascii="Symbol" w:hAnsi="Symbol"/>
      </w:rPr>
    </w:lvl>
    <w:lvl w:ilvl="7" w:tplc="8D240D80">
      <w:start w:val="1"/>
      <w:numFmt w:val="bullet"/>
      <w:lvlText w:val=""/>
      <w:lvlJc w:val="left"/>
      <w:pPr>
        <w:ind w:left="1080" w:hanging="360"/>
      </w:pPr>
      <w:rPr>
        <w:rFonts w:ascii="Symbol" w:hAnsi="Symbol"/>
      </w:rPr>
    </w:lvl>
    <w:lvl w:ilvl="8" w:tplc="45BA49C6">
      <w:start w:val="1"/>
      <w:numFmt w:val="bullet"/>
      <w:lvlText w:val=""/>
      <w:lvlJc w:val="left"/>
      <w:pPr>
        <w:ind w:left="1080" w:hanging="360"/>
      </w:pPr>
      <w:rPr>
        <w:rFonts w:ascii="Symbol" w:hAnsi="Symbol"/>
      </w:rPr>
    </w:lvl>
  </w:abstractNum>
  <w:abstractNum w:abstractNumId="20"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5"/>
  </w:num>
  <w:num w:numId="3" w16cid:durableId="1483035464">
    <w:abstractNumId w:val="18"/>
  </w:num>
  <w:num w:numId="4" w16cid:durableId="1079516967">
    <w:abstractNumId w:val="12"/>
  </w:num>
  <w:num w:numId="5" w16cid:durableId="1968581050">
    <w:abstractNumId w:val="4"/>
  </w:num>
  <w:num w:numId="6" w16cid:durableId="111019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1"/>
  </w:num>
  <w:num w:numId="8" w16cid:durableId="992836492">
    <w:abstractNumId w:val="10"/>
  </w:num>
  <w:num w:numId="9" w16cid:durableId="890773237">
    <w:abstractNumId w:val="8"/>
  </w:num>
  <w:num w:numId="10" w16cid:durableId="1567298006">
    <w:abstractNumId w:val="4"/>
  </w:num>
  <w:num w:numId="11" w16cid:durableId="753937102">
    <w:abstractNumId w:val="2"/>
  </w:num>
  <w:num w:numId="12" w16cid:durableId="312218462">
    <w:abstractNumId w:val="5"/>
  </w:num>
  <w:num w:numId="13" w16cid:durableId="902640056">
    <w:abstractNumId w:val="11"/>
  </w:num>
  <w:num w:numId="14" w16cid:durableId="442841416">
    <w:abstractNumId w:val="20"/>
  </w:num>
  <w:num w:numId="15" w16cid:durableId="2008941693">
    <w:abstractNumId w:val="13"/>
  </w:num>
  <w:num w:numId="16" w16cid:durableId="1582832538">
    <w:abstractNumId w:val="17"/>
  </w:num>
  <w:num w:numId="17" w16cid:durableId="310258348">
    <w:abstractNumId w:val="14"/>
  </w:num>
  <w:num w:numId="18" w16cid:durableId="345979668">
    <w:abstractNumId w:val="3"/>
  </w:num>
  <w:num w:numId="19" w16cid:durableId="1656762799">
    <w:abstractNumId w:val="1"/>
  </w:num>
  <w:num w:numId="20" w16cid:durableId="312222174">
    <w:abstractNumId w:val="6"/>
  </w:num>
  <w:num w:numId="21" w16cid:durableId="520163527">
    <w:abstractNumId w:val="9"/>
  </w:num>
  <w:num w:numId="22" w16cid:durableId="37752811">
    <w:abstractNumId w:val="18"/>
    <w:lvlOverride w:ilvl="0">
      <w:startOverride w:val="1"/>
    </w:lvlOverride>
  </w:num>
  <w:num w:numId="23" w16cid:durableId="1138374495">
    <w:abstractNumId w:val="18"/>
    <w:lvlOverride w:ilvl="0">
      <w:startOverride w:val="1"/>
    </w:lvlOverride>
  </w:num>
  <w:num w:numId="24" w16cid:durableId="1701003458">
    <w:abstractNumId w:val="18"/>
    <w:lvlOverride w:ilvl="0">
      <w:startOverride w:val="1"/>
    </w:lvlOverride>
  </w:num>
  <w:num w:numId="25" w16cid:durableId="1257666705">
    <w:abstractNumId w:val="19"/>
  </w:num>
  <w:num w:numId="26" w16cid:durableId="456267252">
    <w:abstractNumId w:val="15"/>
  </w:num>
  <w:num w:numId="27" w16cid:durableId="1375303708">
    <w:abstractNumId w:val="7"/>
  </w:num>
  <w:num w:numId="28" w16cid:durableId="443040335">
    <w:abstractNumId w:val="1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77E0"/>
    <w:rsid w:val="000133CE"/>
    <w:rsid w:val="00015A06"/>
    <w:rsid w:val="00024288"/>
    <w:rsid w:val="00035EB0"/>
    <w:rsid w:val="00042433"/>
    <w:rsid w:val="00043832"/>
    <w:rsid w:val="00043E19"/>
    <w:rsid w:val="000456CD"/>
    <w:rsid w:val="000530D6"/>
    <w:rsid w:val="00053787"/>
    <w:rsid w:val="00053F20"/>
    <w:rsid w:val="00064FFD"/>
    <w:rsid w:val="00066773"/>
    <w:rsid w:val="0007179C"/>
    <w:rsid w:val="00075FAF"/>
    <w:rsid w:val="00077D46"/>
    <w:rsid w:val="0008219B"/>
    <w:rsid w:val="00082BA6"/>
    <w:rsid w:val="00085290"/>
    <w:rsid w:val="00086831"/>
    <w:rsid w:val="00092B8C"/>
    <w:rsid w:val="000934E1"/>
    <w:rsid w:val="00096D78"/>
    <w:rsid w:val="000A007D"/>
    <w:rsid w:val="000A2088"/>
    <w:rsid w:val="000A4420"/>
    <w:rsid w:val="000B338A"/>
    <w:rsid w:val="000B70F2"/>
    <w:rsid w:val="000C07D1"/>
    <w:rsid w:val="000C6487"/>
    <w:rsid w:val="000D08A5"/>
    <w:rsid w:val="000E45A0"/>
    <w:rsid w:val="000E4E3E"/>
    <w:rsid w:val="000E71DB"/>
    <w:rsid w:val="000F4E85"/>
    <w:rsid w:val="000F50C1"/>
    <w:rsid w:val="00100C4B"/>
    <w:rsid w:val="00105A2B"/>
    <w:rsid w:val="00106930"/>
    <w:rsid w:val="00110974"/>
    <w:rsid w:val="001156FE"/>
    <w:rsid w:val="00126B3D"/>
    <w:rsid w:val="00140BBF"/>
    <w:rsid w:val="00142600"/>
    <w:rsid w:val="00146DC7"/>
    <w:rsid w:val="00151873"/>
    <w:rsid w:val="00153FEE"/>
    <w:rsid w:val="001671C7"/>
    <w:rsid w:val="00170A17"/>
    <w:rsid w:val="00180694"/>
    <w:rsid w:val="00181489"/>
    <w:rsid w:val="001824F9"/>
    <w:rsid w:val="00186A25"/>
    <w:rsid w:val="001877C5"/>
    <w:rsid w:val="00190B80"/>
    <w:rsid w:val="001931D8"/>
    <w:rsid w:val="00196A4F"/>
    <w:rsid w:val="00196B1C"/>
    <w:rsid w:val="001974BA"/>
    <w:rsid w:val="001A1118"/>
    <w:rsid w:val="001A3A04"/>
    <w:rsid w:val="001A3CF1"/>
    <w:rsid w:val="001A5CFB"/>
    <w:rsid w:val="001A7003"/>
    <w:rsid w:val="001A7775"/>
    <w:rsid w:val="001A7DDF"/>
    <w:rsid w:val="001B0F29"/>
    <w:rsid w:val="001B129B"/>
    <w:rsid w:val="001B30F9"/>
    <w:rsid w:val="001B33E9"/>
    <w:rsid w:val="001B7554"/>
    <w:rsid w:val="001D625F"/>
    <w:rsid w:val="001F128F"/>
    <w:rsid w:val="001F2C68"/>
    <w:rsid w:val="001F30EC"/>
    <w:rsid w:val="00200954"/>
    <w:rsid w:val="00202747"/>
    <w:rsid w:val="00203041"/>
    <w:rsid w:val="0020585E"/>
    <w:rsid w:val="00206231"/>
    <w:rsid w:val="00207A82"/>
    <w:rsid w:val="00214BF4"/>
    <w:rsid w:val="00215DC3"/>
    <w:rsid w:val="0023088D"/>
    <w:rsid w:val="002367A2"/>
    <w:rsid w:val="0023686A"/>
    <w:rsid w:val="0023794C"/>
    <w:rsid w:val="002412FA"/>
    <w:rsid w:val="00242B6C"/>
    <w:rsid w:val="00242EBB"/>
    <w:rsid w:val="00247D96"/>
    <w:rsid w:val="00252833"/>
    <w:rsid w:val="002557DE"/>
    <w:rsid w:val="002643B5"/>
    <w:rsid w:val="00264601"/>
    <w:rsid w:val="00264F95"/>
    <w:rsid w:val="002657B1"/>
    <w:rsid w:val="0028477E"/>
    <w:rsid w:val="0028756E"/>
    <w:rsid w:val="002879F3"/>
    <w:rsid w:val="002917F1"/>
    <w:rsid w:val="00291E15"/>
    <w:rsid w:val="002922A9"/>
    <w:rsid w:val="00293B4C"/>
    <w:rsid w:val="002951FF"/>
    <w:rsid w:val="00296ABE"/>
    <w:rsid w:val="002A0236"/>
    <w:rsid w:val="002A143C"/>
    <w:rsid w:val="002A2B82"/>
    <w:rsid w:val="002A34E8"/>
    <w:rsid w:val="002A7808"/>
    <w:rsid w:val="002B020D"/>
    <w:rsid w:val="002C3989"/>
    <w:rsid w:val="002D04B9"/>
    <w:rsid w:val="002E4ED2"/>
    <w:rsid w:val="002E6F2A"/>
    <w:rsid w:val="002F13AB"/>
    <w:rsid w:val="002F26F9"/>
    <w:rsid w:val="002F2788"/>
    <w:rsid w:val="002F552B"/>
    <w:rsid w:val="003103DF"/>
    <w:rsid w:val="00310847"/>
    <w:rsid w:val="0031116D"/>
    <w:rsid w:val="003140E2"/>
    <w:rsid w:val="003141BF"/>
    <w:rsid w:val="00315DC8"/>
    <w:rsid w:val="00316358"/>
    <w:rsid w:val="00320C8E"/>
    <w:rsid w:val="00320E5E"/>
    <w:rsid w:val="0032505B"/>
    <w:rsid w:val="003272AA"/>
    <w:rsid w:val="003332D7"/>
    <w:rsid w:val="003453A0"/>
    <w:rsid w:val="0035055A"/>
    <w:rsid w:val="00352C8A"/>
    <w:rsid w:val="00362154"/>
    <w:rsid w:val="0037470C"/>
    <w:rsid w:val="00391CF5"/>
    <w:rsid w:val="0039402C"/>
    <w:rsid w:val="003C0DA9"/>
    <w:rsid w:val="003C6B78"/>
    <w:rsid w:val="003E0CF3"/>
    <w:rsid w:val="003E4372"/>
    <w:rsid w:val="003F2A2E"/>
    <w:rsid w:val="00401C39"/>
    <w:rsid w:val="004022F9"/>
    <w:rsid w:val="004032ED"/>
    <w:rsid w:val="004042BB"/>
    <w:rsid w:val="00405241"/>
    <w:rsid w:val="00412EF3"/>
    <w:rsid w:val="00413CEC"/>
    <w:rsid w:val="00415222"/>
    <w:rsid w:val="004213C6"/>
    <w:rsid w:val="00422DFC"/>
    <w:rsid w:val="00424610"/>
    <w:rsid w:val="00433165"/>
    <w:rsid w:val="00443B32"/>
    <w:rsid w:val="00451DA2"/>
    <w:rsid w:val="00454969"/>
    <w:rsid w:val="004558B2"/>
    <w:rsid w:val="00464E04"/>
    <w:rsid w:val="004731ED"/>
    <w:rsid w:val="004770BF"/>
    <w:rsid w:val="00477492"/>
    <w:rsid w:val="00485D34"/>
    <w:rsid w:val="004876C7"/>
    <w:rsid w:val="00490237"/>
    <w:rsid w:val="00491981"/>
    <w:rsid w:val="004948DA"/>
    <w:rsid w:val="00495B34"/>
    <w:rsid w:val="004970AC"/>
    <w:rsid w:val="004A0E5F"/>
    <w:rsid w:val="004A51D1"/>
    <w:rsid w:val="004A7917"/>
    <w:rsid w:val="004B0068"/>
    <w:rsid w:val="004B7FE9"/>
    <w:rsid w:val="004C4241"/>
    <w:rsid w:val="004C5883"/>
    <w:rsid w:val="004D161C"/>
    <w:rsid w:val="004D3619"/>
    <w:rsid w:val="004E3ECB"/>
    <w:rsid w:val="004E41A8"/>
    <w:rsid w:val="004E47D2"/>
    <w:rsid w:val="004F2AAC"/>
    <w:rsid w:val="004F382D"/>
    <w:rsid w:val="00507353"/>
    <w:rsid w:val="00517D09"/>
    <w:rsid w:val="00520254"/>
    <w:rsid w:val="00522EE1"/>
    <w:rsid w:val="0053589A"/>
    <w:rsid w:val="00540FA2"/>
    <w:rsid w:val="00544CF7"/>
    <w:rsid w:val="0055630D"/>
    <w:rsid w:val="00561DE2"/>
    <w:rsid w:val="0056415C"/>
    <w:rsid w:val="00570A6B"/>
    <w:rsid w:val="00575B1C"/>
    <w:rsid w:val="00576B64"/>
    <w:rsid w:val="00580E6A"/>
    <w:rsid w:val="005811BA"/>
    <w:rsid w:val="00586163"/>
    <w:rsid w:val="00586F96"/>
    <w:rsid w:val="005A068D"/>
    <w:rsid w:val="005A42E2"/>
    <w:rsid w:val="005A435A"/>
    <w:rsid w:val="005A7219"/>
    <w:rsid w:val="005B2B56"/>
    <w:rsid w:val="005D1ADD"/>
    <w:rsid w:val="005D6567"/>
    <w:rsid w:val="005E0495"/>
    <w:rsid w:val="005E2AA1"/>
    <w:rsid w:val="005E7749"/>
    <w:rsid w:val="006004CB"/>
    <w:rsid w:val="00604898"/>
    <w:rsid w:val="0061151C"/>
    <w:rsid w:val="00621185"/>
    <w:rsid w:val="00621340"/>
    <w:rsid w:val="00622F97"/>
    <w:rsid w:val="006233FE"/>
    <w:rsid w:val="0062364E"/>
    <w:rsid w:val="00624CE2"/>
    <w:rsid w:val="006260FA"/>
    <w:rsid w:val="0063038F"/>
    <w:rsid w:val="00631363"/>
    <w:rsid w:val="00632253"/>
    <w:rsid w:val="00632E9D"/>
    <w:rsid w:val="00637E72"/>
    <w:rsid w:val="0065491D"/>
    <w:rsid w:val="00654DFC"/>
    <w:rsid w:val="006562B3"/>
    <w:rsid w:val="00656D6B"/>
    <w:rsid w:val="0066328F"/>
    <w:rsid w:val="00664205"/>
    <w:rsid w:val="00664E58"/>
    <w:rsid w:val="00670EB5"/>
    <w:rsid w:val="00671710"/>
    <w:rsid w:val="00671FA4"/>
    <w:rsid w:val="00672A80"/>
    <w:rsid w:val="006736C0"/>
    <w:rsid w:val="00677327"/>
    <w:rsid w:val="00687FE9"/>
    <w:rsid w:val="00695CA4"/>
    <w:rsid w:val="006A194B"/>
    <w:rsid w:val="006A2DD8"/>
    <w:rsid w:val="006A5487"/>
    <w:rsid w:val="006A6D81"/>
    <w:rsid w:val="006B0E66"/>
    <w:rsid w:val="006B1F77"/>
    <w:rsid w:val="006B4C4C"/>
    <w:rsid w:val="006B50A0"/>
    <w:rsid w:val="006C6555"/>
    <w:rsid w:val="006D2D83"/>
    <w:rsid w:val="006D5C2D"/>
    <w:rsid w:val="006D7DE7"/>
    <w:rsid w:val="006E2EFE"/>
    <w:rsid w:val="006E58E5"/>
    <w:rsid w:val="006E720B"/>
    <w:rsid w:val="006F1582"/>
    <w:rsid w:val="006F27A8"/>
    <w:rsid w:val="006F3E6B"/>
    <w:rsid w:val="00706E79"/>
    <w:rsid w:val="00707A3B"/>
    <w:rsid w:val="0071299D"/>
    <w:rsid w:val="00715FA4"/>
    <w:rsid w:val="00717076"/>
    <w:rsid w:val="00720E71"/>
    <w:rsid w:val="007234A1"/>
    <w:rsid w:val="00726D2E"/>
    <w:rsid w:val="007276A6"/>
    <w:rsid w:val="0073202A"/>
    <w:rsid w:val="00732106"/>
    <w:rsid w:val="00741928"/>
    <w:rsid w:val="00745CB7"/>
    <w:rsid w:val="00746DCB"/>
    <w:rsid w:val="00752EC0"/>
    <w:rsid w:val="00760E09"/>
    <w:rsid w:val="00761B0E"/>
    <w:rsid w:val="0076377C"/>
    <w:rsid w:val="00765929"/>
    <w:rsid w:val="00766072"/>
    <w:rsid w:val="00770E02"/>
    <w:rsid w:val="00780E46"/>
    <w:rsid w:val="00787A3C"/>
    <w:rsid w:val="007908D2"/>
    <w:rsid w:val="00792A70"/>
    <w:rsid w:val="00794A80"/>
    <w:rsid w:val="007958C5"/>
    <w:rsid w:val="007979B4"/>
    <w:rsid w:val="007A274B"/>
    <w:rsid w:val="007B077D"/>
    <w:rsid w:val="007B5E8B"/>
    <w:rsid w:val="007B655C"/>
    <w:rsid w:val="007C00C3"/>
    <w:rsid w:val="007C40DD"/>
    <w:rsid w:val="007C43FC"/>
    <w:rsid w:val="007D2F57"/>
    <w:rsid w:val="007D7A2A"/>
    <w:rsid w:val="007E4AEA"/>
    <w:rsid w:val="007E5706"/>
    <w:rsid w:val="007E65B1"/>
    <w:rsid w:val="007F28E0"/>
    <w:rsid w:val="007F2FDC"/>
    <w:rsid w:val="007F5027"/>
    <w:rsid w:val="008002C1"/>
    <w:rsid w:val="0080521F"/>
    <w:rsid w:val="00815191"/>
    <w:rsid w:val="00816117"/>
    <w:rsid w:val="0082031A"/>
    <w:rsid w:val="00826C5C"/>
    <w:rsid w:val="00833B0B"/>
    <w:rsid w:val="00842AF1"/>
    <w:rsid w:val="0085224E"/>
    <w:rsid w:val="00854B6F"/>
    <w:rsid w:val="0085501B"/>
    <w:rsid w:val="008633C2"/>
    <w:rsid w:val="00863FFE"/>
    <w:rsid w:val="008644DC"/>
    <w:rsid w:val="00864603"/>
    <w:rsid w:val="00865D6D"/>
    <w:rsid w:val="00870E22"/>
    <w:rsid w:val="008775EB"/>
    <w:rsid w:val="008806E4"/>
    <w:rsid w:val="0088541C"/>
    <w:rsid w:val="008B2081"/>
    <w:rsid w:val="008B311F"/>
    <w:rsid w:val="008B6629"/>
    <w:rsid w:val="008C2AD9"/>
    <w:rsid w:val="008C3942"/>
    <w:rsid w:val="008C5538"/>
    <w:rsid w:val="008D169A"/>
    <w:rsid w:val="008D7B9A"/>
    <w:rsid w:val="008D7BE7"/>
    <w:rsid w:val="008E31B0"/>
    <w:rsid w:val="008E42D6"/>
    <w:rsid w:val="008E56EF"/>
    <w:rsid w:val="008E70AA"/>
    <w:rsid w:val="008F1DCE"/>
    <w:rsid w:val="008F2868"/>
    <w:rsid w:val="008F322D"/>
    <w:rsid w:val="008F3D35"/>
    <w:rsid w:val="00900B4F"/>
    <w:rsid w:val="009105C7"/>
    <w:rsid w:val="009108E3"/>
    <w:rsid w:val="00910A27"/>
    <w:rsid w:val="00911000"/>
    <w:rsid w:val="00914429"/>
    <w:rsid w:val="00921591"/>
    <w:rsid w:val="00923193"/>
    <w:rsid w:val="009307BC"/>
    <w:rsid w:val="00930FCB"/>
    <w:rsid w:val="00936AB9"/>
    <w:rsid w:val="009370D7"/>
    <w:rsid w:val="00940547"/>
    <w:rsid w:val="00944F97"/>
    <w:rsid w:val="00945B0A"/>
    <w:rsid w:val="00950340"/>
    <w:rsid w:val="00953CE8"/>
    <w:rsid w:val="0095487B"/>
    <w:rsid w:val="00954ADA"/>
    <w:rsid w:val="00955014"/>
    <w:rsid w:val="009560EF"/>
    <w:rsid w:val="00966A81"/>
    <w:rsid w:val="00970B3C"/>
    <w:rsid w:val="00971F1D"/>
    <w:rsid w:val="00972D07"/>
    <w:rsid w:val="00981783"/>
    <w:rsid w:val="00986686"/>
    <w:rsid w:val="00990945"/>
    <w:rsid w:val="00990FCB"/>
    <w:rsid w:val="009A0762"/>
    <w:rsid w:val="009A46D9"/>
    <w:rsid w:val="009A545E"/>
    <w:rsid w:val="009A6E40"/>
    <w:rsid w:val="009B2A1D"/>
    <w:rsid w:val="009B3AE6"/>
    <w:rsid w:val="009C24AC"/>
    <w:rsid w:val="009C3C0E"/>
    <w:rsid w:val="009C446A"/>
    <w:rsid w:val="009C5405"/>
    <w:rsid w:val="009D5402"/>
    <w:rsid w:val="009D77B5"/>
    <w:rsid w:val="009E6FA0"/>
    <w:rsid w:val="009F7D49"/>
    <w:rsid w:val="00A02263"/>
    <w:rsid w:val="00A04626"/>
    <w:rsid w:val="00A069E5"/>
    <w:rsid w:val="00A06CBD"/>
    <w:rsid w:val="00A0782E"/>
    <w:rsid w:val="00A1075F"/>
    <w:rsid w:val="00A16748"/>
    <w:rsid w:val="00A16879"/>
    <w:rsid w:val="00A21C86"/>
    <w:rsid w:val="00A2427A"/>
    <w:rsid w:val="00A310E4"/>
    <w:rsid w:val="00A55A81"/>
    <w:rsid w:val="00A56FDB"/>
    <w:rsid w:val="00A602CC"/>
    <w:rsid w:val="00A61378"/>
    <w:rsid w:val="00A64829"/>
    <w:rsid w:val="00A72496"/>
    <w:rsid w:val="00A809E0"/>
    <w:rsid w:val="00A911C4"/>
    <w:rsid w:val="00A91381"/>
    <w:rsid w:val="00A91BB3"/>
    <w:rsid w:val="00A95942"/>
    <w:rsid w:val="00A976BD"/>
    <w:rsid w:val="00AA1477"/>
    <w:rsid w:val="00AA5592"/>
    <w:rsid w:val="00AB0C9F"/>
    <w:rsid w:val="00AB6BD3"/>
    <w:rsid w:val="00AC12C2"/>
    <w:rsid w:val="00AC4788"/>
    <w:rsid w:val="00AC77E6"/>
    <w:rsid w:val="00AD1C10"/>
    <w:rsid w:val="00AD2748"/>
    <w:rsid w:val="00AD28E5"/>
    <w:rsid w:val="00AD398A"/>
    <w:rsid w:val="00AE2EAC"/>
    <w:rsid w:val="00AE48FF"/>
    <w:rsid w:val="00AE7281"/>
    <w:rsid w:val="00AF177D"/>
    <w:rsid w:val="00AF275F"/>
    <w:rsid w:val="00AF30AE"/>
    <w:rsid w:val="00B0047A"/>
    <w:rsid w:val="00B02A4F"/>
    <w:rsid w:val="00B02EA4"/>
    <w:rsid w:val="00B10F9C"/>
    <w:rsid w:val="00B1147E"/>
    <w:rsid w:val="00B11FDF"/>
    <w:rsid w:val="00B13B91"/>
    <w:rsid w:val="00B14C02"/>
    <w:rsid w:val="00B1772B"/>
    <w:rsid w:val="00B212B6"/>
    <w:rsid w:val="00B30C68"/>
    <w:rsid w:val="00B328B8"/>
    <w:rsid w:val="00B33E05"/>
    <w:rsid w:val="00B33FC3"/>
    <w:rsid w:val="00B35C4E"/>
    <w:rsid w:val="00B400B9"/>
    <w:rsid w:val="00B42558"/>
    <w:rsid w:val="00B54975"/>
    <w:rsid w:val="00B5617E"/>
    <w:rsid w:val="00B640B1"/>
    <w:rsid w:val="00B67978"/>
    <w:rsid w:val="00B75B7D"/>
    <w:rsid w:val="00B77BA4"/>
    <w:rsid w:val="00B80208"/>
    <w:rsid w:val="00B81969"/>
    <w:rsid w:val="00B84757"/>
    <w:rsid w:val="00B86D11"/>
    <w:rsid w:val="00B94AD3"/>
    <w:rsid w:val="00B9705A"/>
    <w:rsid w:val="00BB0606"/>
    <w:rsid w:val="00BB1A74"/>
    <w:rsid w:val="00BB6963"/>
    <w:rsid w:val="00BB7019"/>
    <w:rsid w:val="00BC1BB5"/>
    <w:rsid w:val="00BC7214"/>
    <w:rsid w:val="00BC7A31"/>
    <w:rsid w:val="00BC7DE0"/>
    <w:rsid w:val="00BD06B0"/>
    <w:rsid w:val="00BD4443"/>
    <w:rsid w:val="00BD6473"/>
    <w:rsid w:val="00BE05D0"/>
    <w:rsid w:val="00BE6A90"/>
    <w:rsid w:val="00BE7EE9"/>
    <w:rsid w:val="00BF6CC6"/>
    <w:rsid w:val="00BF7965"/>
    <w:rsid w:val="00BF7C9B"/>
    <w:rsid w:val="00C02B3D"/>
    <w:rsid w:val="00C07D84"/>
    <w:rsid w:val="00C07EE5"/>
    <w:rsid w:val="00C11810"/>
    <w:rsid w:val="00C17A8D"/>
    <w:rsid w:val="00C203D5"/>
    <w:rsid w:val="00C214D3"/>
    <w:rsid w:val="00C24795"/>
    <w:rsid w:val="00C267D7"/>
    <w:rsid w:val="00C30597"/>
    <w:rsid w:val="00C40F19"/>
    <w:rsid w:val="00C5155F"/>
    <w:rsid w:val="00C520EA"/>
    <w:rsid w:val="00C52340"/>
    <w:rsid w:val="00C53034"/>
    <w:rsid w:val="00C53116"/>
    <w:rsid w:val="00C54331"/>
    <w:rsid w:val="00C56F67"/>
    <w:rsid w:val="00C70B0E"/>
    <w:rsid w:val="00C746DD"/>
    <w:rsid w:val="00C83E8B"/>
    <w:rsid w:val="00C87A32"/>
    <w:rsid w:val="00C943A7"/>
    <w:rsid w:val="00C96DB7"/>
    <w:rsid w:val="00CA0ECE"/>
    <w:rsid w:val="00CA425C"/>
    <w:rsid w:val="00CA4C2D"/>
    <w:rsid w:val="00CA568D"/>
    <w:rsid w:val="00CB12E0"/>
    <w:rsid w:val="00CB2B4D"/>
    <w:rsid w:val="00CB7A2E"/>
    <w:rsid w:val="00CC0D4F"/>
    <w:rsid w:val="00CC3DCA"/>
    <w:rsid w:val="00CD1F6F"/>
    <w:rsid w:val="00CE3221"/>
    <w:rsid w:val="00CE32A1"/>
    <w:rsid w:val="00CE5278"/>
    <w:rsid w:val="00CE6473"/>
    <w:rsid w:val="00CF0DBA"/>
    <w:rsid w:val="00D0798F"/>
    <w:rsid w:val="00D1578C"/>
    <w:rsid w:val="00D167C7"/>
    <w:rsid w:val="00D22CA2"/>
    <w:rsid w:val="00D232C6"/>
    <w:rsid w:val="00D2405E"/>
    <w:rsid w:val="00D26CF2"/>
    <w:rsid w:val="00D30669"/>
    <w:rsid w:val="00D309B7"/>
    <w:rsid w:val="00D32100"/>
    <w:rsid w:val="00D44DD3"/>
    <w:rsid w:val="00D504D0"/>
    <w:rsid w:val="00D529BC"/>
    <w:rsid w:val="00D555BE"/>
    <w:rsid w:val="00D571C7"/>
    <w:rsid w:val="00D60094"/>
    <w:rsid w:val="00D63CC9"/>
    <w:rsid w:val="00D63F2F"/>
    <w:rsid w:val="00D71F25"/>
    <w:rsid w:val="00D7385D"/>
    <w:rsid w:val="00D74A3B"/>
    <w:rsid w:val="00D77DC7"/>
    <w:rsid w:val="00D84638"/>
    <w:rsid w:val="00D85966"/>
    <w:rsid w:val="00D86FB0"/>
    <w:rsid w:val="00D92F06"/>
    <w:rsid w:val="00D93F62"/>
    <w:rsid w:val="00DA2092"/>
    <w:rsid w:val="00DA2473"/>
    <w:rsid w:val="00DA479F"/>
    <w:rsid w:val="00DA54C1"/>
    <w:rsid w:val="00DA6E89"/>
    <w:rsid w:val="00DB1D6C"/>
    <w:rsid w:val="00DB4199"/>
    <w:rsid w:val="00DB7087"/>
    <w:rsid w:val="00DD061A"/>
    <w:rsid w:val="00DE1981"/>
    <w:rsid w:val="00DE323E"/>
    <w:rsid w:val="00DE36D3"/>
    <w:rsid w:val="00DE56EE"/>
    <w:rsid w:val="00DF0892"/>
    <w:rsid w:val="00DF5A16"/>
    <w:rsid w:val="00DF5B0E"/>
    <w:rsid w:val="00DF79B6"/>
    <w:rsid w:val="00E0175E"/>
    <w:rsid w:val="00E06B82"/>
    <w:rsid w:val="00E10FCD"/>
    <w:rsid w:val="00E11FBE"/>
    <w:rsid w:val="00E1690D"/>
    <w:rsid w:val="00E17272"/>
    <w:rsid w:val="00E36572"/>
    <w:rsid w:val="00E36D8E"/>
    <w:rsid w:val="00E41507"/>
    <w:rsid w:val="00E45830"/>
    <w:rsid w:val="00E46343"/>
    <w:rsid w:val="00E479C5"/>
    <w:rsid w:val="00E50346"/>
    <w:rsid w:val="00E536D1"/>
    <w:rsid w:val="00E607DD"/>
    <w:rsid w:val="00E60F67"/>
    <w:rsid w:val="00E64A19"/>
    <w:rsid w:val="00E75B6B"/>
    <w:rsid w:val="00E831CE"/>
    <w:rsid w:val="00E859F3"/>
    <w:rsid w:val="00E85B25"/>
    <w:rsid w:val="00E9083D"/>
    <w:rsid w:val="00EA3EA4"/>
    <w:rsid w:val="00EA5939"/>
    <w:rsid w:val="00EB161A"/>
    <w:rsid w:val="00EB50AA"/>
    <w:rsid w:val="00EB51CF"/>
    <w:rsid w:val="00EB6131"/>
    <w:rsid w:val="00EC2F96"/>
    <w:rsid w:val="00EC5EBD"/>
    <w:rsid w:val="00EC7E2F"/>
    <w:rsid w:val="00ED71EB"/>
    <w:rsid w:val="00EE09CE"/>
    <w:rsid w:val="00EE1645"/>
    <w:rsid w:val="00EE672B"/>
    <w:rsid w:val="00EF1BED"/>
    <w:rsid w:val="00F01DE1"/>
    <w:rsid w:val="00F049D2"/>
    <w:rsid w:val="00F05901"/>
    <w:rsid w:val="00F14738"/>
    <w:rsid w:val="00F16E21"/>
    <w:rsid w:val="00F16E3B"/>
    <w:rsid w:val="00F212BA"/>
    <w:rsid w:val="00F21A37"/>
    <w:rsid w:val="00F24EE7"/>
    <w:rsid w:val="00F262E8"/>
    <w:rsid w:val="00F35ECD"/>
    <w:rsid w:val="00F36864"/>
    <w:rsid w:val="00F41B71"/>
    <w:rsid w:val="00F47DC5"/>
    <w:rsid w:val="00F554E0"/>
    <w:rsid w:val="00F62A9A"/>
    <w:rsid w:val="00F62CFC"/>
    <w:rsid w:val="00F70F36"/>
    <w:rsid w:val="00F75624"/>
    <w:rsid w:val="00F80C5E"/>
    <w:rsid w:val="00F877E3"/>
    <w:rsid w:val="00F901D7"/>
    <w:rsid w:val="00F90B4D"/>
    <w:rsid w:val="00FA009E"/>
    <w:rsid w:val="00FA13B1"/>
    <w:rsid w:val="00FA358D"/>
    <w:rsid w:val="00FA3EE6"/>
    <w:rsid w:val="00FA7230"/>
    <w:rsid w:val="00FA7825"/>
    <w:rsid w:val="00FB32BC"/>
    <w:rsid w:val="00FB5955"/>
    <w:rsid w:val="00FC2900"/>
    <w:rsid w:val="00FC362C"/>
    <w:rsid w:val="00FC6589"/>
    <w:rsid w:val="00FD3F7C"/>
    <w:rsid w:val="00FE16A0"/>
    <w:rsid w:val="00FE445D"/>
    <w:rsid w:val="00FE7687"/>
    <w:rsid w:val="00FF3201"/>
    <w:rsid w:val="00FF4055"/>
    <w:rsid w:val="00FF6989"/>
    <w:rsid w:val="00FF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3BDD2EC8-081F-414D-B725-AFB38ED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7B9A"/>
    <w:pPr>
      <w:spacing w:after="0" w:line="280" w:lineRule="atLeast"/>
    </w:pPr>
    <w:rPr>
      <w:rFonts w:eastAsia="Times New Roman" w:cs="Times New Roman"/>
      <w:iCs/>
      <w:szCs w:val="18"/>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Standaard"/>
    <w:next w:val="Standaard"/>
    <w:link w:val="Kop2Char"/>
    <w:qFormat/>
    <w:rsid w:val="00CE5278"/>
    <w:pPr>
      <w:numPr>
        <w:numId w:val="2"/>
      </w:numPr>
      <w:spacing w:line="360" w:lineRule="auto"/>
      <w:outlineLvl w:val="1"/>
    </w:pPr>
    <w:rPr>
      <w:b/>
    </w:rPr>
  </w:style>
  <w:style w:type="paragraph" w:styleId="Kop3">
    <w:name w:val="heading 3"/>
    <w:basedOn w:val="Standaard"/>
    <w:next w:val="Standaard"/>
    <w:link w:val="Kop3Char"/>
    <w:qFormat/>
    <w:rsid w:val="00CE5278"/>
    <w:pPr>
      <w:numPr>
        <w:numId w:val="3"/>
      </w:numPr>
      <w:spacing w:line="360" w:lineRule="auto"/>
      <w:outlineLvl w:val="2"/>
    </w:pPr>
    <w:rPr>
      <w:i/>
      <w:iCs w:val="0"/>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E5278"/>
    <w:rPr>
      <w:rFonts w:eastAsia="Times New Roman" w:cs="Times New Roman"/>
      <w:b/>
      <w:szCs w:val="18"/>
      <w:lang w:val="nl-NL" w:eastAsia="zh-CN"/>
    </w:rPr>
  </w:style>
  <w:style w:type="character" w:customStyle="1" w:styleId="Kop3Char">
    <w:name w:val="Kop 3 Char"/>
    <w:basedOn w:val="Standaardalinea-lettertype"/>
    <w:link w:val="Kop3"/>
    <w:rsid w:val="00CE5278"/>
    <w:rPr>
      <w:rFonts w:eastAsia="Times New Roman" w:cs="Times New Roman"/>
      <w:i/>
      <w:iCs/>
      <w:szCs w:val="18"/>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semiHidden/>
    <w:rsid w:val="00CC3DCA"/>
    <w:rPr>
      <w:sz w:val="20"/>
    </w:rPr>
  </w:style>
  <w:style w:type="character" w:customStyle="1" w:styleId="VoetnoottekstChar">
    <w:name w:val="Voetnoottekst Char"/>
    <w:basedOn w:val="Standaardalinea-lettertype"/>
    <w:link w:val="Voetnoottekst"/>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semiHidden/>
    <w:rsid w:val="009C446A"/>
    <w:rPr>
      <w:sz w:val="16"/>
      <w:szCs w:val="16"/>
    </w:rPr>
  </w:style>
  <w:style w:type="paragraph" w:styleId="Tekstopmerking">
    <w:name w:val="annotation text"/>
    <w:basedOn w:val="Standaard"/>
    <w:link w:val="TekstopmerkingChar"/>
    <w:semiHidden/>
    <w:rsid w:val="009C446A"/>
    <w:rPr>
      <w:sz w:val="20"/>
    </w:rPr>
  </w:style>
  <w:style w:type="character" w:customStyle="1" w:styleId="TekstopmerkingChar">
    <w:name w:val="Tekst opmerking Char"/>
    <w:basedOn w:val="Standaardalinea-lettertype"/>
    <w:link w:val="Tekstopmerking"/>
    <w:semiHidden/>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character" w:styleId="Onopgelostemelding">
    <w:name w:val="Unresolved Mention"/>
    <w:basedOn w:val="Standaardalinea-lettertype"/>
    <w:uiPriority w:val="99"/>
    <w:semiHidden/>
    <w:unhideWhenUsed/>
    <w:rsid w:val="005E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885">
      <w:bodyDiv w:val="1"/>
      <w:marLeft w:val="0"/>
      <w:marRight w:val="0"/>
      <w:marTop w:val="0"/>
      <w:marBottom w:val="0"/>
      <w:divBdr>
        <w:top w:val="none" w:sz="0" w:space="0" w:color="auto"/>
        <w:left w:val="none" w:sz="0" w:space="0" w:color="auto"/>
        <w:bottom w:val="none" w:sz="0" w:space="0" w:color="auto"/>
        <w:right w:val="none" w:sz="0" w:space="0" w:color="auto"/>
      </w:divBdr>
    </w:div>
    <w:div w:id="39519264">
      <w:bodyDiv w:val="1"/>
      <w:marLeft w:val="0"/>
      <w:marRight w:val="0"/>
      <w:marTop w:val="0"/>
      <w:marBottom w:val="0"/>
      <w:divBdr>
        <w:top w:val="none" w:sz="0" w:space="0" w:color="auto"/>
        <w:left w:val="none" w:sz="0" w:space="0" w:color="auto"/>
        <w:bottom w:val="none" w:sz="0" w:space="0" w:color="auto"/>
        <w:right w:val="none" w:sz="0" w:space="0" w:color="auto"/>
      </w:divBdr>
    </w:div>
    <w:div w:id="43605507">
      <w:bodyDiv w:val="1"/>
      <w:marLeft w:val="0"/>
      <w:marRight w:val="0"/>
      <w:marTop w:val="0"/>
      <w:marBottom w:val="0"/>
      <w:divBdr>
        <w:top w:val="none" w:sz="0" w:space="0" w:color="auto"/>
        <w:left w:val="none" w:sz="0" w:space="0" w:color="auto"/>
        <w:bottom w:val="none" w:sz="0" w:space="0" w:color="auto"/>
        <w:right w:val="none" w:sz="0" w:space="0" w:color="auto"/>
      </w:divBdr>
      <w:divsChild>
        <w:div w:id="1274942052">
          <w:marLeft w:val="0"/>
          <w:marRight w:val="0"/>
          <w:marTop w:val="0"/>
          <w:marBottom w:val="0"/>
          <w:divBdr>
            <w:top w:val="none" w:sz="0" w:space="0" w:color="auto"/>
            <w:left w:val="none" w:sz="0" w:space="0" w:color="auto"/>
            <w:bottom w:val="none" w:sz="0" w:space="0" w:color="auto"/>
            <w:right w:val="none" w:sz="0" w:space="0" w:color="auto"/>
          </w:divBdr>
        </w:div>
      </w:divsChild>
    </w:div>
    <w:div w:id="158926769">
      <w:bodyDiv w:val="1"/>
      <w:marLeft w:val="0"/>
      <w:marRight w:val="0"/>
      <w:marTop w:val="0"/>
      <w:marBottom w:val="0"/>
      <w:divBdr>
        <w:top w:val="none" w:sz="0" w:space="0" w:color="auto"/>
        <w:left w:val="none" w:sz="0" w:space="0" w:color="auto"/>
        <w:bottom w:val="none" w:sz="0" w:space="0" w:color="auto"/>
        <w:right w:val="none" w:sz="0" w:space="0" w:color="auto"/>
      </w:divBdr>
    </w:div>
    <w:div w:id="352152555">
      <w:bodyDiv w:val="1"/>
      <w:marLeft w:val="0"/>
      <w:marRight w:val="0"/>
      <w:marTop w:val="0"/>
      <w:marBottom w:val="0"/>
      <w:divBdr>
        <w:top w:val="none" w:sz="0" w:space="0" w:color="auto"/>
        <w:left w:val="none" w:sz="0" w:space="0" w:color="auto"/>
        <w:bottom w:val="none" w:sz="0" w:space="0" w:color="auto"/>
        <w:right w:val="none" w:sz="0" w:space="0" w:color="auto"/>
      </w:divBdr>
    </w:div>
    <w:div w:id="391119130">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59111160">
      <w:bodyDiv w:val="1"/>
      <w:marLeft w:val="0"/>
      <w:marRight w:val="0"/>
      <w:marTop w:val="0"/>
      <w:marBottom w:val="0"/>
      <w:divBdr>
        <w:top w:val="none" w:sz="0" w:space="0" w:color="auto"/>
        <w:left w:val="none" w:sz="0" w:space="0" w:color="auto"/>
        <w:bottom w:val="none" w:sz="0" w:space="0" w:color="auto"/>
        <w:right w:val="none" w:sz="0" w:space="0" w:color="auto"/>
      </w:divBdr>
    </w:div>
    <w:div w:id="509106105">
      <w:bodyDiv w:val="1"/>
      <w:marLeft w:val="0"/>
      <w:marRight w:val="0"/>
      <w:marTop w:val="0"/>
      <w:marBottom w:val="0"/>
      <w:divBdr>
        <w:top w:val="none" w:sz="0" w:space="0" w:color="auto"/>
        <w:left w:val="none" w:sz="0" w:space="0" w:color="auto"/>
        <w:bottom w:val="none" w:sz="0" w:space="0" w:color="auto"/>
        <w:right w:val="none" w:sz="0" w:space="0" w:color="auto"/>
      </w:divBdr>
    </w:div>
    <w:div w:id="515385016">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518861364">
      <w:bodyDiv w:val="1"/>
      <w:marLeft w:val="0"/>
      <w:marRight w:val="0"/>
      <w:marTop w:val="0"/>
      <w:marBottom w:val="0"/>
      <w:divBdr>
        <w:top w:val="none" w:sz="0" w:space="0" w:color="auto"/>
        <w:left w:val="none" w:sz="0" w:space="0" w:color="auto"/>
        <w:bottom w:val="none" w:sz="0" w:space="0" w:color="auto"/>
        <w:right w:val="none" w:sz="0" w:space="0" w:color="auto"/>
      </w:divBdr>
    </w:div>
    <w:div w:id="536046558">
      <w:bodyDiv w:val="1"/>
      <w:marLeft w:val="0"/>
      <w:marRight w:val="0"/>
      <w:marTop w:val="0"/>
      <w:marBottom w:val="0"/>
      <w:divBdr>
        <w:top w:val="none" w:sz="0" w:space="0" w:color="auto"/>
        <w:left w:val="none" w:sz="0" w:space="0" w:color="auto"/>
        <w:bottom w:val="none" w:sz="0" w:space="0" w:color="auto"/>
        <w:right w:val="none" w:sz="0" w:space="0" w:color="auto"/>
      </w:divBdr>
    </w:div>
    <w:div w:id="538322221">
      <w:bodyDiv w:val="1"/>
      <w:marLeft w:val="0"/>
      <w:marRight w:val="0"/>
      <w:marTop w:val="0"/>
      <w:marBottom w:val="0"/>
      <w:divBdr>
        <w:top w:val="none" w:sz="0" w:space="0" w:color="auto"/>
        <w:left w:val="none" w:sz="0" w:space="0" w:color="auto"/>
        <w:bottom w:val="none" w:sz="0" w:space="0" w:color="auto"/>
        <w:right w:val="none" w:sz="0" w:space="0" w:color="auto"/>
      </w:divBdr>
    </w:div>
    <w:div w:id="569081590">
      <w:bodyDiv w:val="1"/>
      <w:marLeft w:val="0"/>
      <w:marRight w:val="0"/>
      <w:marTop w:val="0"/>
      <w:marBottom w:val="0"/>
      <w:divBdr>
        <w:top w:val="none" w:sz="0" w:space="0" w:color="auto"/>
        <w:left w:val="none" w:sz="0" w:space="0" w:color="auto"/>
        <w:bottom w:val="none" w:sz="0" w:space="0" w:color="auto"/>
        <w:right w:val="none" w:sz="0" w:space="0" w:color="auto"/>
      </w:divBdr>
    </w:div>
    <w:div w:id="580260541">
      <w:bodyDiv w:val="1"/>
      <w:marLeft w:val="0"/>
      <w:marRight w:val="0"/>
      <w:marTop w:val="0"/>
      <w:marBottom w:val="0"/>
      <w:divBdr>
        <w:top w:val="none" w:sz="0" w:space="0" w:color="auto"/>
        <w:left w:val="none" w:sz="0" w:space="0" w:color="auto"/>
        <w:bottom w:val="none" w:sz="0" w:space="0" w:color="auto"/>
        <w:right w:val="none" w:sz="0" w:space="0" w:color="auto"/>
      </w:divBdr>
    </w:div>
    <w:div w:id="616110101">
      <w:bodyDiv w:val="1"/>
      <w:marLeft w:val="0"/>
      <w:marRight w:val="0"/>
      <w:marTop w:val="0"/>
      <w:marBottom w:val="0"/>
      <w:divBdr>
        <w:top w:val="none" w:sz="0" w:space="0" w:color="auto"/>
        <w:left w:val="none" w:sz="0" w:space="0" w:color="auto"/>
        <w:bottom w:val="none" w:sz="0" w:space="0" w:color="auto"/>
        <w:right w:val="none" w:sz="0" w:space="0" w:color="auto"/>
      </w:divBdr>
    </w:div>
    <w:div w:id="639265275">
      <w:bodyDiv w:val="1"/>
      <w:marLeft w:val="0"/>
      <w:marRight w:val="0"/>
      <w:marTop w:val="0"/>
      <w:marBottom w:val="0"/>
      <w:divBdr>
        <w:top w:val="none" w:sz="0" w:space="0" w:color="auto"/>
        <w:left w:val="none" w:sz="0" w:space="0" w:color="auto"/>
        <w:bottom w:val="none" w:sz="0" w:space="0" w:color="auto"/>
        <w:right w:val="none" w:sz="0" w:space="0" w:color="auto"/>
      </w:divBdr>
    </w:div>
    <w:div w:id="683166637">
      <w:bodyDiv w:val="1"/>
      <w:marLeft w:val="0"/>
      <w:marRight w:val="0"/>
      <w:marTop w:val="0"/>
      <w:marBottom w:val="0"/>
      <w:divBdr>
        <w:top w:val="none" w:sz="0" w:space="0" w:color="auto"/>
        <w:left w:val="none" w:sz="0" w:space="0" w:color="auto"/>
        <w:bottom w:val="none" w:sz="0" w:space="0" w:color="auto"/>
        <w:right w:val="none" w:sz="0" w:space="0" w:color="auto"/>
      </w:divBdr>
    </w:div>
    <w:div w:id="704209676">
      <w:bodyDiv w:val="1"/>
      <w:marLeft w:val="0"/>
      <w:marRight w:val="0"/>
      <w:marTop w:val="0"/>
      <w:marBottom w:val="0"/>
      <w:divBdr>
        <w:top w:val="none" w:sz="0" w:space="0" w:color="auto"/>
        <w:left w:val="none" w:sz="0" w:space="0" w:color="auto"/>
        <w:bottom w:val="none" w:sz="0" w:space="0" w:color="auto"/>
        <w:right w:val="none" w:sz="0" w:space="0" w:color="auto"/>
      </w:divBdr>
    </w:div>
    <w:div w:id="707528285">
      <w:bodyDiv w:val="1"/>
      <w:marLeft w:val="0"/>
      <w:marRight w:val="0"/>
      <w:marTop w:val="0"/>
      <w:marBottom w:val="0"/>
      <w:divBdr>
        <w:top w:val="none" w:sz="0" w:space="0" w:color="auto"/>
        <w:left w:val="none" w:sz="0" w:space="0" w:color="auto"/>
        <w:bottom w:val="none" w:sz="0" w:space="0" w:color="auto"/>
        <w:right w:val="none" w:sz="0" w:space="0" w:color="auto"/>
      </w:divBdr>
    </w:div>
    <w:div w:id="733091738">
      <w:bodyDiv w:val="1"/>
      <w:marLeft w:val="0"/>
      <w:marRight w:val="0"/>
      <w:marTop w:val="0"/>
      <w:marBottom w:val="0"/>
      <w:divBdr>
        <w:top w:val="none" w:sz="0" w:space="0" w:color="auto"/>
        <w:left w:val="none" w:sz="0" w:space="0" w:color="auto"/>
        <w:bottom w:val="none" w:sz="0" w:space="0" w:color="auto"/>
        <w:right w:val="none" w:sz="0" w:space="0" w:color="auto"/>
      </w:divBdr>
    </w:div>
    <w:div w:id="738527781">
      <w:bodyDiv w:val="1"/>
      <w:marLeft w:val="0"/>
      <w:marRight w:val="0"/>
      <w:marTop w:val="0"/>
      <w:marBottom w:val="0"/>
      <w:divBdr>
        <w:top w:val="none" w:sz="0" w:space="0" w:color="auto"/>
        <w:left w:val="none" w:sz="0" w:space="0" w:color="auto"/>
        <w:bottom w:val="none" w:sz="0" w:space="0" w:color="auto"/>
        <w:right w:val="none" w:sz="0" w:space="0" w:color="auto"/>
      </w:divBdr>
    </w:div>
    <w:div w:id="758058723">
      <w:bodyDiv w:val="1"/>
      <w:marLeft w:val="0"/>
      <w:marRight w:val="0"/>
      <w:marTop w:val="0"/>
      <w:marBottom w:val="0"/>
      <w:divBdr>
        <w:top w:val="none" w:sz="0" w:space="0" w:color="auto"/>
        <w:left w:val="none" w:sz="0" w:space="0" w:color="auto"/>
        <w:bottom w:val="none" w:sz="0" w:space="0" w:color="auto"/>
        <w:right w:val="none" w:sz="0" w:space="0" w:color="auto"/>
      </w:divBdr>
    </w:div>
    <w:div w:id="776171104">
      <w:bodyDiv w:val="1"/>
      <w:marLeft w:val="0"/>
      <w:marRight w:val="0"/>
      <w:marTop w:val="0"/>
      <w:marBottom w:val="0"/>
      <w:divBdr>
        <w:top w:val="none" w:sz="0" w:space="0" w:color="auto"/>
        <w:left w:val="none" w:sz="0" w:space="0" w:color="auto"/>
        <w:bottom w:val="none" w:sz="0" w:space="0" w:color="auto"/>
        <w:right w:val="none" w:sz="0" w:space="0" w:color="auto"/>
      </w:divBdr>
    </w:div>
    <w:div w:id="866332107">
      <w:bodyDiv w:val="1"/>
      <w:marLeft w:val="0"/>
      <w:marRight w:val="0"/>
      <w:marTop w:val="0"/>
      <w:marBottom w:val="0"/>
      <w:divBdr>
        <w:top w:val="none" w:sz="0" w:space="0" w:color="auto"/>
        <w:left w:val="none" w:sz="0" w:space="0" w:color="auto"/>
        <w:bottom w:val="none" w:sz="0" w:space="0" w:color="auto"/>
        <w:right w:val="none" w:sz="0" w:space="0" w:color="auto"/>
      </w:divBdr>
    </w:div>
    <w:div w:id="882404312">
      <w:bodyDiv w:val="1"/>
      <w:marLeft w:val="0"/>
      <w:marRight w:val="0"/>
      <w:marTop w:val="0"/>
      <w:marBottom w:val="0"/>
      <w:divBdr>
        <w:top w:val="none" w:sz="0" w:space="0" w:color="auto"/>
        <w:left w:val="none" w:sz="0" w:space="0" w:color="auto"/>
        <w:bottom w:val="none" w:sz="0" w:space="0" w:color="auto"/>
        <w:right w:val="none" w:sz="0" w:space="0" w:color="auto"/>
      </w:divBdr>
    </w:div>
    <w:div w:id="907883442">
      <w:bodyDiv w:val="1"/>
      <w:marLeft w:val="0"/>
      <w:marRight w:val="0"/>
      <w:marTop w:val="0"/>
      <w:marBottom w:val="0"/>
      <w:divBdr>
        <w:top w:val="none" w:sz="0" w:space="0" w:color="auto"/>
        <w:left w:val="none" w:sz="0" w:space="0" w:color="auto"/>
        <w:bottom w:val="none" w:sz="0" w:space="0" w:color="auto"/>
        <w:right w:val="none" w:sz="0" w:space="0" w:color="auto"/>
      </w:divBdr>
    </w:div>
    <w:div w:id="961692713">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68392568">
      <w:bodyDiv w:val="1"/>
      <w:marLeft w:val="0"/>
      <w:marRight w:val="0"/>
      <w:marTop w:val="0"/>
      <w:marBottom w:val="0"/>
      <w:divBdr>
        <w:top w:val="none" w:sz="0" w:space="0" w:color="auto"/>
        <w:left w:val="none" w:sz="0" w:space="0" w:color="auto"/>
        <w:bottom w:val="none" w:sz="0" w:space="0" w:color="auto"/>
        <w:right w:val="none" w:sz="0" w:space="0" w:color="auto"/>
      </w:divBdr>
    </w:div>
    <w:div w:id="97402682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43019558">
      <w:bodyDiv w:val="1"/>
      <w:marLeft w:val="0"/>
      <w:marRight w:val="0"/>
      <w:marTop w:val="0"/>
      <w:marBottom w:val="0"/>
      <w:divBdr>
        <w:top w:val="none" w:sz="0" w:space="0" w:color="auto"/>
        <w:left w:val="none" w:sz="0" w:space="0" w:color="auto"/>
        <w:bottom w:val="none" w:sz="0" w:space="0" w:color="auto"/>
        <w:right w:val="none" w:sz="0" w:space="0" w:color="auto"/>
      </w:divBdr>
    </w:div>
    <w:div w:id="1146433032">
      <w:bodyDiv w:val="1"/>
      <w:marLeft w:val="0"/>
      <w:marRight w:val="0"/>
      <w:marTop w:val="0"/>
      <w:marBottom w:val="0"/>
      <w:divBdr>
        <w:top w:val="none" w:sz="0" w:space="0" w:color="auto"/>
        <w:left w:val="none" w:sz="0" w:space="0" w:color="auto"/>
        <w:bottom w:val="none" w:sz="0" w:space="0" w:color="auto"/>
        <w:right w:val="none" w:sz="0" w:space="0" w:color="auto"/>
      </w:divBdr>
    </w:div>
    <w:div w:id="1152988065">
      <w:bodyDiv w:val="1"/>
      <w:marLeft w:val="0"/>
      <w:marRight w:val="0"/>
      <w:marTop w:val="0"/>
      <w:marBottom w:val="0"/>
      <w:divBdr>
        <w:top w:val="none" w:sz="0" w:space="0" w:color="auto"/>
        <w:left w:val="none" w:sz="0" w:space="0" w:color="auto"/>
        <w:bottom w:val="none" w:sz="0" w:space="0" w:color="auto"/>
        <w:right w:val="none" w:sz="0" w:space="0" w:color="auto"/>
      </w:divBdr>
    </w:div>
    <w:div w:id="1172909452">
      <w:bodyDiv w:val="1"/>
      <w:marLeft w:val="0"/>
      <w:marRight w:val="0"/>
      <w:marTop w:val="0"/>
      <w:marBottom w:val="0"/>
      <w:divBdr>
        <w:top w:val="none" w:sz="0" w:space="0" w:color="auto"/>
        <w:left w:val="none" w:sz="0" w:space="0" w:color="auto"/>
        <w:bottom w:val="none" w:sz="0" w:space="0" w:color="auto"/>
        <w:right w:val="none" w:sz="0" w:space="0" w:color="auto"/>
      </w:divBdr>
    </w:div>
    <w:div w:id="1194684290">
      <w:bodyDiv w:val="1"/>
      <w:marLeft w:val="0"/>
      <w:marRight w:val="0"/>
      <w:marTop w:val="0"/>
      <w:marBottom w:val="0"/>
      <w:divBdr>
        <w:top w:val="none" w:sz="0" w:space="0" w:color="auto"/>
        <w:left w:val="none" w:sz="0" w:space="0" w:color="auto"/>
        <w:bottom w:val="none" w:sz="0" w:space="0" w:color="auto"/>
        <w:right w:val="none" w:sz="0" w:space="0" w:color="auto"/>
      </w:divBdr>
    </w:div>
    <w:div w:id="1203782950">
      <w:bodyDiv w:val="1"/>
      <w:marLeft w:val="0"/>
      <w:marRight w:val="0"/>
      <w:marTop w:val="0"/>
      <w:marBottom w:val="0"/>
      <w:divBdr>
        <w:top w:val="none" w:sz="0" w:space="0" w:color="auto"/>
        <w:left w:val="none" w:sz="0" w:space="0" w:color="auto"/>
        <w:bottom w:val="none" w:sz="0" w:space="0" w:color="auto"/>
        <w:right w:val="none" w:sz="0" w:space="0" w:color="auto"/>
      </w:divBdr>
    </w:div>
    <w:div w:id="1278103788">
      <w:bodyDiv w:val="1"/>
      <w:marLeft w:val="0"/>
      <w:marRight w:val="0"/>
      <w:marTop w:val="0"/>
      <w:marBottom w:val="0"/>
      <w:divBdr>
        <w:top w:val="none" w:sz="0" w:space="0" w:color="auto"/>
        <w:left w:val="none" w:sz="0" w:space="0" w:color="auto"/>
        <w:bottom w:val="none" w:sz="0" w:space="0" w:color="auto"/>
        <w:right w:val="none" w:sz="0" w:space="0" w:color="auto"/>
      </w:divBdr>
    </w:div>
    <w:div w:id="1289966941">
      <w:bodyDiv w:val="1"/>
      <w:marLeft w:val="0"/>
      <w:marRight w:val="0"/>
      <w:marTop w:val="0"/>
      <w:marBottom w:val="0"/>
      <w:divBdr>
        <w:top w:val="none" w:sz="0" w:space="0" w:color="auto"/>
        <w:left w:val="none" w:sz="0" w:space="0" w:color="auto"/>
        <w:bottom w:val="none" w:sz="0" w:space="0" w:color="auto"/>
        <w:right w:val="none" w:sz="0" w:space="0" w:color="auto"/>
      </w:divBdr>
    </w:div>
    <w:div w:id="1302030812">
      <w:bodyDiv w:val="1"/>
      <w:marLeft w:val="0"/>
      <w:marRight w:val="0"/>
      <w:marTop w:val="0"/>
      <w:marBottom w:val="0"/>
      <w:divBdr>
        <w:top w:val="none" w:sz="0" w:space="0" w:color="auto"/>
        <w:left w:val="none" w:sz="0" w:space="0" w:color="auto"/>
        <w:bottom w:val="none" w:sz="0" w:space="0" w:color="auto"/>
        <w:right w:val="none" w:sz="0" w:space="0" w:color="auto"/>
      </w:divBdr>
    </w:div>
    <w:div w:id="1316835070">
      <w:bodyDiv w:val="1"/>
      <w:marLeft w:val="0"/>
      <w:marRight w:val="0"/>
      <w:marTop w:val="0"/>
      <w:marBottom w:val="0"/>
      <w:divBdr>
        <w:top w:val="none" w:sz="0" w:space="0" w:color="auto"/>
        <w:left w:val="none" w:sz="0" w:space="0" w:color="auto"/>
        <w:bottom w:val="none" w:sz="0" w:space="0" w:color="auto"/>
        <w:right w:val="none" w:sz="0" w:space="0" w:color="auto"/>
      </w:divBdr>
    </w:div>
    <w:div w:id="1382168157">
      <w:bodyDiv w:val="1"/>
      <w:marLeft w:val="0"/>
      <w:marRight w:val="0"/>
      <w:marTop w:val="0"/>
      <w:marBottom w:val="0"/>
      <w:divBdr>
        <w:top w:val="none" w:sz="0" w:space="0" w:color="auto"/>
        <w:left w:val="none" w:sz="0" w:space="0" w:color="auto"/>
        <w:bottom w:val="none" w:sz="0" w:space="0" w:color="auto"/>
        <w:right w:val="none" w:sz="0" w:space="0" w:color="auto"/>
      </w:divBdr>
    </w:div>
    <w:div w:id="1400443918">
      <w:bodyDiv w:val="1"/>
      <w:marLeft w:val="0"/>
      <w:marRight w:val="0"/>
      <w:marTop w:val="0"/>
      <w:marBottom w:val="0"/>
      <w:divBdr>
        <w:top w:val="none" w:sz="0" w:space="0" w:color="auto"/>
        <w:left w:val="none" w:sz="0" w:space="0" w:color="auto"/>
        <w:bottom w:val="none" w:sz="0" w:space="0" w:color="auto"/>
        <w:right w:val="none" w:sz="0" w:space="0" w:color="auto"/>
      </w:divBdr>
      <w:divsChild>
        <w:div w:id="1085607622">
          <w:marLeft w:val="0"/>
          <w:marRight w:val="0"/>
          <w:marTop w:val="0"/>
          <w:marBottom w:val="0"/>
          <w:divBdr>
            <w:top w:val="none" w:sz="0" w:space="0" w:color="auto"/>
            <w:left w:val="none" w:sz="0" w:space="0" w:color="auto"/>
            <w:bottom w:val="none" w:sz="0" w:space="0" w:color="auto"/>
            <w:right w:val="none" w:sz="0" w:space="0" w:color="auto"/>
          </w:divBdr>
        </w:div>
      </w:divsChild>
    </w:div>
    <w:div w:id="1406538087">
      <w:bodyDiv w:val="1"/>
      <w:marLeft w:val="0"/>
      <w:marRight w:val="0"/>
      <w:marTop w:val="0"/>
      <w:marBottom w:val="0"/>
      <w:divBdr>
        <w:top w:val="none" w:sz="0" w:space="0" w:color="auto"/>
        <w:left w:val="none" w:sz="0" w:space="0" w:color="auto"/>
        <w:bottom w:val="none" w:sz="0" w:space="0" w:color="auto"/>
        <w:right w:val="none" w:sz="0" w:space="0" w:color="auto"/>
      </w:divBdr>
    </w:div>
    <w:div w:id="1435053646">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760299810">
          <w:marLeft w:val="734"/>
          <w:marRight w:val="0"/>
          <w:marTop w:val="86"/>
          <w:marBottom w:val="0"/>
          <w:divBdr>
            <w:top w:val="none" w:sz="0" w:space="0" w:color="auto"/>
            <w:left w:val="none" w:sz="0" w:space="0" w:color="auto"/>
            <w:bottom w:val="none" w:sz="0" w:space="0" w:color="auto"/>
            <w:right w:val="none" w:sz="0" w:space="0" w:color="auto"/>
          </w:divBdr>
        </w:div>
        <w:div w:id="982739380">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sChild>
    </w:div>
    <w:div w:id="1532185126">
      <w:bodyDiv w:val="1"/>
      <w:marLeft w:val="0"/>
      <w:marRight w:val="0"/>
      <w:marTop w:val="0"/>
      <w:marBottom w:val="0"/>
      <w:divBdr>
        <w:top w:val="none" w:sz="0" w:space="0" w:color="auto"/>
        <w:left w:val="none" w:sz="0" w:space="0" w:color="auto"/>
        <w:bottom w:val="none" w:sz="0" w:space="0" w:color="auto"/>
        <w:right w:val="none" w:sz="0" w:space="0" w:color="auto"/>
      </w:divBdr>
    </w:div>
    <w:div w:id="1560360872">
      <w:bodyDiv w:val="1"/>
      <w:marLeft w:val="0"/>
      <w:marRight w:val="0"/>
      <w:marTop w:val="0"/>
      <w:marBottom w:val="0"/>
      <w:divBdr>
        <w:top w:val="none" w:sz="0" w:space="0" w:color="auto"/>
        <w:left w:val="none" w:sz="0" w:space="0" w:color="auto"/>
        <w:bottom w:val="none" w:sz="0" w:space="0" w:color="auto"/>
        <w:right w:val="none" w:sz="0" w:space="0" w:color="auto"/>
      </w:divBdr>
    </w:div>
    <w:div w:id="1608272407">
      <w:bodyDiv w:val="1"/>
      <w:marLeft w:val="0"/>
      <w:marRight w:val="0"/>
      <w:marTop w:val="0"/>
      <w:marBottom w:val="0"/>
      <w:divBdr>
        <w:top w:val="none" w:sz="0" w:space="0" w:color="auto"/>
        <w:left w:val="none" w:sz="0" w:space="0" w:color="auto"/>
        <w:bottom w:val="none" w:sz="0" w:space="0" w:color="auto"/>
        <w:right w:val="none" w:sz="0" w:space="0" w:color="auto"/>
      </w:divBdr>
    </w:div>
    <w:div w:id="1614435926">
      <w:bodyDiv w:val="1"/>
      <w:marLeft w:val="0"/>
      <w:marRight w:val="0"/>
      <w:marTop w:val="0"/>
      <w:marBottom w:val="0"/>
      <w:divBdr>
        <w:top w:val="none" w:sz="0" w:space="0" w:color="auto"/>
        <w:left w:val="none" w:sz="0" w:space="0" w:color="auto"/>
        <w:bottom w:val="none" w:sz="0" w:space="0" w:color="auto"/>
        <w:right w:val="none" w:sz="0" w:space="0" w:color="auto"/>
      </w:divBdr>
    </w:div>
    <w:div w:id="1615357665">
      <w:bodyDiv w:val="1"/>
      <w:marLeft w:val="0"/>
      <w:marRight w:val="0"/>
      <w:marTop w:val="0"/>
      <w:marBottom w:val="0"/>
      <w:divBdr>
        <w:top w:val="none" w:sz="0" w:space="0" w:color="auto"/>
        <w:left w:val="none" w:sz="0" w:space="0" w:color="auto"/>
        <w:bottom w:val="none" w:sz="0" w:space="0" w:color="auto"/>
        <w:right w:val="none" w:sz="0" w:space="0" w:color="auto"/>
      </w:divBdr>
    </w:div>
    <w:div w:id="1694502913">
      <w:bodyDiv w:val="1"/>
      <w:marLeft w:val="0"/>
      <w:marRight w:val="0"/>
      <w:marTop w:val="0"/>
      <w:marBottom w:val="0"/>
      <w:divBdr>
        <w:top w:val="none" w:sz="0" w:space="0" w:color="auto"/>
        <w:left w:val="none" w:sz="0" w:space="0" w:color="auto"/>
        <w:bottom w:val="none" w:sz="0" w:space="0" w:color="auto"/>
        <w:right w:val="none" w:sz="0" w:space="0" w:color="auto"/>
      </w:divBdr>
    </w:div>
    <w:div w:id="1695108441">
      <w:bodyDiv w:val="1"/>
      <w:marLeft w:val="0"/>
      <w:marRight w:val="0"/>
      <w:marTop w:val="0"/>
      <w:marBottom w:val="0"/>
      <w:divBdr>
        <w:top w:val="none" w:sz="0" w:space="0" w:color="auto"/>
        <w:left w:val="none" w:sz="0" w:space="0" w:color="auto"/>
        <w:bottom w:val="none" w:sz="0" w:space="0" w:color="auto"/>
        <w:right w:val="none" w:sz="0" w:space="0" w:color="auto"/>
      </w:divBdr>
    </w:div>
    <w:div w:id="1697151430">
      <w:bodyDiv w:val="1"/>
      <w:marLeft w:val="0"/>
      <w:marRight w:val="0"/>
      <w:marTop w:val="0"/>
      <w:marBottom w:val="0"/>
      <w:divBdr>
        <w:top w:val="none" w:sz="0" w:space="0" w:color="auto"/>
        <w:left w:val="none" w:sz="0" w:space="0" w:color="auto"/>
        <w:bottom w:val="none" w:sz="0" w:space="0" w:color="auto"/>
        <w:right w:val="none" w:sz="0" w:space="0" w:color="auto"/>
      </w:divBdr>
    </w:div>
    <w:div w:id="1716655469">
      <w:bodyDiv w:val="1"/>
      <w:marLeft w:val="0"/>
      <w:marRight w:val="0"/>
      <w:marTop w:val="0"/>
      <w:marBottom w:val="0"/>
      <w:divBdr>
        <w:top w:val="none" w:sz="0" w:space="0" w:color="auto"/>
        <w:left w:val="none" w:sz="0" w:space="0" w:color="auto"/>
        <w:bottom w:val="none" w:sz="0" w:space="0" w:color="auto"/>
        <w:right w:val="none" w:sz="0" w:space="0" w:color="auto"/>
      </w:divBdr>
    </w:div>
    <w:div w:id="1718359124">
      <w:bodyDiv w:val="1"/>
      <w:marLeft w:val="0"/>
      <w:marRight w:val="0"/>
      <w:marTop w:val="0"/>
      <w:marBottom w:val="0"/>
      <w:divBdr>
        <w:top w:val="none" w:sz="0" w:space="0" w:color="auto"/>
        <w:left w:val="none" w:sz="0" w:space="0" w:color="auto"/>
        <w:bottom w:val="none" w:sz="0" w:space="0" w:color="auto"/>
        <w:right w:val="none" w:sz="0" w:space="0" w:color="auto"/>
      </w:divBdr>
    </w:div>
    <w:div w:id="1724451055">
      <w:bodyDiv w:val="1"/>
      <w:marLeft w:val="0"/>
      <w:marRight w:val="0"/>
      <w:marTop w:val="0"/>
      <w:marBottom w:val="0"/>
      <w:divBdr>
        <w:top w:val="none" w:sz="0" w:space="0" w:color="auto"/>
        <w:left w:val="none" w:sz="0" w:space="0" w:color="auto"/>
        <w:bottom w:val="none" w:sz="0" w:space="0" w:color="auto"/>
        <w:right w:val="none" w:sz="0" w:space="0" w:color="auto"/>
      </w:divBdr>
    </w:div>
    <w:div w:id="1791319102">
      <w:bodyDiv w:val="1"/>
      <w:marLeft w:val="0"/>
      <w:marRight w:val="0"/>
      <w:marTop w:val="0"/>
      <w:marBottom w:val="0"/>
      <w:divBdr>
        <w:top w:val="none" w:sz="0" w:space="0" w:color="auto"/>
        <w:left w:val="none" w:sz="0" w:space="0" w:color="auto"/>
        <w:bottom w:val="none" w:sz="0" w:space="0" w:color="auto"/>
        <w:right w:val="none" w:sz="0" w:space="0" w:color="auto"/>
      </w:divBdr>
    </w:div>
    <w:div w:id="1880194744">
      <w:bodyDiv w:val="1"/>
      <w:marLeft w:val="0"/>
      <w:marRight w:val="0"/>
      <w:marTop w:val="0"/>
      <w:marBottom w:val="0"/>
      <w:divBdr>
        <w:top w:val="none" w:sz="0" w:space="0" w:color="auto"/>
        <w:left w:val="none" w:sz="0" w:space="0" w:color="auto"/>
        <w:bottom w:val="none" w:sz="0" w:space="0" w:color="auto"/>
        <w:right w:val="none" w:sz="0" w:space="0" w:color="auto"/>
      </w:divBdr>
    </w:div>
    <w:div w:id="1931036177">
      <w:bodyDiv w:val="1"/>
      <w:marLeft w:val="0"/>
      <w:marRight w:val="0"/>
      <w:marTop w:val="0"/>
      <w:marBottom w:val="0"/>
      <w:divBdr>
        <w:top w:val="none" w:sz="0" w:space="0" w:color="auto"/>
        <w:left w:val="none" w:sz="0" w:space="0" w:color="auto"/>
        <w:bottom w:val="none" w:sz="0" w:space="0" w:color="auto"/>
        <w:right w:val="none" w:sz="0" w:space="0" w:color="auto"/>
      </w:divBdr>
    </w:div>
    <w:div w:id="1940983702">
      <w:bodyDiv w:val="1"/>
      <w:marLeft w:val="0"/>
      <w:marRight w:val="0"/>
      <w:marTop w:val="0"/>
      <w:marBottom w:val="0"/>
      <w:divBdr>
        <w:top w:val="none" w:sz="0" w:space="0" w:color="auto"/>
        <w:left w:val="none" w:sz="0" w:space="0" w:color="auto"/>
        <w:bottom w:val="none" w:sz="0" w:space="0" w:color="auto"/>
        <w:right w:val="none" w:sz="0" w:space="0" w:color="auto"/>
      </w:divBdr>
    </w:div>
    <w:div w:id="1946498287">
      <w:bodyDiv w:val="1"/>
      <w:marLeft w:val="0"/>
      <w:marRight w:val="0"/>
      <w:marTop w:val="0"/>
      <w:marBottom w:val="0"/>
      <w:divBdr>
        <w:top w:val="none" w:sz="0" w:space="0" w:color="auto"/>
        <w:left w:val="none" w:sz="0" w:space="0" w:color="auto"/>
        <w:bottom w:val="none" w:sz="0" w:space="0" w:color="auto"/>
        <w:right w:val="none" w:sz="0" w:space="0" w:color="auto"/>
      </w:divBdr>
    </w:div>
    <w:div w:id="1962806815">
      <w:bodyDiv w:val="1"/>
      <w:marLeft w:val="0"/>
      <w:marRight w:val="0"/>
      <w:marTop w:val="0"/>
      <w:marBottom w:val="0"/>
      <w:divBdr>
        <w:top w:val="none" w:sz="0" w:space="0" w:color="auto"/>
        <w:left w:val="none" w:sz="0" w:space="0" w:color="auto"/>
        <w:bottom w:val="none" w:sz="0" w:space="0" w:color="auto"/>
        <w:right w:val="none" w:sz="0" w:space="0" w:color="auto"/>
      </w:divBdr>
    </w:div>
    <w:div w:id="1973054617">
      <w:bodyDiv w:val="1"/>
      <w:marLeft w:val="0"/>
      <w:marRight w:val="0"/>
      <w:marTop w:val="0"/>
      <w:marBottom w:val="0"/>
      <w:divBdr>
        <w:top w:val="none" w:sz="0" w:space="0" w:color="auto"/>
        <w:left w:val="none" w:sz="0" w:space="0" w:color="auto"/>
        <w:bottom w:val="none" w:sz="0" w:space="0" w:color="auto"/>
        <w:right w:val="none" w:sz="0" w:space="0" w:color="auto"/>
      </w:divBdr>
    </w:div>
    <w:div w:id="2025597333">
      <w:bodyDiv w:val="1"/>
      <w:marLeft w:val="0"/>
      <w:marRight w:val="0"/>
      <w:marTop w:val="0"/>
      <w:marBottom w:val="0"/>
      <w:divBdr>
        <w:top w:val="none" w:sz="0" w:space="0" w:color="auto"/>
        <w:left w:val="none" w:sz="0" w:space="0" w:color="auto"/>
        <w:bottom w:val="none" w:sz="0" w:space="0" w:color="auto"/>
        <w:right w:val="none" w:sz="0" w:space="0" w:color="auto"/>
      </w:divBdr>
    </w:div>
    <w:div w:id="2108236435">
      <w:bodyDiv w:val="1"/>
      <w:marLeft w:val="0"/>
      <w:marRight w:val="0"/>
      <w:marTop w:val="0"/>
      <w:marBottom w:val="0"/>
      <w:divBdr>
        <w:top w:val="none" w:sz="0" w:space="0" w:color="auto"/>
        <w:left w:val="none" w:sz="0" w:space="0" w:color="auto"/>
        <w:bottom w:val="none" w:sz="0" w:space="0" w:color="auto"/>
        <w:right w:val="none" w:sz="0" w:space="0" w:color="auto"/>
      </w:divBdr>
    </w:div>
    <w:div w:id="2113041189">
      <w:bodyDiv w:val="1"/>
      <w:marLeft w:val="0"/>
      <w:marRight w:val="0"/>
      <w:marTop w:val="0"/>
      <w:marBottom w:val="0"/>
      <w:divBdr>
        <w:top w:val="none" w:sz="0" w:space="0" w:color="auto"/>
        <w:left w:val="none" w:sz="0" w:space="0" w:color="auto"/>
        <w:bottom w:val="none" w:sz="0" w:space="0" w:color="auto"/>
        <w:right w:val="none" w:sz="0" w:space="0" w:color="auto"/>
      </w:divBdr>
    </w:div>
    <w:div w:id="2115436879">
      <w:bodyDiv w:val="1"/>
      <w:marLeft w:val="0"/>
      <w:marRight w:val="0"/>
      <w:marTop w:val="0"/>
      <w:marBottom w:val="0"/>
      <w:divBdr>
        <w:top w:val="none" w:sz="0" w:space="0" w:color="auto"/>
        <w:left w:val="none" w:sz="0" w:space="0" w:color="auto"/>
        <w:bottom w:val="none" w:sz="0" w:space="0" w:color="auto"/>
        <w:right w:val="none" w:sz="0" w:space="0" w:color="auto"/>
      </w:divBdr>
    </w:div>
    <w:div w:id="2127386907">
      <w:bodyDiv w:val="1"/>
      <w:marLeft w:val="0"/>
      <w:marRight w:val="0"/>
      <w:marTop w:val="0"/>
      <w:marBottom w:val="0"/>
      <w:divBdr>
        <w:top w:val="none" w:sz="0" w:space="0" w:color="auto"/>
        <w:left w:val="none" w:sz="0" w:space="0" w:color="auto"/>
        <w:bottom w:val="none" w:sz="0" w:space="0" w:color="auto"/>
        <w:right w:val="none" w:sz="0" w:space="0" w:color="auto"/>
      </w:divBdr>
    </w:div>
    <w:div w:id="2141461659">
      <w:bodyDiv w:val="1"/>
      <w:marLeft w:val="0"/>
      <w:marRight w:val="0"/>
      <w:marTop w:val="0"/>
      <w:marBottom w:val="0"/>
      <w:divBdr>
        <w:top w:val="none" w:sz="0" w:space="0" w:color="auto"/>
        <w:left w:val="none" w:sz="0" w:space="0" w:color="auto"/>
        <w:bottom w:val="none" w:sz="0" w:space="0" w:color="auto"/>
        <w:right w:val="none" w:sz="0" w:space="0" w:color="auto"/>
      </w:divBdr>
    </w:div>
    <w:div w:id="21467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EN/TXT/?uri=celex:52025DC0790"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2725</ap:Words>
  <ap:Characters>14993</ap:Characters>
  <ap:DocSecurity>0</ap:DocSecurity>
  <ap:Lines>124</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2026-01-14T13:30:00.0000000Z</lastPrinted>
  <dcterms:created xsi:type="dcterms:W3CDTF">2026-02-12T13:52:00.0000000Z</dcterms:created>
  <dcterms:modified xsi:type="dcterms:W3CDTF">2026-02-12T13:52:00.0000000Z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33a8a64e,787f0973,4090257f</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5fe052d0-32d1-46a2-ac8d-b498bba0356d</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https://247.plaza.buzaservices.nl/subject/PV-RK2026012026/BZ2624656/Fiche%2010%20-%20Mededeling%20EU%20strategie%20Maatschappelijke%20Organisaties.docx, </vt:lpwstr>
  </property>
  <property fmtid="{D5CDD505-2E9C-101B-9397-08002B2CF9AE}" pid="31" name="BZDossierBudgetManager">
    <vt:lpwstr/>
  </property>
</Properties>
</file>