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4D1" w:rsidP="008044D1" w:rsidRDefault="008044D1" w14:paraId="4EECEFD0" w14:textId="79066E99">
      <w:pPr>
        <w:pStyle w:val="Geenafstand"/>
      </w:pPr>
      <w:r>
        <w:t>AH 1006</w:t>
      </w:r>
    </w:p>
    <w:p w:rsidR="008044D1" w:rsidP="008044D1" w:rsidRDefault="008044D1" w14:paraId="207872F1" w14:textId="0C7DBDF4">
      <w:pPr>
        <w:pStyle w:val="Geenafstand"/>
      </w:pPr>
      <w:r w:rsidRPr="250AE766">
        <w:t>2025Z21375</w:t>
      </w:r>
    </w:p>
    <w:p w:rsidR="008044D1" w:rsidP="008044D1" w:rsidRDefault="008044D1" w14:paraId="2163C1E4" w14:textId="77777777">
      <w:pPr>
        <w:pStyle w:val="Geenafstand"/>
      </w:pPr>
    </w:p>
    <w:p w:rsidR="008044D1" w:rsidP="008044D1" w:rsidRDefault="008044D1" w14:paraId="50E1D775" w14:textId="01DF5D38">
      <w:pPr>
        <w:pStyle w:val="Geenafstand"/>
        <w:rPr>
          <w:sz w:val="24"/>
          <w:szCs w:val="24"/>
        </w:rPr>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2 februari 2026)</w:t>
      </w:r>
    </w:p>
    <w:p w:rsidR="008044D1" w:rsidP="008044D1" w:rsidRDefault="008044D1" w14:paraId="56400A5A" w14:textId="77777777">
      <w:pPr>
        <w:pStyle w:val="Geenafstand"/>
        <w:rPr>
          <w:sz w:val="24"/>
          <w:szCs w:val="24"/>
        </w:rPr>
      </w:pPr>
    </w:p>
    <w:p w:rsidRPr="007B1B93" w:rsidR="008044D1" w:rsidP="00427BA1" w:rsidRDefault="008044D1" w14:paraId="399A84DD" w14:textId="2D918C0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827</w:t>
      </w:r>
    </w:p>
    <w:p w:rsidR="008044D1" w:rsidP="008044D1" w:rsidRDefault="008044D1" w14:paraId="519C3764" w14:textId="53A344FD">
      <w:pPr>
        <w:pStyle w:val="Geenafstand"/>
      </w:pPr>
    </w:p>
    <w:p w:rsidR="008044D1" w:rsidP="008044D1" w:rsidRDefault="008044D1" w14:paraId="47DE5B78" w14:textId="77777777">
      <w:pPr>
        <w:pStyle w:val="Geenafstand"/>
      </w:pPr>
    </w:p>
    <w:p w:rsidR="008044D1" w:rsidP="008044D1" w:rsidRDefault="008044D1" w14:paraId="3867F538" w14:textId="77777777">
      <w:r>
        <w:t>1</w:t>
      </w:r>
    </w:p>
    <w:p w:rsidR="008044D1" w:rsidP="008044D1" w:rsidRDefault="008044D1" w14:paraId="07372B08" w14:textId="77777777">
      <w:r>
        <w:t>Bent u bekend met het NOS-artikel van 3 december 2025, waarin wordt beschreven dat een invloedrijk wetenschappelijk artikel over het onkruidbestrijdingsmiddel glyfosaat na 25 jaar is ingetrokken?</w:t>
      </w:r>
    </w:p>
    <w:p w:rsidR="008044D1" w:rsidP="008044D1" w:rsidRDefault="008044D1" w14:paraId="6A7A8288" w14:textId="77777777"/>
    <w:p w:rsidR="008044D1" w:rsidP="008044D1" w:rsidRDefault="008044D1" w14:paraId="78EE972F" w14:textId="77777777">
      <w:r>
        <w:t>Antwoord</w:t>
      </w:r>
    </w:p>
    <w:p w:rsidR="008044D1" w:rsidP="008044D1" w:rsidRDefault="008044D1" w14:paraId="742AE8F9" w14:textId="77777777">
      <w:r>
        <w:t>Ja</w:t>
      </w:r>
      <w:r>
        <w:br/>
      </w:r>
    </w:p>
    <w:p w:rsidR="008044D1" w:rsidP="008044D1" w:rsidRDefault="008044D1" w14:paraId="2D387EE3" w14:textId="77777777">
      <w:r>
        <w:t>2</w:t>
      </w:r>
    </w:p>
    <w:p w:rsidR="008044D1" w:rsidP="008044D1" w:rsidRDefault="008044D1" w14:paraId="6B6889A1" w14:textId="77777777">
      <w:r>
        <w:t>Kunt u uiteenzetten welke grondslag dit wetenschappelijk artikel heeft of heeft gehad in het beleid dat Nederland, en breder gezien, Europa voert bij het gebruik van glyfosaat?</w:t>
      </w:r>
      <w:r>
        <w:br/>
      </w:r>
    </w:p>
    <w:p w:rsidR="008044D1" w:rsidP="008044D1" w:rsidRDefault="008044D1" w14:paraId="2474C40D" w14:textId="77777777">
      <w:r>
        <w:t xml:space="preserve">Antwoord </w:t>
      </w:r>
    </w:p>
    <w:p w:rsidRPr="000C21F2" w:rsidR="008044D1" w:rsidP="008044D1" w:rsidRDefault="008044D1" w14:paraId="2E91E331" w14:textId="77777777">
      <w:r w:rsidRPr="000C21F2">
        <w:t>Het artikel van Williams en anderen</w:t>
      </w:r>
      <w:r>
        <w:rPr>
          <w:rStyle w:val="Voetnootmarkering"/>
        </w:rPr>
        <w:footnoteReference w:id="1"/>
      </w:r>
      <w:r w:rsidRPr="000C21F2">
        <w:t xml:space="preserve"> is een zogenoemd review-artikel waarin gegevens uit meerdere individuele wetenschappelijke studies worden samengevat en geanalyseerd. Bij de beoordeling van een </w:t>
      </w:r>
      <w:r>
        <w:t xml:space="preserve">werkzame </w:t>
      </w:r>
      <w:r w:rsidRPr="000C21F2">
        <w:t>stof (of gewasbeschermingsmiddel) worden alleen originele studierapporten gebruikt en geen review-studies. De conclusies uit dit review-artikel zijn geen onderdeel van de risicobeoordeling van glyfosaat</w:t>
      </w:r>
      <w:r>
        <w:rPr>
          <w:rStyle w:val="Voetnootmarkering"/>
        </w:rPr>
        <w:footnoteReference w:id="2"/>
      </w:r>
      <w:r w:rsidRPr="000C21F2">
        <w:t xml:space="preserve"> en zijn niet meegenomen in de Europese besluitvorming bij de hernieuwde goedkeuring van de stof in 2023. Het intrekken van dit review-artikel heeft dan ook geen gevolgen voor de goedkeuring van de stof glyfosaat of toelating van middelen op basis van deze </w:t>
      </w:r>
      <w:r>
        <w:t>werkzame</w:t>
      </w:r>
      <w:r w:rsidRPr="000C21F2">
        <w:t xml:space="preserve"> stof.</w:t>
      </w:r>
    </w:p>
    <w:p w:rsidR="008044D1" w:rsidP="008044D1" w:rsidRDefault="008044D1" w14:paraId="2DC598AE" w14:textId="77777777"/>
    <w:p w:rsidR="008044D1" w:rsidP="008044D1" w:rsidRDefault="008044D1" w14:paraId="107F28CD" w14:textId="77777777">
      <w:r>
        <w:t>3</w:t>
      </w:r>
    </w:p>
    <w:p w:rsidR="008044D1" w:rsidP="008044D1" w:rsidRDefault="008044D1" w14:paraId="794CEEED" w14:textId="77777777">
      <w:r>
        <w:t>Bent u verder bekend met wetenschappelijke studies over pesticiden, glyfosaat in het bijzonder, waarbij aanleiding bestaat om te twijfelen aan de legitimiteit van het onderzoek, wat de invloed was van dergelijke onderzoeken was en hoe zowel positieve als negatieve uitkomsten van deze onderzoeken gewogen en getoetst worden aan bronnen en belangen?</w:t>
      </w:r>
      <w:r>
        <w:br/>
      </w:r>
    </w:p>
    <w:p w:rsidR="008044D1" w:rsidP="008044D1" w:rsidRDefault="008044D1" w14:paraId="1776EB9E" w14:textId="77777777">
      <w:r>
        <w:t>Antwoord</w:t>
      </w:r>
    </w:p>
    <w:p w:rsidR="008044D1" w:rsidP="008044D1" w:rsidRDefault="008044D1" w14:paraId="4839C711" w14:textId="77777777">
      <w:r>
        <w:t>Nee, ik ben verder niet op hoogte van dergelijke onderzoeken.</w:t>
      </w:r>
    </w:p>
    <w:p w:rsidR="008044D1" w:rsidP="008044D1" w:rsidRDefault="008044D1" w14:paraId="6B96B9A1" w14:textId="77777777"/>
    <w:p w:rsidR="008044D1" w:rsidP="008044D1" w:rsidRDefault="008044D1" w14:paraId="105C4941" w14:textId="77777777">
      <w:r>
        <w:t>4</w:t>
      </w:r>
    </w:p>
    <w:p w:rsidR="008044D1" w:rsidP="008044D1" w:rsidRDefault="008044D1" w14:paraId="3F730E84" w14:textId="77777777">
      <w:r>
        <w:t>In hoeverre acht u deze berichtgeving, over rectificatie van wetenschappelijke onderzoeken en mogelijke inmenging van de fabrikant om gevaren en risico’s van het bestrijdingsmiddel te bagatelliseren, als een belangrijk moment voor herziening van onze omgangsnormen met betrekking tot glyfosaat, variërend van bijvoorbeeld toelatingsprocedures tot aan subsidies?</w:t>
      </w:r>
      <w:r>
        <w:br/>
      </w:r>
    </w:p>
    <w:p w:rsidR="008044D1" w:rsidP="008044D1" w:rsidRDefault="008044D1" w14:paraId="3C00B7DE" w14:textId="77777777"/>
    <w:p w:rsidR="008044D1" w:rsidP="008044D1" w:rsidRDefault="008044D1" w14:paraId="029A984B" w14:textId="77777777"/>
    <w:p w:rsidR="008044D1" w:rsidP="008044D1" w:rsidRDefault="008044D1" w14:paraId="7FD12426" w14:textId="77777777">
      <w:r>
        <w:t>Antwoord</w:t>
      </w:r>
    </w:p>
    <w:p w:rsidR="008044D1" w:rsidP="008044D1" w:rsidRDefault="008044D1" w14:paraId="1564BAC6" w14:textId="77777777">
      <w:r>
        <w:t>Ik vind het belangrijk dat besluitvorming over werkzame stoffen wordt gebaseerd op betrouwbare en onafhankelijke wetenschappelijke informatie. Het intrekken van het review-artikel geeft geen aanleiding om te twijfelen aan eerdere besluitvorming over glyfosaat.</w:t>
      </w:r>
      <w:r>
        <w:br/>
      </w:r>
    </w:p>
    <w:p w:rsidR="008044D1" w:rsidP="008044D1" w:rsidRDefault="008044D1" w14:paraId="545DF6CD" w14:textId="77777777">
      <w:r>
        <w:t>5</w:t>
      </w:r>
      <w:r>
        <w:br/>
        <w:t>Welke waarborgen bestaan er momenteel om niet gedegen wetenschappelijke onderzoeken te weren uit de certificering en besluitvorming en daaropvolgende onderzoeken te herzien als deze op dergelijke onderzoeken zijn gebaseerd?</w:t>
      </w:r>
      <w:r>
        <w:br/>
      </w:r>
    </w:p>
    <w:p w:rsidR="008044D1" w:rsidP="008044D1" w:rsidRDefault="008044D1" w14:paraId="33D1EB25" w14:textId="77777777">
      <w:r>
        <w:t>Antwoord</w:t>
      </w:r>
    </w:p>
    <w:p w:rsidR="008044D1" w:rsidP="008044D1" w:rsidRDefault="008044D1" w14:paraId="1736A7A9" w14:textId="77777777">
      <w:r w:rsidRPr="000C21F2">
        <w:t>Er zijn verschillende waarborgen binnen het proces van de stofbeoordeling ingebouwd om niet gedegen wetenschappelijke onderzoeken te weren. Allereerst baseren de toelatingsautoriteiten zich in eerste instantie op onderzoek dat is uitgevoerd volgens Good Laboratory Practice (GLP)</w:t>
      </w:r>
      <w:r>
        <w:rPr>
          <w:rStyle w:val="Voetnootmarkering"/>
        </w:rPr>
        <w:footnoteReference w:id="3"/>
      </w:r>
      <w:r w:rsidRPr="000C21F2">
        <w:t xml:space="preserve">. Dit is een </w:t>
      </w:r>
      <w:r w:rsidRPr="000C21F2">
        <w:lastRenderedPageBreak/>
        <w:t>systeem om de kwaliteit van de experimenten in laboratoria te waarborgen</w:t>
      </w:r>
      <w:r>
        <w:t xml:space="preserve"> waar</w:t>
      </w:r>
      <w:r w:rsidRPr="000C21F2">
        <w:t xml:space="preserve"> de Inspectie Gezondheidszorg en Jeugd (IGJ) toezicht op</w:t>
      </w:r>
      <w:r>
        <w:t xml:space="preserve"> houdt</w:t>
      </w:r>
      <w:r w:rsidRPr="000C21F2">
        <w:t>. De rapporteur lidstaat (RMS) beoordeelt alle studies, inclusief studies uit de wetenschappelijke literatuur, en kijkt hierbij op een gestructureerde wijze naar de betrouwbaarheid, bijvoorbeeld met behulp van de Klimisch criteria</w:t>
      </w:r>
      <w:r>
        <w:rPr>
          <w:rStyle w:val="Voetnootmarkering"/>
        </w:rPr>
        <w:footnoteReference w:id="4"/>
      </w:r>
      <w:r w:rsidRPr="000C21F2">
        <w:t xml:space="preserve">, en </w:t>
      </w:r>
      <w:r>
        <w:t xml:space="preserve">de </w:t>
      </w:r>
      <w:r w:rsidRPr="000C21F2">
        <w:t>relevantie van de studies. De betrouwbaarheid en relevantie bepalen samen de aanvaardbaarheid van de studie. Alle relevante, betrouwbare wetenschappelijke technische kennis wordt tegen elkaar afgewogen om tot een eindconclusie te komen. Hierbij wegen relevante en betrouwbare studies zwaarder dan minder betrouwbare/relevante studies. Niet-acceptabele studies worden niet meegenomen. De Europese Autoriteit voor voedselveiligheid (EFSA) voert samen met alle andere lidstaten een collegiale toetsing (peer review) uit op het beoordelingsrapport van de RMS. Ook vindt er een openbare consultatie plaats. Bovendien moeten aanvragers sinds 2019 op basis van de Algemene Levensmiddelenverordening de autoriteiten al vooraf informeren dat een nieuwe studie begint en moeten ze het melden als de studie is afgerond. Dit om te voorkomen dat bedrijven onderzoeksresultaten achterhouden.</w:t>
      </w:r>
    </w:p>
    <w:p w:rsidR="008044D1" w:rsidP="008044D1" w:rsidRDefault="008044D1" w14:paraId="26CAC13C" w14:textId="77777777"/>
    <w:p w:rsidR="008044D1" w:rsidP="008044D1" w:rsidRDefault="008044D1" w14:paraId="4B63CF2C" w14:textId="77777777">
      <w:r>
        <w:t>6</w:t>
      </w:r>
    </w:p>
    <w:p w:rsidR="008044D1" w:rsidP="008044D1" w:rsidRDefault="008044D1" w14:paraId="4F0FA38D" w14:textId="77777777">
      <w:r>
        <w:t>In hoeverre bent u bereid om het Europees vastgestelde toetsingskader ter discussie te stellen nu de legitimiteit van invloedrijke wetenschappelijke onderbouwingen die mogelijk ten grondslag liggen aan onze opvattingen over glyfosaat in twijfel wordt getrokken of zelfs wordt gerectificeerd?</w:t>
      </w:r>
      <w:r>
        <w:br/>
      </w:r>
    </w:p>
    <w:p w:rsidR="008044D1" w:rsidP="008044D1" w:rsidRDefault="008044D1" w14:paraId="26022686" w14:textId="77777777">
      <w:r>
        <w:t>7</w:t>
      </w:r>
    </w:p>
    <w:p w:rsidR="008044D1" w:rsidP="008044D1" w:rsidRDefault="008044D1" w14:paraId="3B8CB567" w14:textId="77777777">
      <w:r>
        <w:t>In aanvulling daarop, bent u bereid om bij het College voor de toelating van gewasbeschermingsmiddelen en biociden (Ctgb) aan te dringen op herziening van het toetsingskader voor het gebruik van glyfosaat, wellicht in afwachting van herziening van het Europese toetsingskader?</w:t>
      </w:r>
      <w:r>
        <w:br/>
      </w:r>
    </w:p>
    <w:p w:rsidR="008044D1" w:rsidP="008044D1" w:rsidRDefault="008044D1" w14:paraId="2017F847" w14:textId="77777777"/>
    <w:p w:rsidR="008044D1" w:rsidP="008044D1" w:rsidRDefault="008044D1" w14:paraId="529C76B0" w14:textId="77777777"/>
    <w:p w:rsidR="008044D1" w:rsidP="008044D1" w:rsidRDefault="008044D1" w14:paraId="57820EEF" w14:textId="77777777">
      <w:r>
        <w:t>Antwoord vraag 6 en 7</w:t>
      </w:r>
    </w:p>
    <w:p w:rsidR="008044D1" w:rsidP="008044D1" w:rsidRDefault="008044D1" w14:paraId="3383CE3A" w14:textId="77777777">
      <w:r>
        <w:lastRenderedPageBreak/>
        <w:t>Het intrekken van het betreffende review-artikel heeft geen invloed op de uitkomst van de risicobeoordeling van glyfosaat en deze hoeft daarom niet nationaal of Europees bediscussieerd te worden.</w:t>
      </w:r>
    </w:p>
    <w:p w:rsidR="008044D1" w:rsidP="008044D1" w:rsidRDefault="008044D1" w14:paraId="628B5405" w14:textId="77777777"/>
    <w:p w:rsidR="008044D1" w:rsidP="008044D1" w:rsidRDefault="008044D1" w14:paraId="16233290" w14:textId="77777777">
      <w:r>
        <w:t>8</w:t>
      </w:r>
    </w:p>
    <w:p w:rsidR="008044D1" w:rsidP="008044D1" w:rsidRDefault="008044D1" w14:paraId="5F57839F" w14:textId="77777777">
      <w:r>
        <w:t>Deelt u de mening dat Montsano geen gesprekspartner moet zijn van Nederland of via andere manieren de mogelijkheid moet hebben om de sterke lobby voor de gifindustrie voort te zetten? Ziet u dus de wenselijkheid van een lobbyverbod voor de gifindustrie in?</w:t>
      </w:r>
    </w:p>
    <w:p w:rsidR="008044D1" w:rsidP="008044D1" w:rsidRDefault="008044D1" w14:paraId="3B614547" w14:textId="77777777"/>
    <w:p w:rsidR="008044D1" w:rsidP="008044D1" w:rsidRDefault="008044D1" w14:paraId="1DAB7875" w14:textId="77777777">
      <w:r>
        <w:t>Antwoord</w:t>
      </w:r>
    </w:p>
    <w:p w:rsidR="008044D1" w:rsidP="008044D1" w:rsidRDefault="008044D1" w14:paraId="5638D4CE" w14:textId="77777777">
      <w:r>
        <w:t>Besluitvorming over de toelating van gewasbeschermingsmiddelen dient altijd gebaseerd te zijn op onafhankelijke wetenschappelijke beoordelingen. Ik vind het daarom van grote waarde dat het Ctgb, als onafhankelijke toelatingsautoriteit, deze beoordelingen uitvoert zonder inmenging van derden, zoals fabrikanten of politiek. Het Ctgb wijst iedere vorm van ongeoorloofde beïnvloeding van de wetenschappelijke oordeelsvorming categorisch af. Waar het gaat om mijn eigen beleidsvorming praat ik met telers, NGO’s, belangenbehartigers, andere overheden en ook fabrikanten om een goed beeld te hebben van de wensen en ontwikkelingen binnen de samenleving en eventuele gevolgen van (toekomstig) beleid. Ik hecht waarde aan deze dialoog met alle onderdelen van de samenleving.</w:t>
      </w:r>
      <w:r>
        <w:br/>
      </w:r>
    </w:p>
    <w:p w:rsidR="008044D1" w:rsidP="008044D1" w:rsidRDefault="008044D1" w14:paraId="5D48B46E" w14:textId="77777777">
      <w:r>
        <w:t>9</w:t>
      </w:r>
    </w:p>
    <w:p w:rsidR="008044D1" w:rsidP="008044D1" w:rsidRDefault="008044D1" w14:paraId="493ED8BF" w14:textId="77777777">
      <w:r>
        <w:t>Is er naar aanleiding van het advies van de Afdeling Advisering van de Raad van State op de Wijziging van het Besluit gewasbeschermingsmiddelen en biociden een onderzoek ingesteld naar de reikwijdte van de verplichtstelling van alternatieven voor glyfosaat?</w:t>
      </w:r>
      <w:r>
        <w:br/>
      </w:r>
    </w:p>
    <w:p w:rsidR="008044D1" w:rsidP="008044D1" w:rsidRDefault="008044D1" w14:paraId="0B0DE9BD" w14:textId="77777777">
      <w:r>
        <w:t>10</w:t>
      </w:r>
    </w:p>
    <w:p w:rsidR="008044D1" w:rsidP="008044D1" w:rsidRDefault="008044D1" w14:paraId="2FCC9CAD" w14:textId="77777777">
      <w:r>
        <w:t>Hoe gaat u waarborgen dat dit onderzoek onafhankelijk en zorgvuldig wordt uitgevoerd, waarbij scherp wordt gelet op mogelijke belangenverstrenging of illegitimiteit van aangehaalde onderzoeken, helemaal gelet op recente berichtgevingen?</w:t>
      </w:r>
      <w:r>
        <w:br/>
      </w:r>
    </w:p>
    <w:p w:rsidR="008044D1" w:rsidP="008044D1" w:rsidRDefault="008044D1" w14:paraId="57A36858" w14:textId="77777777">
      <w:r>
        <w:t>11</w:t>
      </w:r>
    </w:p>
    <w:p w:rsidR="008044D1" w:rsidP="008044D1" w:rsidRDefault="008044D1" w14:paraId="32E6ED75" w14:textId="77777777">
      <w:r>
        <w:lastRenderedPageBreak/>
        <w:t>Kunt u uiteenzetten in hoeverre de effecten van glyfosaat onafhankelijk worden onderzocht en de basis vormen voor het toetsingskader voor de verplichtstelling van alternatieven?</w:t>
      </w:r>
    </w:p>
    <w:p w:rsidR="008044D1" w:rsidP="008044D1" w:rsidRDefault="008044D1" w14:paraId="60307426" w14:textId="77777777"/>
    <w:p w:rsidR="008044D1" w:rsidP="008044D1" w:rsidRDefault="008044D1" w14:paraId="3DE4BD0E" w14:textId="77777777">
      <w:r>
        <w:t>Antwoord vraag 9 t/m 11</w:t>
      </w:r>
    </w:p>
    <w:p w:rsidR="008044D1" w:rsidP="008044D1" w:rsidRDefault="008044D1" w14:paraId="0B35A778" w14:textId="77777777">
      <w:r>
        <w:t xml:space="preserve">Uw Kamer wordt separaat schriftelijk geïnformeerd over het betreffende advies van de </w:t>
      </w:r>
      <w:r w:rsidRPr="002A35FF">
        <w:t>Afdeling advisering van de Raad van State</w:t>
      </w:r>
      <w:r>
        <w:t xml:space="preserve"> en de verdere stappen op dit onderwerp.</w:t>
      </w:r>
    </w:p>
    <w:p w:rsidR="008044D1" w:rsidP="008044D1" w:rsidRDefault="008044D1" w14:paraId="246650DB" w14:textId="77777777"/>
    <w:p w:rsidR="008044D1" w:rsidP="008044D1" w:rsidRDefault="008044D1" w14:paraId="0438A61F" w14:textId="77777777">
      <w:r>
        <w:t>12</w:t>
      </w:r>
    </w:p>
    <w:p w:rsidR="008044D1" w:rsidP="008044D1" w:rsidRDefault="008044D1" w14:paraId="0C49AE75" w14:textId="77777777">
      <w:r>
        <w:t>Bent u bereid om naar aanleiding van deze en eerdere negatieve berichtgeving over de schadelijke effecten van glyfosaat concrete vervolgstappen te geven aan het aanpassen van het glyfosaatbeleid in Nederland?</w:t>
      </w:r>
    </w:p>
    <w:p w:rsidR="008044D1" w:rsidP="008044D1" w:rsidRDefault="008044D1" w14:paraId="01B68504" w14:textId="77777777"/>
    <w:p w:rsidR="008044D1" w:rsidP="008044D1" w:rsidRDefault="008044D1" w14:paraId="52199B02" w14:textId="77777777">
      <w:r>
        <w:t>Antwoord</w:t>
      </w:r>
    </w:p>
    <w:p w:rsidR="008044D1" w:rsidP="008044D1" w:rsidRDefault="008044D1" w14:paraId="3B5C6A2E" w14:textId="77777777">
      <w:r>
        <w:t xml:space="preserve">Glyfosaat is in 2023 opnieuw Europees goedgekeurd op basis van een zeer omvattend wetenschappelijk dossier met meer dan 2400 studies. De onafhankelijke wetenschappelijke adviezen van de hiervoor aangewezen instituten concluderen dat glyfosaat veilig kan worden toegepast. Op basis van deze conclusies zijn momenteel geen aanvullende maatregelen nodig. </w:t>
      </w:r>
    </w:p>
    <w:p w:rsidR="008044D1" w:rsidP="008044D1" w:rsidRDefault="008044D1" w14:paraId="63623802" w14:textId="77777777"/>
    <w:p w:rsidR="008044D1" w:rsidP="008044D1" w:rsidRDefault="008044D1" w14:paraId="4A0B81A3" w14:textId="77777777">
      <w:r>
        <w:t>13</w:t>
      </w:r>
    </w:p>
    <w:p w:rsidR="008044D1" w:rsidP="008044D1" w:rsidRDefault="008044D1" w14:paraId="36792D0C" w14:textId="77777777">
      <w:r>
        <w:t>Bent u bereid om, indien onderzoeken deze uitkomst aanbevelen, de verplichting tot het gebruik van alternatieven aan te scherpen en voor eenieder te codificeren in de Wijzigingen van het Besluit gewasbeschermingsmiddelen en biociden?</w:t>
      </w:r>
      <w:r>
        <w:br/>
      </w:r>
    </w:p>
    <w:p w:rsidR="008044D1" w:rsidP="008044D1" w:rsidRDefault="008044D1" w14:paraId="61C1EF3D" w14:textId="77777777">
      <w:r>
        <w:t>Antwoord</w:t>
      </w:r>
    </w:p>
    <w:p w:rsidR="008044D1" w:rsidP="008044D1" w:rsidRDefault="008044D1" w14:paraId="6803D4BE" w14:textId="77777777">
      <w:r>
        <w:t xml:space="preserve">Uw Kamer wordt separaat schriftelijk geïnformeerd over het advies van de </w:t>
      </w:r>
      <w:r w:rsidRPr="002A35FF">
        <w:t>Afdeling advisering van de Raad van State</w:t>
      </w:r>
      <w:r>
        <w:t xml:space="preserve"> op de beoogde wijziging van het Besluit gewasbeschermingsmiddelen en biociden en over de verdere stappen op dit onderwerp.</w:t>
      </w:r>
    </w:p>
    <w:p w:rsidR="008044D1" w:rsidP="008044D1" w:rsidRDefault="008044D1" w14:paraId="76057834" w14:textId="77777777">
      <w:r>
        <w:br/>
      </w:r>
    </w:p>
    <w:p w:rsidRPr="0028554E" w:rsidR="008044D1" w:rsidP="008044D1" w:rsidRDefault="008044D1" w14:paraId="4AE15468" w14:textId="77777777"/>
    <w:p w:rsidR="002C3023" w:rsidRDefault="002C3023" w14:paraId="416FFAD0" w14:textId="77777777"/>
    <w:sectPr w:rsidR="002C3023" w:rsidSect="008044D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8089" w14:textId="77777777" w:rsidR="008044D1" w:rsidRDefault="008044D1" w:rsidP="008044D1">
      <w:pPr>
        <w:spacing w:after="0" w:line="240" w:lineRule="auto"/>
      </w:pPr>
      <w:r>
        <w:separator/>
      </w:r>
    </w:p>
  </w:endnote>
  <w:endnote w:type="continuationSeparator" w:id="0">
    <w:p w14:paraId="341D5A31" w14:textId="77777777" w:rsidR="008044D1" w:rsidRDefault="008044D1" w:rsidP="00804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07299" w14:textId="77777777" w:rsidR="008044D1" w:rsidRPr="008044D1" w:rsidRDefault="008044D1" w:rsidP="008044D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653D" w14:textId="77777777" w:rsidR="008044D1" w:rsidRPr="008044D1" w:rsidRDefault="008044D1" w:rsidP="008044D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86897" w14:textId="77777777" w:rsidR="008044D1" w:rsidRPr="008044D1" w:rsidRDefault="008044D1" w:rsidP="008044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6DAB3" w14:textId="77777777" w:rsidR="008044D1" w:rsidRDefault="008044D1" w:rsidP="008044D1">
      <w:pPr>
        <w:spacing w:after="0" w:line="240" w:lineRule="auto"/>
      </w:pPr>
      <w:r>
        <w:separator/>
      </w:r>
    </w:p>
  </w:footnote>
  <w:footnote w:type="continuationSeparator" w:id="0">
    <w:p w14:paraId="7B77D86C" w14:textId="77777777" w:rsidR="008044D1" w:rsidRDefault="008044D1" w:rsidP="008044D1">
      <w:pPr>
        <w:spacing w:after="0" w:line="240" w:lineRule="auto"/>
      </w:pPr>
      <w:r>
        <w:continuationSeparator/>
      </w:r>
    </w:p>
  </w:footnote>
  <w:footnote w:id="1">
    <w:p w14:paraId="77C5D50A" w14:textId="77777777" w:rsidR="008044D1" w:rsidRPr="00EA052F" w:rsidRDefault="008044D1" w:rsidP="008044D1">
      <w:pPr>
        <w:numPr>
          <w:ilvl w:val="0"/>
          <w:numId w:val="1"/>
        </w:numPr>
        <w:rPr>
          <w:sz w:val="13"/>
          <w:szCs w:val="13"/>
        </w:rPr>
      </w:pPr>
      <w:r w:rsidRPr="00EA052F">
        <w:rPr>
          <w:sz w:val="13"/>
          <w:szCs w:val="13"/>
          <w:lang w:val="en-US"/>
        </w:rPr>
        <w:t xml:space="preserve">Williams GM, Kroes R, Munro IC. Safety evaluation and risk assessment of the herbicide Roundup and its active ingredient, glyphosate, for humans. Regul Toxicol Pharmacol. 2000 Apr;31(2 Pt 1):117-65. doi: 10.1006/rtph.1999.1371. Retraction in: Regul Toxicol Pharmacol. </w:t>
      </w:r>
      <w:r w:rsidRPr="00EA052F">
        <w:rPr>
          <w:sz w:val="13"/>
          <w:szCs w:val="13"/>
        </w:rPr>
        <w:t>2025 Dec 4:106006. doi: 10.1016/j.yrtph.2025.106006. PMID: 10854122.</w:t>
      </w:r>
    </w:p>
    <w:p w14:paraId="7B8AC70E" w14:textId="77777777" w:rsidR="008044D1" w:rsidRPr="00EA052F" w:rsidRDefault="008044D1" w:rsidP="008044D1">
      <w:pPr>
        <w:pStyle w:val="Voetnoottekst"/>
        <w:rPr>
          <w:szCs w:val="13"/>
          <w:lang w:val="en-US"/>
        </w:rPr>
      </w:pPr>
    </w:p>
  </w:footnote>
  <w:footnote w:id="2">
    <w:p w14:paraId="16036FFB" w14:textId="77777777" w:rsidR="008044D1" w:rsidRPr="00EA052F" w:rsidRDefault="008044D1" w:rsidP="008044D1">
      <w:pPr>
        <w:numPr>
          <w:ilvl w:val="0"/>
          <w:numId w:val="1"/>
        </w:numPr>
        <w:rPr>
          <w:sz w:val="13"/>
          <w:szCs w:val="13"/>
          <w:lang w:val="en-US"/>
        </w:rPr>
      </w:pPr>
      <w:r w:rsidRPr="00EA052F">
        <w:rPr>
          <w:sz w:val="13"/>
          <w:szCs w:val="13"/>
          <w:lang w:val="en-US"/>
        </w:rPr>
        <w:t>AGG (Assessment Group on Glyphosate), 2021. Renewal Assessment Report (RAR) on he active substance glyphosate prepared by the four rapporteur Member States of AGG, consisting of FR, HU, NL and SE, in the framework of Commission Implementing Regulation (EU) No 844/2012, June 2021.</w:t>
      </w:r>
    </w:p>
    <w:p w14:paraId="1CEBA875" w14:textId="77777777" w:rsidR="008044D1" w:rsidRPr="00EA052F" w:rsidRDefault="008044D1" w:rsidP="008044D1">
      <w:pPr>
        <w:pStyle w:val="Voetnoottekst"/>
        <w:rPr>
          <w:szCs w:val="13"/>
          <w:lang w:val="en-US"/>
        </w:rPr>
      </w:pPr>
    </w:p>
  </w:footnote>
  <w:footnote w:id="3">
    <w:p w14:paraId="17AA53CB" w14:textId="77777777" w:rsidR="008044D1" w:rsidRPr="00EA052F" w:rsidRDefault="008044D1" w:rsidP="008044D1">
      <w:pPr>
        <w:pStyle w:val="Lijstalinea"/>
        <w:numPr>
          <w:ilvl w:val="0"/>
          <w:numId w:val="1"/>
        </w:numPr>
        <w:spacing w:after="0" w:line="240" w:lineRule="auto"/>
        <w:contextualSpacing w:val="0"/>
        <w:rPr>
          <w:rFonts w:ascii="Verdana" w:eastAsia="Times New Roman" w:hAnsi="Verdana"/>
          <w:sz w:val="13"/>
          <w:szCs w:val="13"/>
          <w:lang w:val="en-US"/>
        </w:rPr>
      </w:pPr>
      <w:r w:rsidRPr="00EA052F">
        <w:rPr>
          <w:rStyle w:val="Voetnootmarkering"/>
          <w:rFonts w:ascii="Verdana" w:hAnsi="Verdana"/>
          <w:sz w:val="13"/>
          <w:szCs w:val="13"/>
        </w:rPr>
        <w:footnoteRef/>
      </w:r>
      <w:r w:rsidRPr="00EA052F">
        <w:rPr>
          <w:rFonts w:ascii="Verdana" w:hAnsi="Verdana"/>
          <w:sz w:val="13"/>
          <w:szCs w:val="13"/>
          <w:lang w:val="en-US"/>
        </w:rPr>
        <w:t xml:space="preserve"> </w:t>
      </w:r>
      <w:hyperlink r:id="rId1" w:history="1">
        <w:r w:rsidRPr="00EA052F">
          <w:rPr>
            <w:rStyle w:val="Hyperlink"/>
            <w:rFonts w:ascii="Verdana" w:eastAsia="Times New Roman" w:hAnsi="Verdana"/>
            <w:sz w:val="13"/>
            <w:szCs w:val="13"/>
            <w:lang w:val="en-US"/>
          </w:rPr>
          <w:t>https://www.igj.nl/zorgsectoren/geneesmiddelen/onderzoek-in-laboratoria-glp</w:t>
        </w:r>
      </w:hyperlink>
      <w:r w:rsidRPr="00EA052F">
        <w:rPr>
          <w:rFonts w:ascii="Verdana" w:eastAsia="Times New Roman" w:hAnsi="Verdana"/>
          <w:sz w:val="13"/>
          <w:szCs w:val="13"/>
          <w:lang w:val="en-US"/>
        </w:rPr>
        <w:t xml:space="preserve"> </w:t>
      </w:r>
    </w:p>
    <w:p w14:paraId="7C5D4A90" w14:textId="77777777" w:rsidR="008044D1" w:rsidRPr="00EA052F" w:rsidRDefault="008044D1" w:rsidP="008044D1">
      <w:pPr>
        <w:pStyle w:val="Voetnoottekst"/>
        <w:rPr>
          <w:szCs w:val="13"/>
          <w:lang w:val="en-US"/>
        </w:rPr>
      </w:pPr>
    </w:p>
  </w:footnote>
  <w:footnote w:id="4">
    <w:p w14:paraId="220282E1" w14:textId="77777777" w:rsidR="008044D1" w:rsidRPr="00EA052F" w:rsidRDefault="008044D1" w:rsidP="008044D1">
      <w:pPr>
        <w:pStyle w:val="Lijstalinea"/>
        <w:numPr>
          <w:ilvl w:val="0"/>
          <w:numId w:val="2"/>
        </w:numPr>
        <w:rPr>
          <w:rFonts w:ascii="Verdana" w:hAnsi="Verdana"/>
          <w:sz w:val="13"/>
          <w:szCs w:val="13"/>
          <w:lang w:val="en-US"/>
        </w:rPr>
      </w:pPr>
      <w:r w:rsidRPr="00EA052F">
        <w:rPr>
          <w:rFonts w:ascii="Verdana" w:hAnsi="Verdana"/>
          <w:sz w:val="13"/>
          <w:szCs w:val="13"/>
          <w:lang w:val="en-US"/>
        </w:rPr>
        <w:t>Klimisch HJ, Andreae M, Tillmann U. A systematic approach for evaluating the quality of experimental toxicological and ecotoxicological data. Regul Toxicol Pharmacol. 1997 Feb;25(1):1-5. doi: 10.1006/rtph.1996.1076. PMID: 9056496.</w:t>
      </w:r>
    </w:p>
    <w:p w14:paraId="5563C249" w14:textId="77777777" w:rsidR="008044D1" w:rsidRPr="00EA052F" w:rsidRDefault="008044D1" w:rsidP="008044D1">
      <w:pPr>
        <w:pStyle w:val="Voetnoottekst"/>
        <w:rPr>
          <w:szCs w:val="13"/>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46FC" w14:textId="77777777" w:rsidR="008044D1" w:rsidRPr="008044D1" w:rsidRDefault="008044D1" w:rsidP="008044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4CCF9" w14:textId="77777777" w:rsidR="008044D1" w:rsidRPr="008044D1" w:rsidRDefault="008044D1" w:rsidP="008044D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904B" w14:textId="77777777" w:rsidR="008044D1" w:rsidRPr="008044D1" w:rsidRDefault="008044D1" w:rsidP="008044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1EF6"/>
    <w:multiLevelType w:val="hybridMultilevel"/>
    <w:tmpl w:val="08BA4016"/>
    <w:lvl w:ilvl="0" w:tplc="4042A4A6">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3FF026CD"/>
    <w:multiLevelType w:val="hybridMultilevel"/>
    <w:tmpl w:val="D6AAB3DE"/>
    <w:lvl w:ilvl="0" w:tplc="4042A4A6">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3067346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9912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4D1"/>
    <w:rsid w:val="001F0224"/>
    <w:rsid w:val="002C3023"/>
    <w:rsid w:val="008044D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8DBDD"/>
  <w15:chartTrackingRefBased/>
  <w15:docId w15:val="{313C4DEB-FD9F-433C-9DF7-B42E69D1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44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44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44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44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44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44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44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44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44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44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44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44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44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44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44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44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44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44D1"/>
    <w:rPr>
      <w:rFonts w:eastAsiaTheme="majorEastAsia" w:cstheme="majorBidi"/>
      <w:color w:val="272727" w:themeColor="text1" w:themeTint="D8"/>
    </w:rPr>
  </w:style>
  <w:style w:type="paragraph" w:styleId="Titel">
    <w:name w:val="Title"/>
    <w:basedOn w:val="Standaard"/>
    <w:next w:val="Standaard"/>
    <w:link w:val="TitelChar"/>
    <w:uiPriority w:val="10"/>
    <w:qFormat/>
    <w:rsid w:val="00804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44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44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44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44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44D1"/>
    <w:rPr>
      <w:i/>
      <w:iCs/>
      <w:color w:val="404040" w:themeColor="text1" w:themeTint="BF"/>
    </w:rPr>
  </w:style>
  <w:style w:type="paragraph" w:styleId="Lijstalinea">
    <w:name w:val="List Paragraph"/>
    <w:basedOn w:val="Standaard"/>
    <w:uiPriority w:val="34"/>
    <w:qFormat/>
    <w:rsid w:val="008044D1"/>
    <w:pPr>
      <w:ind w:left="720"/>
      <w:contextualSpacing/>
    </w:pPr>
  </w:style>
  <w:style w:type="character" w:styleId="Intensievebenadrukking">
    <w:name w:val="Intense Emphasis"/>
    <w:basedOn w:val="Standaardalinea-lettertype"/>
    <w:uiPriority w:val="21"/>
    <w:qFormat/>
    <w:rsid w:val="008044D1"/>
    <w:rPr>
      <w:i/>
      <w:iCs/>
      <w:color w:val="0F4761" w:themeColor="accent1" w:themeShade="BF"/>
    </w:rPr>
  </w:style>
  <w:style w:type="paragraph" w:styleId="Duidelijkcitaat">
    <w:name w:val="Intense Quote"/>
    <w:basedOn w:val="Standaard"/>
    <w:next w:val="Standaard"/>
    <w:link w:val="DuidelijkcitaatChar"/>
    <w:uiPriority w:val="30"/>
    <w:qFormat/>
    <w:rsid w:val="008044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44D1"/>
    <w:rPr>
      <w:i/>
      <w:iCs/>
      <w:color w:val="0F4761" w:themeColor="accent1" w:themeShade="BF"/>
    </w:rPr>
  </w:style>
  <w:style w:type="character" w:styleId="Intensieveverwijzing">
    <w:name w:val="Intense Reference"/>
    <w:basedOn w:val="Standaardalinea-lettertype"/>
    <w:uiPriority w:val="32"/>
    <w:qFormat/>
    <w:rsid w:val="008044D1"/>
    <w:rPr>
      <w:b/>
      <w:bCs/>
      <w:smallCaps/>
      <w:color w:val="0F4761" w:themeColor="accent1" w:themeShade="BF"/>
      <w:spacing w:val="5"/>
    </w:rPr>
  </w:style>
  <w:style w:type="paragraph" w:styleId="Koptekst">
    <w:name w:val="header"/>
    <w:basedOn w:val="Standaard"/>
    <w:link w:val="KoptekstChar1"/>
    <w:rsid w:val="008044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8044D1"/>
  </w:style>
  <w:style w:type="paragraph" w:styleId="Voettekst">
    <w:name w:val="footer"/>
    <w:basedOn w:val="Standaard"/>
    <w:link w:val="VoettekstChar1"/>
    <w:rsid w:val="008044D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8044D1"/>
  </w:style>
  <w:style w:type="paragraph" w:customStyle="1" w:styleId="Huisstijl-Adres">
    <w:name w:val="Huisstijl-Adres"/>
    <w:basedOn w:val="Standaard"/>
    <w:link w:val="Huisstijl-AdresChar"/>
    <w:rsid w:val="008044D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044D1"/>
    <w:rPr>
      <w:rFonts w:ascii="Verdana" w:hAnsi="Verdana"/>
      <w:noProof/>
      <w:sz w:val="13"/>
      <w:szCs w:val="24"/>
      <w:lang w:eastAsia="nl-NL"/>
    </w:rPr>
  </w:style>
  <w:style w:type="paragraph" w:customStyle="1" w:styleId="Huisstijl-Gegeven">
    <w:name w:val="Huisstijl-Gegeven"/>
    <w:basedOn w:val="Standaard"/>
    <w:link w:val="Huisstijl-GegevenCharChar"/>
    <w:rsid w:val="008044D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044D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044D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8044D1"/>
    <w:rPr>
      <w:color w:val="0000FF"/>
      <w:u w:val="single"/>
    </w:rPr>
  </w:style>
  <w:style w:type="paragraph" w:customStyle="1" w:styleId="Huisstijl-Retouradres">
    <w:name w:val="Huisstijl-Retouradres"/>
    <w:basedOn w:val="Standaard"/>
    <w:rsid w:val="008044D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044D1"/>
    <w:pPr>
      <w:spacing w:after="0"/>
    </w:pPr>
    <w:rPr>
      <w:b/>
    </w:rPr>
  </w:style>
  <w:style w:type="paragraph" w:customStyle="1" w:styleId="Huisstijl-Paginanummering">
    <w:name w:val="Huisstijl-Paginanummering"/>
    <w:basedOn w:val="Standaard"/>
    <w:rsid w:val="008044D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044D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8044D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8044D1"/>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8044D1"/>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8044D1"/>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8044D1"/>
    <w:rPr>
      <w:vertAlign w:val="superscript"/>
    </w:rPr>
  </w:style>
  <w:style w:type="paragraph" w:styleId="Geenafstand">
    <w:name w:val="No Spacing"/>
    <w:uiPriority w:val="1"/>
    <w:qFormat/>
    <w:rsid w:val="008044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igj.nl%2Fzorgsectoren%2Fgeneesmiddelen%2Fonderzoek-in-laboratoria-glp&amp;data=05%7C02%7Cw.m.peeters%40minlnv.nl%7Cc03b900b37ed4b685ff808de4f6a1e2c%7C1321633ef6b944e2a44f59b9d264ecb7%7C0%7C0%7C639035514365524725%7CUnknown%7CTWFpbGZsb3d8eyJFbXB0eU1hcGkiOnRydWUsIlYiOiIwLjAuMDAwMCIsIlAiOiJXaW4zMiIsIkFOIjoiTWFpbCIsIldUIjoyfQ%3D%3D%7C0%7C%7C%7C&amp;sdata=dYcR1APGdo9trRg7t1Sk9nGpj7Kfe0biDvUzWqdhBDM%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1215</ap:Words>
  <ap:Characters>6688</ap:Characters>
  <ap:DocSecurity>0</ap:DocSecurity>
  <ap:Lines>55</ap:Lines>
  <ap:Paragraphs>15</ap:Paragraphs>
  <ap:ScaleCrop>false</ap:ScaleCrop>
  <ap:LinksUpToDate>false</ap:LinksUpToDate>
  <ap:CharactersWithSpaces>7888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2026-02-02T13:04:00.0000000Z</dcterms:created>
  <dcterms:modified xsi:type="dcterms:W3CDTF">2026-02-02T13:06:00.0000000Z</dcterms:modified>
  <version/>
  <category/>
</coreProperties>
</file>