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2026Z02056</w:t>
        <w:br/>
      </w:r>
      <w:proofErr w:type="spellEnd"/>
    </w:p>
    <w:p>
      <w:pPr>
        <w:pStyle w:val="Normal"/>
        <w:rPr>
          <w:b w:val="1"/>
          <w:bCs w:val="1"/>
        </w:rPr>
      </w:pPr>
      <w:r w:rsidR="250AE766">
        <w:rPr>
          <w:b w:val="0"/>
          <w:bCs w:val="0"/>
        </w:rPr>
        <w:t>(ingezonden 2 februari 2026)</w:t>
        <w:br/>
      </w:r>
    </w:p>
    <w:p>
      <w:r>
        <w:t xml:space="preserve">Vragen van het lid Vermeer (BBB) aan de minister van Sociale Zaken en Werkgelegenheid over de juridische status, werking en het gebruik van de webmodule beoordeling arbeidsrelaties voor zzp’ers.</w:t>
      </w:r>
      <w:r>
        <w:br/>
      </w:r>
    </w:p>
    <w:p>
      <w:r>
        <w:t xml:space="preserve"> </w:t>
      </w:r>
      <w:r>
        <w:br/>
      </w:r>
    </w:p>
    <w:p>
      <w:r>
        <w:t xml:space="preserve"/>
      </w:r>
      <w:r>
        <w:rPr>
          <w:b w:val="1"/>
          <w:bCs w:val="1"/>
        </w:rPr>
        <w:t xml:space="preserve">Vraag 1</w:t>
      </w:r>
      <w:r>
        <w:rPr/>
        <w:t xml:space="preserve">
          <w:br/>
          Herinnert u zich dat u tijdens het commissiedebat Zzp van 18 december 2025 heeft gesteld dat de webmodule “in lijn is gebracht met wet- en regelgeving en ook met geldende jurisprudentie” en dat daarin rekening wordt gehouden met alle gezichtspunten uit het Deliveroo-arrest, inclusief extern ondernemerschap?
        </w:t>
      </w:r>
      <w:r>
        <w:br/>
      </w:r>
    </w:p>
    <w:p>
      <w:r>
        <w:t xml:space="preserve"/>
      </w:r>
      <w:r>
        <w:rPr>
          <w:b w:val="1"/>
          <w:bCs w:val="1"/>
        </w:rPr>
        <w:t xml:space="preserve">Vraag 2</w:t>
      </w:r>
      <w:r>
        <w:rPr/>
        <w:t xml:space="preserve">
          <w:br/>
          Op welke concrete jurisprudentie baseert u de stelling dat de webmodule in lijn is met geldende jurisprudentie?
        </w:t>
      </w:r>
      <w:r>
        <w:br/>
      </w:r>
    </w:p>
    <w:p>
      <w:r>
        <w:t xml:space="preserve"/>
      </w:r>
      <w:r>
        <w:rPr>
          <w:b w:val="1"/>
          <w:bCs w:val="1"/>
        </w:rPr>
        <w:t xml:space="preserve">Vraag 3</w:t>
      </w:r>
      <w:r>
        <w:rPr/>
        <w:t xml:space="preserve">
          <w:br/>
          Op welke wijze past de webmodule de door de Hoge Raad voorgeschreven holistische weging van alle relevante gezichtspunten bij de kwalificatie van arbeidsrelaties toe?
        </w:t>
      </w:r>
      <w:r>
        <w:br/>
      </w:r>
    </w:p>
    <w:p>
      <w:r>
        <w:t xml:space="preserve"/>
      </w:r>
      <w:r>
        <w:rPr>
          <w:b w:val="1"/>
          <w:bCs w:val="1"/>
        </w:rPr>
        <w:t xml:space="preserve">Vraag 4</w:t>
      </w:r>
      <w:r>
        <w:rPr/>
        <w:t xml:space="preserve">
          <w:br/>
          Klopt het dat de webmodule geen expliciete vragen bevat over elementen van extern ondernemerschap, zoals het werken voor meerdere opdrachtgevers, acquisitie en het dragen van ondernemersrisico?
        </w:t>
      </w:r>
      <w:r>
        <w:br/>
      </w:r>
    </w:p>
    <w:p>
      <w:r>
        <w:t xml:space="preserve"/>
      </w:r>
      <w:r>
        <w:rPr>
          <w:b w:val="1"/>
          <w:bCs w:val="1"/>
        </w:rPr>
        <w:t xml:space="preserve">Vraag 5</w:t>
      </w:r>
      <w:r>
        <w:rPr/>
        <w:t xml:space="preserve">
          <w:br/>
          Kunt u de puntentoekenning en wegingssystematiek van de webmodule volledig inzichtelijk maken, inclusief de juridische en beleidsmatige onderbouwing van de aan die systematiek ten grondslag liggende keuzes?
        </w:t>
      </w:r>
      <w:r>
        <w:br/>
      </w:r>
    </w:p>
    <w:p>
      <w:r>
        <w:t xml:space="preserve"/>
      </w:r>
      <w:r>
        <w:rPr>
          <w:b w:val="1"/>
          <w:bCs w:val="1"/>
        </w:rPr>
        <w:t xml:space="preserve">Vraag 6</w:t>
      </w:r>
      <w:r>
        <w:rPr/>
        <w:t xml:space="preserve">
          <w:br/>
          Kunt u bevestigen dat de webmodule binnen de Rijksoverheid en andere overheidsorganisaties wordt gebruikt bij de inhuur van zzp’ers?
        </w:t>
      </w:r>
      <w:r>
        <w:br/>
      </w:r>
    </w:p>
    <w:p>
      <w:r>
        <w:t xml:space="preserve"/>
      </w:r>
      <w:r>
        <w:rPr>
          <w:b w:val="1"/>
          <w:bCs w:val="1"/>
        </w:rPr>
        <w:t xml:space="preserve">Vraag 7</w:t>
      </w:r>
      <w:r>
        <w:rPr/>
        <w:t xml:space="preserve">
          <w:br/>
          Hoe verhoudt het gebruik van de webmodule bij de inhuur van zzp’ers door overheidsorganisaties zich tot uw uitspraak in het commissiedebat van 18 december 2025 dat de webmodule een indicatief hulpmiddel is en geen juridisch bindend karakter heeft?
        </w:t>
      </w:r>
      <w:r>
        <w:br/>
      </w:r>
    </w:p>
    <w:p>
      <w:r>
        <w:t xml:space="preserve"/>
      </w:r>
      <w:r>
        <w:rPr>
          <w:b w:val="1"/>
          <w:bCs w:val="1"/>
        </w:rPr>
        <w:t xml:space="preserve">Vraag 8</w:t>
      </w:r>
      <w:r>
        <w:rPr/>
        <w:t xml:space="preserve">
          <w:br/>
          Kunt u bevestigen dat de Belastingdienst de webmodule gebruikt ter ondersteuning van standpunten in (voor)overleg of handhavingscontexten?
        </w:t>
      </w:r>
      <w:r>
        <w:br/>
      </w:r>
    </w:p>
    <w:p>
      <w:r>
        <w:t xml:space="preserve"/>
      </w:r>
      <w:r>
        <w:rPr>
          <w:b w:val="1"/>
          <w:bCs w:val="1"/>
        </w:rPr>
        <w:t xml:space="preserve">Vraag 9</w:t>
      </w:r>
      <w:r>
        <w:rPr/>
        <w:t xml:space="preserve">
          <w:br/>
          Hoe verhoudt het gebruik van de webmodule door de Belastingdienst zich tot het uitgangspunt dat aan de webmodule geen rechten kunnen worden ontleend en dat deze geen juridisch bindend instrument is?
        </w:t>
      </w:r>
      <w:r>
        <w:br/>
      </w:r>
    </w:p>
    <w:p>
      <w:r>
        <w:t xml:space="preserve"/>
      </w:r>
      <w:r>
        <w:rPr>
          <w:b w:val="1"/>
          <w:bCs w:val="1"/>
        </w:rPr>
        <w:t xml:space="preserve">Vraag 10</w:t>
      </w:r>
      <w:r>
        <w:rPr/>
        <w:t xml:space="preserve">
          <w:br/>
          Bent u bekend met eventuele interne juridische adviezen, signalen of aandachtspunten binnen uw ministerie, de Belastingdienst of andere betrokken uitvoeringsorganisaties waarin wordt gewezen op mogelijke spanning tussen de webmodule en recente jurisprudentie over de kwalificatie van arbeidsrelaties?
        </w:t>
      </w:r>
      <w:r>
        <w:br/>
      </w:r>
    </w:p>
    <w:p>
      <w:r>
        <w:t xml:space="preserve"/>
      </w:r>
      <w:r>
        <w:rPr>
          <w:b w:val="1"/>
          <w:bCs w:val="1"/>
        </w:rPr>
        <w:t xml:space="preserve">Vraag 11</w:t>
      </w:r>
      <w:r>
        <w:rPr/>
        <w:t xml:space="preserve">
          <w:br/>
          Op welke wijze zijn dergelijke signalen, indien aanwezig, betrokken bij de ontwikkeling en het gebruik van de webmodule?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