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B23" w:rsidP="00E93B23" w:rsidRDefault="00E93B23" w14:paraId="66ABE3FA" w14:textId="1191AD17">
      <w:pPr>
        <w:pStyle w:val="Geenafstand"/>
      </w:pPr>
      <w:r>
        <w:t>AH 1011</w:t>
      </w:r>
    </w:p>
    <w:p w:rsidR="00E93B23" w:rsidP="00E93B23" w:rsidRDefault="00E93B23" w14:paraId="58C76068" w14:textId="24297CF7">
      <w:pPr>
        <w:pStyle w:val="Geenafstand"/>
      </w:pPr>
      <w:r w:rsidRPr="004A6051">
        <w:t>2025Z22167</w:t>
      </w:r>
    </w:p>
    <w:p w:rsidR="00E93B23" w:rsidP="00E93B23" w:rsidRDefault="00E93B23" w14:paraId="126F99C8" w14:textId="77777777">
      <w:pPr>
        <w:pStyle w:val="Geenafstand"/>
      </w:pPr>
    </w:p>
    <w:p w:rsidR="00E93B23" w:rsidP="00E93B23" w:rsidRDefault="00E93B23" w14:paraId="5266D5C4" w14:textId="38B8777D">
      <w:pPr>
        <w:pStyle w:val="Geenafstand"/>
        <w:rPr>
          <w:sz w:val="24"/>
          <w:szCs w:val="24"/>
        </w:rPr>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2 februari 2026)</w:t>
      </w:r>
    </w:p>
    <w:p w:rsidR="00E93B23" w:rsidP="00E93B23" w:rsidRDefault="00E93B23" w14:paraId="254D10B8" w14:textId="77777777">
      <w:pPr>
        <w:pStyle w:val="Geenafstand"/>
        <w:rPr>
          <w:sz w:val="24"/>
          <w:szCs w:val="24"/>
        </w:rPr>
      </w:pPr>
    </w:p>
    <w:p w:rsidRPr="00E93B23" w:rsidR="00E93B23" w:rsidP="00E93B23" w:rsidRDefault="00E93B23" w14:paraId="15C5A78B" w14:textId="2527C7BE">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715</w:t>
      </w:r>
    </w:p>
    <w:p w:rsidRPr="004A6051" w:rsidR="00E93B23" w:rsidP="00E93B23" w:rsidRDefault="00E93B23" w14:paraId="73CA5FBA" w14:textId="77777777">
      <w:pPr>
        <w:rPr>
          <w:szCs w:val="18"/>
        </w:rPr>
      </w:pPr>
    </w:p>
    <w:p w:rsidRPr="004A6051" w:rsidR="00E93B23" w:rsidP="00E93B23" w:rsidRDefault="00E93B23" w14:paraId="35C75CA1" w14:textId="77777777">
      <w:pPr>
        <w:rPr>
          <w:szCs w:val="18"/>
        </w:rPr>
      </w:pPr>
      <w:r w:rsidRPr="004A6051">
        <w:rPr>
          <w:szCs w:val="18"/>
        </w:rPr>
        <w:t>1</w:t>
      </w:r>
    </w:p>
    <w:p w:rsidRPr="004A6051" w:rsidR="00E93B23" w:rsidP="00E93B23" w:rsidRDefault="00E93B23" w14:paraId="3C396248" w14:textId="77777777">
      <w:pPr>
        <w:rPr>
          <w:szCs w:val="18"/>
        </w:rPr>
      </w:pPr>
      <w:r w:rsidRPr="004A6051">
        <w:rPr>
          <w:szCs w:val="18"/>
        </w:rPr>
        <w:t>Kunt u bevestigen dat volgens Netbeheer Nederland het aantal unieke verzoeken op de wachtlijst midden- en laagspanning in 2025 is opgelopen tot 14.044 en het wachtlijstvermogen tot 9,1GW?</w:t>
      </w:r>
    </w:p>
    <w:p w:rsidRPr="004A6051" w:rsidR="00E93B23" w:rsidP="00E93B23" w:rsidRDefault="00E93B23" w14:paraId="007C3D2D" w14:textId="77777777">
      <w:pPr>
        <w:rPr>
          <w:szCs w:val="18"/>
        </w:rPr>
      </w:pPr>
    </w:p>
    <w:p w:rsidRPr="004A6051" w:rsidR="00E93B23" w:rsidP="00E93B23" w:rsidRDefault="00E93B23" w14:paraId="394392BB" w14:textId="77777777">
      <w:pPr>
        <w:rPr>
          <w:szCs w:val="18"/>
        </w:rPr>
      </w:pPr>
      <w:r w:rsidRPr="004A6051">
        <w:rPr>
          <w:szCs w:val="18"/>
        </w:rPr>
        <w:t>Antwoord</w:t>
      </w:r>
    </w:p>
    <w:p w:rsidRPr="004A6051" w:rsidR="00E93B23" w:rsidP="00E93B23" w:rsidRDefault="00E93B23" w14:paraId="7060F04A" w14:textId="77777777">
      <w:pPr>
        <w:rPr>
          <w:szCs w:val="18"/>
        </w:rPr>
      </w:pPr>
      <w:r w:rsidRPr="004A6051">
        <w:rPr>
          <w:szCs w:val="18"/>
        </w:rPr>
        <w:t xml:space="preserve">Ja. Volgens de laatste cijfers van Netbeheer Nederland (stand op 1 juli 2025) </w:t>
      </w:r>
      <w:r>
        <w:rPr>
          <w:szCs w:val="18"/>
        </w:rPr>
        <w:t xml:space="preserve">en zoals gecommuniceerd in de Kamerbrief Aanpak Netcongestie van oktober jl. </w:t>
      </w:r>
      <w:r w:rsidRPr="004A6051">
        <w:rPr>
          <w:szCs w:val="18"/>
        </w:rPr>
        <w:t>staan er 14.044 verzoeken van grootverbruikers in de wachtrij voor midden- en laagspanning bij de regionale netbeheerder</w:t>
      </w:r>
      <w:r>
        <w:rPr>
          <w:szCs w:val="18"/>
        </w:rPr>
        <w:t>s</w:t>
      </w:r>
      <w:r w:rsidRPr="004A6051">
        <w:rPr>
          <w:szCs w:val="18"/>
        </w:rPr>
        <w:t xml:space="preserve">, voor afname van in totaal 9,1 GW. Daarnaast staan er 8.539 verzoeken </w:t>
      </w:r>
      <w:r>
        <w:rPr>
          <w:szCs w:val="18"/>
        </w:rPr>
        <w:t xml:space="preserve">van grootverbruikers </w:t>
      </w:r>
      <w:r w:rsidRPr="004A6051">
        <w:rPr>
          <w:szCs w:val="18"/>
        </w:rPr>
        <w:t>voor invoeding op midden- en laagspanning bij de regionale netbeheerder</w:t>
      </w:r>
      <w:r>
        <w:rPr>
          <w:szCs w:val="18"/>
        </w:rPr>
        <w:t>s</w:t>
      </w:r>
      <w:r w:rsidRPr="004A6051">
        <w:rPr>
          <w:szCs w:val="18"/>
        </w:rPr>
        <w:t xml:space="preserve"> op de wachtrij, met een totaal vermogen van 4,6 GW.</w:t>
      </w:r>
      <w:r w:rsidRPr="004A6051">
        <w:rPr>
          <w:szCs w:val="18"/>
          <w:vertAlign w:val="superscript"/>
        </w:rPr>
        <w:footnoteReference w:id="1"/>
      </w:r>
      <w:r w:rsidRPr="004A6051">
        <w:rPr>
          <w:szCs w:val="18"/>
        </w:rPr>
        <w:t xml:space="preserve"> In maart 2026 zal Netbeheer Nederland met een update van deze cijfers komen. </w:t>
      </w:r>
    </w:p>
    <w:p w:rsidRPr="004A6051" w:rsidR="00E93B23" w:rsidP="00E93B23" w:rsidRDefault="00E93B23" w14:paraId="51EF42D0" w14:textId="77777777">
      <w:pPr>
        <w:rPr>
          <w:szCs w:val="18"/>
        </w:rPr>
      </w:pPr>
    </w:p>
    <w:p w:rsidRPr="004A6051" w:rsidR="00E93B23" w:rsidP="00E93B23" w:rsidRDefault="00E93B23" w14:paraId="62E3102F" w14:textId="77777777">
      <w:pPr>
        <w:rPr>
          <w:szCs w:val="18"/>
        </w:rPr>
      </w:pPr>
      <w:r w:rsidRPr="004A6051">
        <w:rPr>
          <w:szCs w:val="18"/>
        </w:rPr>
        <w:t>2</w:t>
      </w:r>
    </w:p>
    <w:p w:rsidRPr="004A6051" w:rsidR="00E93B23" w:rsidP="00E93B23" w:rsidRDefault="00E93B23" w14:paraId="3BF0C71F" w14:textId="77777777">
      <w:pPr>
        <w:rPr>
          <w:szCs w:val="18"/>
        </w:rPr>
      </w:pPr>
      <w:r w:rsidRPr="004A6051">
        <w:rPr>
          <w:szCs w:val="18"/>
        </w:rPr>
        <w:t xml:space="preserve">Hoeveel aanvragen op wachtlijsten betreffen (a) MKB, (b) grootverbruik/industrie, (c) maatschappelijke instellingen, en wat zijn de mediane wachttijden per categorie en regio? </w:t>
      </w:r>
    </w:p>
    <w:p w:rsidRPr="004A6051" w:rsidR="00E93B23" w:rsidP="00E93B23" w:rsidRDefault="00E93B23" w14:paraId="1F13C741" w14:textId="77777777">
      <w:pPr>
        <w:rPr>
          <w:szCs w:val="18"/>
        </w:rPr>
      </w:pPr>
    </w:p>
    <w:p w:rsidRPr="004A6051" w:rsidR="00E93B23" w:rsidP="00E93B23" w:rsidRDefault="00E93B23" w14:paraId="54CFDE08" w14:textId="77777777">
      <w:pPr>
        <w:rPr>
          <w:szCs w:val="18"/>
        </w:rPr>
      </w:pPr>
      <w:bookmarkStart w:name="_Hlk219366847" w:id="0"/>
      <w:r w:rsidRPr="004A6051">
        <w:rPr>
          <w:szCs w:val="18"/>
        </w:rPr>
        <w:t>Antwoord</w:t>
      </w:r>
    </w:p>
    <w:p w:rsidRPr="004A6051" w:rsidR="00E93B23" w:rsidP="00E93B23" w:rsidRDefault="00E93B23" w14:paraId="4585B571" w14:textId="77777777">
      <w:pPr>
        <w:rPr>
          <w:szCs w:val="18"/>
        </w:rPr>
      </w:pPr>
      <w:r w:rsidRPr="004A6051">
        <w:rPr>
          <w:szCs w:val="18"/>
        </w:rPr>
        <w:t>Informatie over hoeveel partijen er van verschillende categorieën op de wachtlijst staan is niet beschikbaar. In de meest recente voortgangsrapportage netcongestie</w:t>
      </w:r>
      <w:r w:rsidRPr="004A6051">
        <w:rPr>
          <w:szCs w:val="18"/>
          <w:vertAlign w:val="superscript"/>
        </w:rPr>
        <w:footnoteReference w:id="2"/>
      </w:r>
      <w:r w:rsidRPr="004A6051">
        <w:rPr>
          <w:szCs w:val="18"/>
        </w:rPr>
        <w:t xml:space="preserve"> is wel aangegeven dat er 362 partijen in de prioriteitscategorie nationale veiligheid en 295 partijen in de prioriteitscategorie basisbehoeften op de wachtrij staan. Dit zijn met name (maatschappelijke) instellingen, maar kunnen ook bedrijven zijn die vallen onder een van deze categorieën uit het </w:t>
      </w:r>
      <w:r w:rsidRPr="004A6051">
        <w:rPr>
          <w:szCs w:val="18"/>
        </w:rPr>
        <w:lastRenderedPageBreak/>
        <w:t>prioriteringskader. De netbeheerders werken aan het verbeteren van het inzicht in de categorieën van bedrijven op de wachtrij. De mediane wachttijd van partijen op de wachtrij is niet beschikbaar. De capaciteitskaart van Netbeheer Nederland</w:t>
      </w:r>
      <w:r w:rsidRPr="004A6051">
        <w:rPr>
          <w:szCs w:val="18"/>
          <w:vertAlign w:val="superscript"/>
        </w:rPr>
        <w:footnoteReference w:id="3"/>
      </w:r>
      <w:r w:rsidRPr="004A6051">
        <w:rPr>
          <w:szCs w:val="18"/>
        </w:rPr>
        <w:t xml:space="preserve"> laat wel zien wanneer de belangrijkste knelpunten per gebied zijn opgelost en geven daarmee een indicatie van de wachttijd per gebied.</w:t>
      </w:r>
    </w:p>
    <w:bookmarkEnd w:id="0"/>
    <w:p w:rsidRPr="004A6051" w:rsidR="00E93B23" w:rsidP="00E93B23" w:rsidRDefault="00E93B23" w14:paraId="358E9667" w14:textId="77777777">
      <w:pPr>
        <w:rPr>
          <w:szCs w:val="18"/>
        </w:rPr>
      </w:pPr>
    </w:p>
    <w:p w:rsidRPr="004A6051" w:rsidR="00E93B23" w:rsidP="00E93B23" w:rsidRDefault="00E93B23" w14:paraId="3A2CCBE7" w14:textId="77777777">
      <w:pPr>
        <w:rPr>
          <w:szCs w:val="18"/>
        </w:rPr>
      </w:pPr>
      <w:r w:rsidRPr="004A6051">
        <w:rPr>
          <w:szCs w:val="18"/>
        </w:rPr>
        <w:t>3</w:t>
      </w:r>
    </w:p>
    <w:p w:rsidRPr="004A6051" w:rsidR="00E93B23" w:rsidP="00E93B23" w:rsidRDefault="00E93B23" w14:paraId="639738A1" w14:textId="77777777">
      <w:pPr>
        <w:rPr>
          <w:szCs w:val="18"/>
        </w:rPr>
      </w:pPr>
      <w:r w:rsidRPr="004A6051">
        <w:rPr>
          <w:szCs w:val="18"/>
        </w:rPr>
        <w:t>Deelt u de analyse dat netcongestie zowel schaalvergroting als verduurzaming vertraagt en dat in regionale industrie bijna driekwart van verduurzamingsplannen niet tijdig kan doorgaan door tekort aan energie infrastructuur?</w:t>
      </w:r>
    </w:p>
    <w:p w:rsidRPr="004A6051" w:rsidR="00E93B23" w:rsidP="00E93B23" w:rsidRDefault="00E93B23" w14:paraId="3B645EEA" w14:textId="77777777">
      <w:pPr>
        <w:rPr>
          <w:szCs w:val="18"/>
        </w:rPr>
      </w:pPr>
    </w:p>
    <w:p w:rsidRPr="004A6051" w:rsidR="00E93B23" w:rsidP="00E93B23" w:rsidRDefault="00E93B23" w14:paraId="149A1C77" w14:textId="77777777">
      <w:pPr>
        <w:rPr>
          <w:szCs w:val="18"/>
        </w:rPr>
      </w:pPr>
      <w:r w:rsidRPr="004A6051">
        <w:rPr>
          <w:szCs w:val="18"/>
        </w:rPr>
        <w:t>Antwoord</w:t>
      </w:r>
    </w:p>
    <w:p w:rsidRPr="004A6051" w:rsidR="00E93B23" w:rsidP="00E93B23" w:rsidRDefault="00E93B23" w14:paraId="7742B275" w14:textId="77777777">
      <w:pPr>
        <w:rPr>
          <w:szCs w:val="18"/>
        </w:rPr>
      </w:pPr>
      <w:r w:rsidRPr="004A6051">
        <w:rPr>
          <w:szCs w:val="18"/>
        </w:rPr>
        <w:t xml:space="preserve">Netcongestie zit inderdaad zowel uitbreiding als verduurzaming van bedrijven in de weg. In de cluster energiestrategie (CES) </w:t>
      </w:r>
      <w:r>
        <w:rPr>
          <w:szCs w:val="18"/>
        </w:rPr>
        <w:t>van</w:t>
      </w:r>
      <w:r w:rsidRPr="004A6051">
        <w:rPr>
          <w:szCs w:val="18"/>
        </w:rPr>
        <w:t xml:space="preserve"> cluster 6, waar de regionale industrie gevestigd is, is inderdaad opgenomen dat 73% van de verduurzamingsplannen niet voor 2030 kan doorgaan door het ontbreken van energie-infrastructuur</w:t>
      </w:r>
      <w:r>
        <w:rPr>
          <w:szCs w:val="18"/>
        </w:rPr>
        <w:t xml:space="preserve"> (publicatie</w:t>
      </w:r>
      <w:r w:rsidRPr="004A6051">
        <w:rPr>
          <w:szCs w:val="18"/>
        </w:rPr>
        <w:t xml:space="preserve"> januari 2025</w:t>
      </w:r>
      <w:r>
        <w:rPr>
          <w:szCs w:val="18"/>
        </w:rPr>
        <w:t>)</w:t>
      </w:r>
      <w:r w:rsidRPr="004A6051">
        <w:rPr>
          <w:szCs w:val="18"/>
        </w:rPr>
        <w:t>. De grootste knelpunten die in het rapport worden genoemd zijn, naast netcongestie, de lange afstand tot de hoofdinfrastructuur, het uitblijven van tijdige infrastructuur voor waterstof en CO</w:t>
      </w:r>
      <w:r w:rsidRPr="004A6051">
        <w:rPr>
          <w:szCs w:val="18"/>
          <w:vertAlign w:val="subscript"/>
        </w:rPr>
        <w:t>2</w:t>
      </w:r>
      <w:r w:rsidRPr="004A6051">
        <w:rPr>
          <w:szCs w:val="18"/>
        </w:rPr>
        <w:t xml:space="preserve">, en onvoldoende beschikbaarheid van bio/groen gas en warmte. </w:t>
      </w:r>
    </w:p>
    <w:p w:rsidRPr="004A6051" w:rsidR="00E93B23" w:rsidP="00E93B23" w:rsidRDefault="00E93B23" w14:paraId="54C5194E" w14:textId="77777777">
      <w:pPr>
        <w:rPr>
          <w:szCs w:val="18"/>
        </w:rPr>
      </w:pPr>
    </w:p>
    <w:p w:rsidRPr="004A6051" w:rsidR="00E93B23" w:rsidP="00E93B23" w:rsidRDefault="00E93B23" w14:paraId="2868A745" w14:textId="77777777">
      <w:pPr>
        <w:rPr>
          <w:szCs w:val="18"/>
        </w:rPr>
      </w:pPr>
      <w:r w:rsidRPr="004A6051">
        <w:rPr>
          <w:szCs w:val="18"/>
        </w:rPr>
        <w:t>4</w:t>
      </w:r>
    </w:p>
    <w:p w:rsidRPr="004A6051" w:rsidR="00E93B23" w:rsidP="00E93B23" w:rsidRDefault="00E93B23" w14:paraId="51E5C50D" w14:textId="77777777">
      <w:pPr>
        <w:rPr>
          <w:szCs w:val="18"/>
        </w:rPr>
      </w:pPr>
      <w:r w:rsidRPr="004A6051">
        <w:rPr>
          <w:szCs w:val="18"/>
        </w:rPr>
        <w:t>Welke concrete stabiliteits- en veiligheidsmarges leiden er volgens u toe dat netten gemiddeld slechts 30% benut worden, en welke ruimte ziet u voor risicogebaseerde herijking zonder leveringszekerheid te schaden?</w:t>
      </w:r>
    </w:p>
    <w:p w:rsidRPr="004A6051" w:rsidR="00E93B23" w:rsidP="00E93B23" w:rsidRDefault="00E93B23" w14:paraId="76C56C65" w14:textId="77777777">
      <w:pPr>
        <w:rPr>
          <w:szCs w:val="18"/>
        </w:rPr>
      </w:pPr>
    </w:p>
    <w:p w:rsidRPr="004A6051" w:rsidR="00E93B23" w:rsidP="00E93B23" w:rsidRDefault="00E93B23" w14:paraId="0EDC5562" w14:textId="77777777">
      <w:pPr>
        <w:rPr>
          <w:szCs w:val="18"/>
        </w:rPr>
      </w:pPr>
      <w:r w:rsidRPr="004A6051">
        <w:rPr>
          <w:szCs w:val="18"/>
        </w:rPr>
        <w:t>Antwoord</w:t>
      </w:r>
    </w:p>
    <w:p w:rsidRPr="004C55DC" w:rsidR="00E93B23" w:rsidP="00E93B23" w:rsidRDefault="00E93B23" w14:paraId="35C4394A" w14:textId="77777777">
      <w:pPr>
        <w:rPr>
          <w:szCs w:val="18"/>
        </w:rPr>
      </w:pPr>
      <w:r w:rsidRPr="004A6051">
        <w:rPr>
          <w:szCs w:val="18"/>
        </w:rPr>
        <w:t xml:space="preserve">Stabiliteits- en veiligheidsmarges hebben betrekking op het aanhouden van reservecapaciteit. TenneT is wettelijk verplicht om voor het hoogspanningsnet extra componenten aan te leggen (de zogenaamde 'vluchtstrook’ of reservecapaciteit) zodat stroom beschikbaar blijft tijdens onderhoud of een storing. Uitval op het TenneT-net kan namelijk uitval voor een hele provincie betekenen. Door de grote uitbreidingsopgave van het net zal de gereserveerde ruimte voor onderhoud ook de komende jaren hard nodig zijn. Het ministerie van KGG onderzoekt samen met de ACM en de netbeheerders de mogelijkheden om het elektriciteitsnet zwaarder te belasten. Hierbij wordt ook </w:t>
      </w:r>
      <w:r w:rsidRPr="004A6051">
        <w:rPr>
          <w:szCs w:val="18"/>
        </w:rPr>
        <w:lastRenderedPageBreak/>
        <w:t xml:space="preserve">geanalyseerd hoeveel procent van het net momenteel gebruikt wordt. Het onderzoek verkent ook de mogelijkheden rondom het nemen van meer risico en mogelijke beleidsopties rondom het zwaarder belasten van het net. Het onderzoek zal eind maart bij de komende voortgangsrapportage worden gedeeld met de Kamer. </w:t>
      </w:r>
      <w:r w:rsidRPr="004C55DC">
        <w:rPr>
          <w:szCs w:val="18"/>
        </w:rPr>
        <w:t xml:space="preserve">Hierbij wordt ook gekeken naar de daadwerkelijke gemiddelde benutting van het net. Of dit daadwerkelijk 30% is, is nog niet bekend. Een gemiddelde benutting zegt overigens weinig over de daadwerkelijke benutting in een specifiek gebied. Dit is immers sterk afhankelijk van de specifieke situatie, veiligheidseisen en bijvoorbeeld hoe groot de verwachte groei achter de meter is tot het moment van uitbreiding. </w:t>
      </w:r>
    </w:p>
    <w:p w:rsidRPr="004A6051" w:rsidR="00E93B23" w:rsidP="00E93B23" w:rsidRDefault="00E93B23" w14:paraId="43D6978F" w14:textId="77777777">
      <w:pPr>
        <w:rPr>
          <w:szCs w:val="18"/>
        </w:rPr>
      </w:pPr>
    </w:p>
    <w:p w:rsidRPr="004A6051" w:rsidR="00E93B23" w:rsidP="00E93B23" w:rsidRDefault="00E93B23" w14:paraId="1A813453" w14:textId="77777777">
      <w:pPr>
        <w:rPr>
          <w:szCs w:val="18"/>
        </w:rPr>
      </w:pPr>
      <w:r w:rsidRPr="004A6051">
        <w:rPr>
          <w:szCs w:val="18"/>
        </w:rPr>
        <w:t>Veiligheidsmarges hebben ook betrekking op de wijze waarop netbeheerders omgaan met de verwachte elektriciteitsvraag. Deze prognoses zijn van belang bij het bepalen of er netcongestie kan optreden. Dit betreft bijvoorbeeld de verwachte toename van de elektriciteitsvraag bij bestaande aansluitingen. Daarbij zijn de voorspellingen en onzekerheden rondom deze groei cruciaal. Het kabinet werkt samen met de netbeheerders, de ACM en het bedrijfsleven aan een doorbraakaanpak voor betere benutting van het net. Het verbeteren van de prognoses maakt hier onderdeel van uit. De Kamer wordt binnenkort geïnformeerd over de uitkomsten van deze doorbraakaanpak.</w:t>
      </w:r>
    </w:p>
    <w:p w:rsidRPr="004A6051" w:rsidR="00E93B23" w:rsidP="00E93B23" w:rsidRDefault="00E93B23" w14:paraId="69C112CA" w14:textId="77777777">
      <w:pPr>
        <w:rPr>
          <w:szCs w:val="18"/>
        </w:rPr>
      </w:pPr>
    </w:p>
    <w:p w:rsidRPr="004A6051" w:rsidR="00E93B23" w:rsidP="00E93B23" w:rsidRDefault="00E93B23" w14:paraId="2EFAC9E4" w14:textId="77777777">
      <w:pPr>
        <w:rPr>
          <w:szCs w:val="18"/>
        </w:rPr>
      </w:pPr>
      <w:r w:rsidRPr="004A6051">
        <w:rPr>
          <w:szCs w:val="18"/>
        </w:rPr>
        <w:t>5</w:t>
      </w:r>
    </w:p>
    <w:p w:rsidRPr="004A6051" w:rsidR="00E93B23" w:rsidP="00E93B23" w:rsidRDefault="00E93B23" w14:paraId="662008FE" w14:textId="77777777">
      <w:pPr>
        <w:rPr>
          <w:szCs w:val="18"/>
        </w:rPr>
      </w:pPr>
      <w:r w:rsidRPr="004A6051">
        <w:rPr>
          <w:szCs w:val="18"/>
        </w:rPr>
        <w:t>Hoeveel “Zeeland achtige” flexibiliteitsdeals (zoals TenneT–Air Liquide) zijn sinds 2024 gesloten, en welke juridische/financiële/ACM belemmeringen remmen opschaling?</w:t>
      </w:r>
    </w:p>
    <w:p w:rsidRPr="004A6051" w:rsidR="00E93B23" w:rsidP="00E93B23" w:rsidRDefault="00E93B23" w14:paraId="7605D7F4" w14:textId="77777777">
      <w:pPr>
        <w:rPr>
          <w:szCs w:val="18"/>
        </w:rPr>
      </w:pPr>
    </w:p>
    <w:p w:rsidRPr="004A6051" w:rsidR="00E93B23" w:rsidP="00E93B23" w:rsidRDefault="00E93B23" w14:paraId="593AAA1E" w14:textId="77777777">
      <w:pPr>
        <w:rPr>
          <w:szCs w:val="18"/>
        </w:rPr>
      </w:pPr>
      <w:r w:rsidRPr="004A6051">
        <w:rPr>
          <w:szCs w:val="18"/>
        </w:rPr>
        <w:t>Antwoord</w:t>
      </w:r>
    </w:p>
    <w:p w:rsidR="00E93B23" w:rsidP="00E93B23" w:rsidRDefault="00E93B23" w14:paraId="3A9D321E" w14:textId="77777777">
      <w:pPr>
        <w:rPr>
          <w:szCs w:val="18"/>
        </w:rPr>
      </w:pPr>
      <w:r w:rsidRPr="004A6051">
        <w:rPr>
          <w:szCs w:val="18"/>
        </w:rPr>
        <w:t>TenneT heeft nog één andere vergelijkbare afspraak gesloten.</w:t>
      </w:r>
      <w:r w:rsidRPr="004A6051">
        <w:rPr>
          <w:szCs w:val="18"/>
          <w:vertAlign w:val="superscript"/>
        </w:rPr>
        <w:footnoteReference w:id="4"/>
      </w:r>
      <w:r w:rsidRPr="004A6051">
        <w:rPr>
          <w:szCs w:val="18"/>
        </w:rPr>
        <w:t xml:space="preserve"> In beide gevallen werd (een deel van) reeds toegekende vaste (‘firm’) capaciteit omgezet naar een tijdsduurgebonden contract (TDTR). Hierbij kan TenneT het transportrecht maximaal 15% van het aantal uren in het jaar beperken en krijgt het bedrijf een korting op de nettarieven. In beide gevallen was er sprake van specifieke omstandigheden: het bedrijf was bereid reeds toegekende firm capaciteit om te zetten naar flexibele capaciteit en er was genoeg capaciteit beschikbaar op de rustige momenten om de aanvraag in te kunnen passen. De vrijgekomen transportcapaciteit kon vervolgens worden uitgegeven aan partijen op de wachtrij.</w:t>
      </w:r>
      <w:r>
        <w:rPr>
          <w:szCs w:val="18"/>
        </w:rPr>
        <w:t xml:space="preserve"> Deze nieuwe contractvorm is mogelijk sinds 2024. </w:t>
      </w:r>
    </w:p>
    <w:p w:rsidR="00E93B23" w:rsidP="00E93B23" w:rsidRDefault="00E93B23" w14:paraId="3B986DFC" w14:textId="77777777">
      <w:pPr>
        <w:rPr>
          <w:szCs w:val="18"/>
        </w:rPr>
      </w:pPr>
      <w:r w:rsidRPr="004A6051">
        <w:rPr>
          <w:szCs w:val="18"/>
        </w:rPr>
        <w:lastRenderedPageBreak/>
        <w:t xml:space="preserve">Naast deze twee zijn er </w:t>
      </w:r>
      <w:r>
        <w:rPr>
          <w:szCs w:val="18"/>
        </w:rPr>
        <w:t xml:space="preserve">sindsdien </w:t>
      </w:r>
      <w:r w:rsidRPr="004A6051">
        <w:rPr>
          <w:szCs w:val="18"/>
        </w:rPr>
        <w:t>nog negentien andere TDTR-contracten gesloten</w:t>
      </w:r>
      <w:r>
        <w:rPr>
          <w:szCs w:val="18"/>
        </w:rPr>
        <w:t xml:space="preserve">. Dit betreft </w:t>
      </w:r>
      <w:r w:rsidRPr="004A6051">
        <w:rPr>
          <w:szCs w:val="18"/>
        </w:rPr>
        <w:t>partijen op de wachtrij die met dit contract (flexibel) konden worden aangesloten</w:t>
      </w:r>
      <w:r>
        <w:rPr>
          <w:szCs w:val="18"/>
        </w:rPr>
        <w:t xml:space="preserve">, zonder </w:t>
      </w:r>
      <w:r w:rsidRPr="004A6051">
        <w:rPr>
          <w:szCs w:val="18"/>
        </w:rPr>
        <w:t xml:space="preserve">effect op andere partijen op de wachtrij. Flexibiliteit via alternatieve transportrechten zoals de TDTR is vooral </w:t>
      </w:r>
      <w:r>
        <w:rPr>
          <w:szCs w:val="18"/>
        </w:rPr>
        <w:t>aantrekkelijk</w:t>
      </w:r>
      <w:r w:rsidRPr="004A6051">
        <w:rPr>
          <w:szCs w:val="18"/>
        </w:rPr>
        <w:t xml:space="preserve"> voor een bedrijf als oplossing om, ondanks de wachtrij, toch (flexibele) transportcapaciteit te kunnen krijgen. </w:t>
      </w:r>
    </w:p>
    <w:p w:rsidR="00E93B23" w:rsidP="00E93B23" w:rsidRDefault="00E93B23" w14:paraId="61C02227" w14:textId="77777777">
      <w:pPr>
        <w:rPr>
          <w:szCs w:val="18"/>
        </w:rPr>
      </w:pPr>
    </w:p>
    <w:p w:rsidRPr="004A6051" w:rsidR="00E93B23" w:rsidP="00E93B23" w:rsidRDefault="00E93B23" w14:paraId="22EB288F" w14:textId="77777777">
      <w:pPr>
        <w:rPr>
          <w:szCs w:val="18"/>
        </w:rPr>
      </w:pPr>
      <w:r>
        <w:rPr>
          <w:szCs w:val="18"/>
        </w:rPr>
        <w:t>Ruimte voor nieuwe of zwaardere aansluitingen wordt wel gerealiseerd met</w:t>
      </w:r>
      <w:r w:rsidRPr="004A6051">
        <w:rPr>
          <w:szCs w:val="18"/>
        </w:rPr>
        <w:t xml:space="preserve"> congestiemanagementproducten (capaciteitssturingscontract en redispatch). Hierbij passen bestaande grote netgebruikers, tegen vergoeding, hun elektriciteitsbehoefte aan wanneer het net overbelast dreigt te raken. Dit maakt het voor de netbeheerder mogelijk om extra aan te sluiten. Bij de volgende voortgangsrapportage in maart word</w:t>
      </w:r>
      <w:r>
        <w:rPr>
          <w:szCs w:val="18"/>
        </w:rPr>
        <w:t>t</w:t>
      </w:r>
      <w:r w:rsidRPr="004A6051">
        <w:rPr>
          <w:szCs w:val="18"/>
        </w:rPr>
        <w:t xml:space="preserve"> het aantal in 2025 afgesloten congestiemanagementcontracten bij de landelijke en regionale netbeheerders gepubliceerd. </w:t>
      </w:r>
    </w:p>
    <w:p w:rsidRPr="004A6051" w:rsidR="00E93B23" w:rsidP="00E93B23" w:rsidRDefault="00E93B23" w14:paraId="327FA920" w14:textId="77777777">
      <w:pPr>
        <w:rPr>
          <w:szCs w:val="18"/>
        </w:rPr>
      </w:pPr>
    </w:p>
    <w:p w:rsidRPr="004A6051" w:rsidR="00E93B23" w:rsidP="00E93B23" w:rsidRDefault="00E93B23" w14:paraId="66880CC9" w14:textId="77777777">
      <w:pPr>
        <w:rPr>
          <w:szCs w:val="18"/>
        </w:rPr>
      </w:pPr>
      <w:r>
        <w:rPr>
          <w:szCs w:val="18"/>
        </w:rPr>
        <w:t>In de laatste brief over de voortgang aanpak netcongestie</w:t>
      </w:r>
      <w:r>
        <w:rPr>
          <w:rStyle w:val="Voetnootmarkering"/>
          <w:szCs w:val="18"/>
        </w:rPr>
        <w:footnoteReference w:id="5"/>
      </w:r>
      <w:r>
        <w:rPr>
          <w:szCs w:val="18"/>
        </w:rPr>
        <w:t xml:space="preserve"> zijn de knelpunten benoemd die </w:t>
      </w:r>
      <w:r w:rsidRPr="004A6051">
        <w:rPr>
          <w:szCs w:val="18"/>
        </w:rPr>
        <w:t>grootschalige uitrol van alternatieve transport</w:t>
      </w:r>
      <w:r>
        <w:rPr>
          <w:szCs w:val="18"/>
        </w:rPr>
        <w:t>c</w:t>
      </w:r>
      <w:r w:rsidRPr="004A6051">
        <w:rPr>
          <w:szCs w:val="18"/>
        </w:rPr>
        <w:t>ontracten</w:t>
      </w:r>
      <w:r>
        <w:rPr>
          <w:szCs w:val="18"/>
        </w:rPr>
        <w:t xml:space="preserve"> in de weg staan. </w:t>
      </w:r>
      <w:r w:rsidRPr="004A6051">
        <w:rPr>
          <w:szCs w:val="18"/>
        </w:rPr>
        <w:t>Netbeheerders moeten ervaring opdoen met het aan de man brengen van deze nieuwe producten. Zij moeten daarvoor meer transparantie bieden in waar welke flexibiliteit nodig is</w:t>
      </w:r>
      <w:r>
        <w:rPr>
          <w:szCs w:val="18"/>
        </w:rPr>
        <w:t>. M</w:t>
      </w:r>
      <w:r w:rsidRPr="00DC2210">
        <w:rPr>
          <w:szCs w:val="18"/>
        </w:rPr>
        <w:t xml:space="preserve">arktpartijen </w:t>
      </w:r>
      <w:r>
        <w:rPr>
          <w:szCs w:val="18"/>
        </w:rPr>
        <w:t>moeten</w:t>
      </w:r>
      <w:r w:rsidRPr="00DC2210">
        <w:rPr>
          <w:szCs w:val="18"/>
        </w:rPr>
        <w:t xml:space="preserve"> worden bewogen om flexibeler met gebruik en invoeding van elektriciteit om te gaan.</w:t>
      </w:r>
      <w:r>
        <w:rPr>
          <w:szCs w:val="18"/>
        </w:rPr>
        <w:t xml:space="preserve"> </w:t>
      </w:r>
      <w:r w:rsidRPr="004A6051">
        <w:rPr>
          <w:szCs w:val="18"/>
        </w:rPr>
        <w:t xml:space="preserve">Het kabinet werkt samen met de netbeheerders, de ACM en het bedrijfsleven aan een doorbraakaanpak voor betere benutting van het net. </w:t>
      </w:r>
      <w:r>
        <w:rPr>
          <w:szCs w:val="18"/>
        </w:rPr>
        <w:t xml:space="preserve">Oplossingen om deze knelpunten te doorbreken maken hier </w:t>
      </w:r>
      <w:r w:rsidRPr="004A6051">
        <w:rPr>
          <w:szCs w:val="18"/>
        </w:rPr>
        <w:t>onderdeel van uit. De Kamer wordt binnenkort geïnformeerd over de uitkomsten van deze doorbraakaanpak.</w:t>
      </w:r>
    </w:p>
    <w:p w:rsidRPr="004A6051" w:rsidR="00E93B23" w:rsidP="00E93B23" w:rsidRDefault="00E93B23" w14:paraId="0C5F64E6" w14:textId="77777777">
      <w:pPr>
        <w:rPr>
          <w:szCs w:val="18"/>
        </w:rPr>
      </w:pPr>
    </w:p>
    <w:p w:rsidRPr="004A6051" w:rsidR="00E93B23" w:rsidP="00E93B23" w:rsidRDefault="00E93B23" w14:paraId="42AE71EB" w14:textId="77777777">
      <w:pPr>
        <w:rPr>
          <w:szCs w:val="18"/>
        </w:rPr>
      </w:pPr>
      <w:r w:rsidRPr="004A6051">
        <w:rPr>
          <w:szCs w:val="18"/>
        </w:rPr>
        <w:t>6</w:t>
      </w:r>
    </w:p>
    <w:p w:rsidRPr="004A6051" w:rsidR="00E93B23" w:rsidP="00E93B23" w:rsidRDefault="00E93B23" w14:paraId="39551E36" w14:textId="77777777">
      <w:pPr>
        <w:rPr>
          <w:szCs w:val="18"/>
        </w:rPr>
      </w:pPr>
      <w:r w:rsidRPr="004A6051">
        <w:rPr>
          <w:szCs w:val="18"/>
        </w:rPr>
        <w:t>Erkent u dat regionale afstemming over locaties voor energieprojecten tot 10 jaar kan duren en dat dit samenhangt met te weinig ruimtelijke regie op elektriciteitsinfrastructuur? Welke maximale doorlooptijden gaat u hanteren voor locatiekeuze en vergunningen voor netprojecten?</w:t>
      </w:r>
    </w:p>
    <w:p w:rsidRPr="004A6051" w:rsidR="00E93B23" w:rsidP="00E93B23" w:rsidRDefault="00E93B23" w14:paraId="1174CF4B" w14:textId="77777777">
      <w:pPr>
        <w:rPr>
          <w:szCs w:val="18"/>
        </w:rPr>
      </w:pPr>
    </w:p>
    <w:p w:rsidRPr="004A6051" w:rsidR="00E93B23" w:rsidP="00E93B23" w:rsidRDefault="00E93B23" w14:paraId="49412346" w14:textId="77777777">
      <w:pPr>
        <w:rPr>
          <w:szCs w:val="18"/>
        </w:rPr>
      </w:pPr>
      <w:r w:rsidRPr="004A6051">
        <w:rPr>
          <w:szCs w:val="18"/>
        </w:rPr>
        <w:t>Antwoord</w:t>
      </w:r>
    </w:p>
    <w:p w:rsidR="00E93B23" w:rsidP="00E93B23" w:rsidRDefault="00E93B23" w14:paraId="62F302A7" w14:textId="77777777">
      <w:pPr>
        <w:rPr>
          <w:szCs w:val="18"/>
        </w:rPr>
      </w:pPr>
      <w:r w:rsidRPr="004A6051">
        <w:rPr>
          <w:szCs w:val="18"/>
        </w:rPr>
        <w:t xml:space="preserve">Het kabinet herkent de duur van 10 jaar voor het gehele realisatieproces van energie-infrastructuurprojecten. Dit omvat meer dan alleen afstemming over locaties. Hierin zit ook technische verkenning, milieu-effectonderzoeken, vergunningverlening volgend op het locatiebesluit, bezwaar- en </w:t>
      </w:r>
      <w:r w:rsidRPr="004A6051">
        <w:rPr>
          <w:szCs w:val="18"/>
        </w:rPr>
        <w:lastRenderedPageBreak/>
        <w:t xml:space="preserve">beroepsprocedures, en de bouw van het project. Het kabinet werkt aan het verkorten van deze totale doorlooptijd, </w:t>
      </w:r>
      <w:r>
        <w:rPr>
          <w:szCs w:val="18"/>
        </w:rPr>
        <w:t>zoals aangegeven</w:t>
      </w:r>
      <w:r w:rsidRPr="004A6051">
        <w:rPr>
          <w:szCs w:val="18"/>
        </w:rPr>
        <w:t xml:space="preserve"> in de </w:t>
      </w:r>
      <w:r>
        <w:rPr>
          <w:szCs w:val="18"/>
        </w:rPr>
        <w:t>K</w:t>
      </w:r>
      <w:r w:rsidRPr="004A6051">
        <w:rPr>
          <w:szCs w:val="18"/>
        </w:rPr>
        <w:t>amerbrief ‘sneller uitbreiden elektriciteitsnet’ van 25 april 2025</w:t>
      </w:r>
      <w:r w:rsidRPr="004A6051">
        <w:rPr>
          <w:szCs w:val="18"/>
          <w:vertAlign w:val="superscript"/>
        </w:rPr>
        <w:footnoteReference w:id="6"/>
      </w:r>
      <w:r w:rsidRPr="004A6051">
        <w:rPr>
          <w:szCs w:val="18"/>
        </w:rPr>
        <w:t>. Onderdeel hiervan is het wetgevingsprogramma netcongestie. Per 1 januari 2026 geldt bijvoorbeeld een standaard gedoogplicht voor onderzoekswerkzaamheden waardoor de voorbereidingen tot locatiekeuze minder vertraging kunnen oplopen.</w:t>
      </w:r>
    </w:p>
    <w:p w:rsidR="00E93B23" w:rsidP="00E93B23" w:rsidRDefault="00E93B23" w14:paraId="1FB9B2C9" w14:textId="77777777">
      <w:pPr>
        <w:rPr>
          <w:szCs w:val="18"/>
        </w:rPr>
      </w:pPr>
    </w:p>
    <w:p w:rsidRPr="004A6051" w:rsidR="00E93B23" w:rsidP="00E93B23" w:rsidRDefault="00E93B23" w14:paraId="320C94FF" w14:textId="77777777">
      <w:pPr>
        <w:rPr>
          <w:szCs w:val="18"/>
        </w:rPr>
      </w:pPr>
      <w:r w:rsidRPr="004A6051">
        <w:rPr>
          <w:szCs w:val="18"/>
        </w:rPr>
        <w:t>Het uitgangspunt blijft een zorgvuldig doorlopen proces. Voor vergunningverlening en bezwaar- en beroepsprocedures bestaan vrij scherpe maximale termijnen. Daarom wordt onderzocht hoe processtappen simultaan kunnen verlopen en zo efficiënt mogelijk ingericht om de doorlooptijd te minimaliseren. Met de wettelijke maatregel ‘Versnelde beroepsprocedure voor elektriciteitsprojecten vanaf 21kV’ die uiterlijk begin 2027 in werking treedt, worden stappen in de beroepsprocedure overgeslagen met mogelijk 1,5 jaar verkorting van doorlooptijden. Uiteindelijke inwerkingtreding is afhankelijk van de grondslag in de Wet Regie Volkshuisvesting die momenteel voor behandeling in de Eerste Kamer ligt.</w:t>
      </w:r>
      <w:r>
        <w:rPr>
          <w:szCs w:val="18"/>
        </w:rPr>
        <w:t xml:space="preserve"> </w:t>
      </w:r>
    </w:p>
    <w:p w:rsidRPr="004A6051" w:rsidR="00E93B23" w:rsidP="00E93B23" w:rsidRDefault="00E93B23" w14:paraId="27BCDB85" w14:textId="77777777">
      <w:pPr>
        <w:rPr>
          <w:szCs w:val="18"/>
        </w:rPr>
      </w:pPr>
    </w:p>
    <w:p w:rsidR="00E93B23" w:rsidP="00E93B23" w:rsidRDefault="00E93B23" w14:paraId="133E51D7" w14:textId="77777777">
      <w:pPr>
        <w:rPr>
          <w:szCs w:val="18"/>
        </w:rPr>
      </w:pPr>
      <w:r w:rsidRPr="004A6051">
        <w:rPr>
          <w:szCs w:val="18"/>
        </w:rPr>
        <w:t xml:space="preserve">Het kabinet werkt ook aan versnelling van de locatiekeuze binnen de projectprocedure. Een groot deel van deze procedure is door (Europese) wetgeving verplicht, het kabinet onderzoekt de mogelijkheden om binnen deze kaders te versnellen. De doorlooptijd van dit proces kan </w:t>
      </w:r>
      <w:r>
        <w:rPr>
          <w:szCs w:val="18"/>
        </w:rPr>
        <w:t>één</w:t>
      </w:r>
      <w:r w:rsidRPr="004A6051">
        <w:rPr>
          <w:szCs w:val="18"/>
        </w:rPr>
        <w:t xml:space="preserve"> of meerdere jaren duren. In verband met de complexiteit en beslag op de ruimte kan dit proces sneller bij 110/150kV projecten dan 220/380kV. Het kabinet werkt aan versnelling met afspraken over het trechteren van locaties. Met steun van gemeenten en provincies kaderen we het afwegen van alternatieve locaties en de inrichting van een zo snel mogelijke én zorgvuldige procedure. Om de ruimtelijke regie verder te versterken wordt er aan de hand van de projectenaanpak ook gewerkt aan het sneller aanwijzen van bevoegd gezag. KGG faciliteert deze snellere aanwijzing door in een vroeg stadium gesprekken te organiseren tussen TenneT en decentrale overheden. Met deze beleidsmatige en wettelijke stappen voorkomen we te lange procedures, versnelt tussentijdse besluitvorming en kan het Rijk ingrijpen bij impasses.</w:t>
      </w:r>
    </w:p>
    <w:p w:rsidR="00E93B23" w:rsidP="00E93B23" w:rsidRDefault="00E93B23" w14:paraId="58D65462" w14:textId="77777777">
      <w:pPr>
        <w:rPr>
          <w:szCs w:val="18"/>
        </w:rPr>
      </w:pPr>
    </w:p>
    <w:p w:rsidRPr="004A6051" w:rsidR="00E93B23" w:rsidP="00E93B23" w:rsidRDefault="00E93B23" w14:paraId="3170250B" w14:textId="77777777">
      <w:pPr>
        <w:rPr>
          <w:szCs w:val="18"/>
        </w:rPr>
      </w:pPr>
      <w:r>
        <w:rPr>
          <w:rFonts w:eastAsia="Verdana" w:cs="Verdana"/>
          <w:color w:val="000000" w:themeColor="text1"/>
        </w:rPr>
        <w:t>Ook het formatierapport ‘Routes naar realisatie</w:t>
      </w:r>
      <w:r w:rsidRPr="004A6051">
        <w:rPr>
          <w:szCs w:val="18"/>
        </w:rPr>
        <w:t>: keuzes voor het klimaat en de energietransitie’</w:t>
      </w:r>
      <w:r w:rsidRPr="004A6051">
        <w:rPr>
          <w:szCs w:val="18"/>
          <w:vertAlign w:val="superscript"/>
        </w:rPr>
        <w:footnoteReference w:id="7"/>
      </w:r>
      <w:r>
        <w:rPr>
          <w:szCs w:val="18"/>
        </w:rPr>
        <w:t xml:space="preserve"> </w:t>
      </w:r>
      <w:r>
        <w:rPr>
          <w:rFonts w:eastAsia="Verdana" w:cs="Verdana"/>
          <w:color w:val="000000" w:themeColor="text1"/>
        </w:rPr>
        <w:t>gaat in op knelpunten t.a.v. de lange doorlooptijden van energieprojecten en brengt beleidsopties in kaart, zoals proactieve ruimtelijke sturing via actief grondbeleid.</w:t>
      </w:r>
    </w:p>
    <w:p w:rsidRPr="004A6051" w:rsidR="00E93B23" w:rsidP="00E93B23" w:rsidRDefault="00E93B23" w14:paraId="3649F0FC" w14:textId="77777777">
      <w:pPr>
        <w:rPr>
          <w:szCs w:val="18"/>
        </w:rPr>
      </w:pPr>
    </w:p>
    <w:p w:rsidRPr="004A6051" w:rsidR="00E93B23" w:rsidP="00E93B23" w:rsidRDefault="00E93B23" w14:paraId="4DAED328" w14:textId="77777777">
      <w:pPr>
        <w:rPr>
          <w:szCs w:val="18"/>
        </w:rPr>
      </w:pPr>
      <w:r w:rsidRPr="004A6051">
        <w:rPr>
          <w:szCs w:val="18"/>
        </w:rPr>
        <w:t>7</w:t>
      </w:r>
    </w:p>
    <w:p w:rsidRPr="004A6051" w:rsidR="00E93B23" w:rsidP="00E93B23" w:rsidRDefault="00E93B23" w14:paraId="46E776AE" w14:textId="77777777">
      <w:pPr>
        <w:rPr>
          <w:szCs w:val="18"/>
        </w:rPr>
      </w:pPr>
      <w:r w:rsidRPr="004A6051">
        <w:rPr>
          <w:szCs w:val="18"/>
        </w:rPr>
        <w:t>Kunt u bevestigen dat elektriciteitskosten in Nederland 20–50% hoger liggen dan buurlanden en dat industriële elektriciteitsprijzen tot de helft hoger kunnen zijn? Welke maatregelen neemt u om prijspariteit met België en Duitsland te bereiken en op welke termijn?</w:t>
      </w:r>
    </w:p>
    <w:p w:rsidRPr="004A6051" w:rsidR="00E93B23" w:rsidP="00E93B23" w:rsidRDefault="00E93B23" w14:paraId="38C0C030" w14:textId="77777777">
      <w:pPr>
        <w:rPr>
          <w:szCs w:val="18"/>
        </w:rPr>
      </w:pPr>
    </w:p>
    <w:p w:rsidRPr="004A6051" w:rsidR="00E93B23" w:rsidP="00E93B23" w:rsidRDefault="00E93B23" w14:paraId="5599B625" w14:textId="77777777">
      <w:pPr>
        <w:rPr>
          <w:szCs w:val="18"/>
        </w:rPr>
      </w:pPr>
      <w:r w:rsidRPr="004A6051">
        <w:rPr>
          <w:szCs w:val="18"/>
        </w:rPr>
        <w:t>Antwoord</w:t>
      </w:r>
    </w:p>
    <w:p w:rsidRPr="004A6051" w:rsidR="00E93B23" w:rsidP="00E93B23" w:rsidRDefault="00E93B23" w14:paraId="04ED98F0" w14:textId="77777777">
      <w:pPr>
        <w:rPr>
          <w:szCs w:val="18"/>
        </w:rPr>
      </w:pPr>
      <w:r w:rsidRPr="004A6051">
        <w:rPr>
          <w:szCs w:val="18"/>
        </w:rPr>
        <w:t>In 2024 en 2025 heeft het kabinet onderzoek laten uitvoeren naar de elektriciteitskosten in Nederland ten opzichte van buurlanden. Hieruit blijkt inderdaad dat de elektriciteitskosten voor industriële grootverbruikers in Nederland fors hoger liggen. In de Kamerbrieven van 25 april 2025</w:t>
      </w:r>
      <w:r w:rsidRPr="004A6051">
        <w:rPr>
          <w:szCs w:val="18"/>
          <w:vertAlign w:val="superscript"/>
        </w:rPr>
        <w:footnoteReference w:id="8"/>
      </w:r>
      <w:r w:rsidRPr="004A6051">
        <w:rPr>
          <w:szCs w:val="18"/>
        </w:rPr>
        <w:t xml:space="preserve"> en 16 september 2025</w:t>
      </w:r>
      <w:r w:rsidRPr="004A6051">
        <w:rPr>
          <w:szCs w:val="18"/>
          <w:vertAlign w:val="superscript"/>
        </w:rPr>
        <w:footnoteReference w:id="9"/>
      </w:r>
      <w:r w:rsidRPr="004A6051">
        <w:rPr>
          <w:szCs w:val="18"/>
        </w:rPr>
        <w:t xml:space="preserve"> is de Kamer over verschillende maatregelen geïnformeerd die het kabinet op nationaal niveau neemt om de energierekening voor bedrijven en consumenten te verlagen. Zo is de indirecte kostencompensatie ETS (IKC-ETS) verlengd tot en met 2028 en werkt het kabinet opties uit om de nettarieven te verlagen, gericht op besluitvorming door een nieuw kabinet. </w:t>
      </w:r>
    </w:p>
    <w:p w:rsidRPr="004A6051" w:rsidR="00E93B23" w:rsidP="00E93B23" w:rsidRDefault="00E93B23" w14:paraId="2A10ED74" w14:textId="77777777">
      <w:pPr>
        <w:rPr>
          <w:szCs w:val="18"/>
        </w:rPr>
      </w:pPr>
    </w:p>
    <w:p w:rsidRPr="004A6051" w:rsidR="00E93B23" w:rsidP="00E93B23" w:rsidRDefault="00E93B23" w14:paraId="667252CE" w14:textId="77777777">
      <w:pPr>
        <w:rPr>
          <w:szCs w:val="18"/>
        </w:rPr>
      </w:pPr>
      <w:r w:rsidRPr="004A6051">
        <w:rPr>
          <w:szCs w:val="18"/>
        </w:rPr>
        <w:t>8</w:t>
      </w:r>
    </w:p>
    <w:p w:rsidRPr="004A6051" w:rsidR="00E93B23" w:rsidP="00E93B23" w:rsidRDefault="00E93B23" w14:paraId="4ADF969B" w14:textId="77777777">
      <w:pPr>
        <w:rPr>
          <w:szCs w:val="18"/>
        </w:rPr>
      </w:pPr>
      <w:r w:rsidRPr="004A6051">
        <w:rPr>
          <w:szCs w:val="18"/>
        </w:rPr>
        <w:t>Deelt u de inschatting dat nettarieven richting 2040 meer dan verdubbelen bij ~5% groei per jaar? Hoeveel komt hiervan neer bij huishoudens, MKB en industrie, en welke dempingsopties onderzoekt u?</w:t>
      </w:r>
    </w:p>
    <w:p w:rsidRPr="004A6051" w:rsidR="00E93B23" w:rsidP="00E93B23" w:rsidRDefault="00E93B23" w14:paraId="7EA1961E" w14:textId="77777777">
      <w:pPr>
        <w:rPr>
          <w:szCs w:val="18"/>
        </w:rPr>
      </w:pPr>
    </w:p>
    <w:p w:rsidRPr="004A6051" w:rsidR="00E93B23" w:rsidP="00E93B23" w:rsidRDefault="00E93B23" w14:paraId="1808E6A0" w14:textId="77777777">
      <w:pPr>
        <w:rPr>
          <w:szCs w:val="18"/>
        </w:rPr>
      </w:pPr>
      <w:r w:rsidRPr="004A6051">
        <w:rPr>
          <w:szCs w:val="18"/>
        </w:rPr>
        <w:t>Antwoord</w:t>
      </w:r>
    </w:p>
    <w:p w:rsidR="00E93B23" w:rsidP="00E93B23" w:rsidRDefault="00E93B23" w14:paraId="288446FE" w14:textId="77777777">
      <w:pPr>
        <w:rPr>
          <w:szCs w:val="18"/>
        </w:rPr>
      </w:pPr>
      <w:r w:rsidRPr="004A6051">
        <w:rPr>
          <w:szCs w:val="18"/>
        </w:rPr>
        <w:t>De elektriciteitsnettarieven kunnen bij ongewijzigd beleid inderdaad meer dan verdubbelen. Het kabinet heeft dit in de kabinetsreactie op het IBO-rapport Bekostiging van de Elektriciteitsinfrastructuur eveneens aangegeven.</w:t>
      </w:r>
      <w:r w:rsidRPr="004A6051">
        <w:rPr>
          <w:szCs w:val="18"/>
          <w:vertAlign w:val="superscript"/>
        </w:rPr>
        <w:footnoteReference w:id="10"/>
      </w:r>
      <w:r w:rsidRPr="004A6051">
        <w:rPr>
          <w:szCs w:val="18"/>
        </w:rPr>
        <w:t xml:space="preserve"> De geraamde stijging richting 2040 is echter met aanzienlijke onzekerheden omgeven</w:t>
      </w:r>
      <w:r>
        <w:rPr>
          <w:szCs w:val="18"/>
        </w:rPr>
        <w:t xml:space="preserve">. </w:t>
      </w:r>
      <w:r w:rsidRPr="004A6051">
        <w:rPr>
          <w:szCs w:val="18"/>
        </w:rPr>
        <w:t xml:space="preserve">In de kabinetsreactie op het IBO heeft het kabinet meerdere opties geschetst om de kosten van netbeheerders, en daarmee de tarieven van aangeslotenen, te dempen. Deze opties zijn onder meer energiebesparing, het flexibiliseren van het netgebruik door aangeslotenen, het beter benutten en zwaarder belasten van de netten, locatiesturing en het maken van andere keuzes voor het toekomstig energiesysteem. </w:t>
      </w:r>
      <w:r>
        <w:rPr>
          <w:szCs w:val="18"/>
        </w:rPr>
        <w:t xml:space="preserve">Zie in onderstaande figuur </w:t>
      </w:r>
      <w:r w:rsidRPr="004A6051">
        <w:rPr>
          <w:szCs w:val="18"/>
        </w:rPr>
        <w:t>de verdeling van de groei van de netkosten per categorie aangeslotenen.</w:t>
      </w:r>
    </w:p>
    <w:p w:rsidRPr="004A6051" w:rsidR="00E93B23" w:rsidP="00E93B23" w:rsidRDefault="00E93B23" w14:paraId="75A440F5" w14:textId="77777777">
      <w:pPr>
        <w:rPr>
          <w:szCs w:val="18"/>
        </w:rPr>
      </w:pPr>
    </w:p>
    <w:p w:rsidR="00E93B23" w:rsidP="00E93B23" w:rsidRDefault="00E93B23" w14:paraId="395CEA2B" w14:textId="77777777">
      <w:pPr>
        <w:rPr>
          <w:szCs w:val="18"/>
        </w:rPr>
      </w:pPr>
      <w:r>
        <w:rPr>
          <w:noProof/>
          <w:szCs w:val="18"/>
        </w:rPr>
        <w:drawing>
          <wp:inline distT="0" distB="0" distL="0" distR="0" wp14:anchorId="16D804DC" wp14:editId="783F1D86">
            <wp:extent cx="4770120" cy="3118485"/>
            <wp:effectExtent l="0" t="0" r="0" b="5715"/>
            <wp:docPr id="1278282618" name="Afbeelding 1" descr="Afbeelding met teks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282618" name="Afbeelding 1" descr="Afbeelding met tekst, schermopname&#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70120" cy="3118485"/>
                    </a:xfrm>
                    <a:prstGeom prst="rect">
                      <a:avLst/>
                    </a:prstGeom>
                    <a:noFill/>
                    <a:ln>
                      <a:noFill/>
                    </a:ln>
                  </pic:spPr>
                </pic:pic>
              </a:graphicData>
            </a:graphic>
          </wp:inline>
        </w:drawing>
      </w:r>
    </w:p>
    <w:p w:rsidRPr="004A6051" w:rsidR="00E93B23" w:rsidP="00E93B23" w:rsidRDefault="00E93B23" w14:paraId="3C905481" w14:textId="77777777">
      <w:pPr>
        <w:rPr>
          <w:szCs w:val="18"/>
        </w:rPr>
      </w:pPr>
    </w:p>
    <w:p w:rsidRPr="004A6051" w:rsidR="00E93B23" w:rsidP="00E93B23" w:rsidRDefault="00E93B23" w14:paraId="0806AD63" w14:textId="77777777">
      <w:pPr>
        <w:rPr>
          <w:szCs w:val="18"/>
        </w:rPr>
      </w:pPr>
      <w:r w:rsidRPr="004A6051">
        <w:rPr>
          <w:szCs w:val="18"/>
        </w:rPr>
        <w:t>Ook het anders verdelen van de kosten in de tijd in de vorm van een zogenoemde amortisatierekening is onderzocht. Hierbij wordt een deel van de kosten doorgeschoven naar toekomstige gebruikers. Op Prinsjesdag heeft het kabinet moeten concluderen dat de rationale en juridische mogelijkheid hiervoor ontbreekt.</w:t>
      </w:r>
      <w:r w:rsidRPr="004A6051">
        <w:rPr>
          <w:szCs w:val="18"/>
          <w:vertAlign w:val="superscript"/>
        </w:rPr>
        <w:footnoteReference w:id="11"/>
      </w:r>
      <w:r w:rsidRPr="004A6051">
        <w:rPr>
          <w:szCs w:val="18"/>
        </w:rPr>
        <w:t xml:space="preserve"> In dezelfde brief geeft het kabinet aan dat ook een eventuele subsidie aan TenneT tot de mogelijkheid behoort om de netkosten te dempen. Een dergelijke maatregel heeft significante en langjarige budgettaire consequenties, zoals ook blijkt uit het formatierapport ‘Routes naar Realisatie</w:t>
      </w:r>
      <w:r>
        <w:rPr>
          <w:szCs w:val="18"/>
        </w:rPr>
        <w:t>’</w:t>
      </w:r>
      <w:r w:rsidRPr="004A6051">
        <w:rPr>
          <w:szCs w:val="18"/>
          <w:vertAlign w:val="superscript"/>
        </w:rPr>
        <w:footnoteReference w:id="12"/>
      </w:r>
      <w:r w:rsidRPr="004A6051">
        <w:rPr>
          <w:szCs w:val="18"/>
        </w:rPr>
        <w:t>. Besluitvorming hierover is aan een nieuw kabinet.</w:t>
      </w:r>
    </w:p>
    <w:p w:rsidRPr="004A6051" w:rsidR="00E93B23" w:rsidP="00E93B23" w:rsidRDefault="00E93B23" w14:paraId="03365E40" w14:textId="77777777">
      <w:pPr>
        <w:rPr>
          <w:szCs w:val="18"/>
        </w:rPr>
      </w:pPr>
    </w:p>
    <w:p w:rsidRPr="004A6051" w:rsidR="00E93B23" w:rsidP="00E93B23" w:rsidRDefault="00E93B23" w14:paraId="57CA61F7" w14:textId="77777777">
      <w:pPr>
        <w:rPr>
          <w:szCs w:val="18"/>
        </w:rPr>
      </w:pPr>
      <w:r w:rsidRPr="004A6051">
        <w:rPr>
          <w:szCs w:val="18"/>
        </w:rPr>
        <w:t>9</w:t>
      </w:r>
    </w:p>
    <w:p w:rsidRPr="004A6051" w:rsidR="00E93B23" w:rsidP="00E93B23" w:rsidRDefault="00E93B23" w14:paraId="0A1D1ABA" w14:textId="77777777">
      <w:pPr>
        <w:rPr>
          <w:szCs w:val="18"/>
        </w:rPr>
      </w:pPr>
      <w:r w:rsidRPr="004A6051">
        <w:rPr>
          <w:szCs w:val="18"/>
        </w:rPr>
        <w:t>Bent u bereid de optie uit te werken om de energiebelasting op elektriciteit voor grootverbruik richting het EU minimum te brengen?</w:t>
      </w:r>
    </w:p>
    <w:p w:rsidRPr="004A6051" w:rsidR="00E93B23" w:rsidP="00E93B23" w:rsidRDefault="00E93B23" w14:paraId="1996FB75" w14:textId="77777777">
      <w:pPr>
        <w:rPr>
          <w:szCs w:val="18"/>
        </w:rPr>
      </w:pPr>
    </w:p>
    <w:p w:rsidRPr="004A6051" w:rsidR="00E93B23" w:rsidP="00E93B23" w:rsidRDefault="00E93B23" w14:paraId="50397F96" w14:textId="77777777">
      <w:pPr>
        <w:rPr>
          <w:szCs w:val="18"/>
        </w:rPr>
      </w:pPr>
      <w:r w:rsidRPr="004A6051">
        <w:rPr>
          <w:szCs w:val="18"/>
        </w:rPr>
        <w:t>Antwoord</w:t>
      </w:r>
    </w:p>
    <w:p w:rsidRPr="004A6051" w:rsidR="00E93B23" w:rsidP="00E93B23" w:rsidRDefault="00E93B23" w14:paraId="48E06D4A" w14:textId="77777777">
      <w:pPr>
        <w:rPr>
          <w:szCs w:val="18"/>
        </w:rPr>
      </w:pPr>
      <w:r w:rsidRPr="004A6051">
        <w:rPr>
          <w:szCs w:val="18"/>
        </w:rPr>
        <w:t xml:space="preserve">Het kabinet onderschrijft het belang van concurrerende energieprijzen en een gelijk speelveld voor de industrie. Het verlagen van de energiebelasting op elektriciteit kan hieraan bijdragen, zoals ook beschreven in het in het vorige </w:t>
      </w:r>
      <w:r w:rsidRPr="004A6051">
        <w:rPr>
          <w:szCs w:val="18"/>
        </w:rPr>
        <w:lastRenderedPageBreak/>
        <w:t xml:space="preserve">antwoord genoemde rapport Routes naar Realisatie. Het belang van een dergelijke belastingverlaging voor de industrie zal moeten worden afgewogen tegen de doelstellingen van de energiebelasting, namelijk het genereren van overheidsinkomsten en het stimuleren van energiebesparing. Daarbij is ook relevant dat een verlaging van de energiebelasting op elektriciteit slechts een beperkt effect zou hebben op de elektriciteitskosten van grote industriële bedrijven, doordat net- en elektriciteitstarieven een groter onderdeel vormen van de energiekosten, en doordat een deel van de industrie al is vrijgesteld van energiebelasting. </w:t>
      </w:r>
      <w:r>
        <w:rPr>
          <w:szCs w:val="18"/>
        </w:rPr>
        <w:t>B</w:t>
      </w:r>
      <w:r w:rsidRPr="004A6051">
        <w:rPr>
          <w:szCs w:val="18"/>
        </w:rPr>
        <w:t>esluitvorming hierover is aan een nieuw kabinet.</w:t>
      </w:r>
    </w:p>
    <w:p w:rsidRPr="004A6051" w:rsidR="00E93B23" w:rsidP="00E93B23" w:rsidRDefault="00E93B23" w14:paraId="64CD9AE1" w14:textId="77777777">
      <w:pPr>
        <w:rPr>
          <w:szCs w:val="18"/>
        </w:rPr>
      </w:pPr>
    </w:p>
    <w:p w:rsidRPr="004A6051" w:rsidR="00E93B23" w:rsidP="00E93B23" w:rsidRDefault="00E93B23" w14:paraId="3EBB9243" w14:textId="77777777">
      <w:pPr>
        <w:rPr>
          <w:szCs w:val="18"/>
        </w:rPr>
      </w:pPr>
      <w:r w:rsidRPr="004A6051">
        <w:rPr>
          <w:szCs w:val="18"/>
        </w:rPr>
        <w:t>10</w:t>
      </w:r>
    </w:p>
    <w:p w:rsidRPr="004A6051" w:rsidR="00E93B23" w:rsidP="00E93B23" w:rsidRDefault="00E93B23" w14:paraId="3CE6FD17" w14:textId="77777777">
      <w:pPr>
        <w:rPr>
          <w:szCs w:val="18"/>
        </w:rPr>
      </w:pPr>
      <w:r w:rsidRPr="004A6051">
        <w:rPr>
          <w:szCs w:val="18"/>
        </w:rPr>
        <w:t>Welke nationale koppen bovenop Europees beleid dragen volgens u aantoonbaar bij aan concurrentienadeel, en welke koppen heroverweegt u in het licht van investeringszekerheid en industriebehoud?</w:t>
      </w:r>
    </w:p>
    <w:p w:rsidRPr="004A6051" w:rsidR="00E93B23" w:rsidP="00E93B23" w:rsidRDefault="00E93B23" w14:paraId="048832A7" w14:textId="77777777">
      <w:pPr>
        <w:rPr>
          <w:szCs w:val="18"/>
        </w:rPr>
      </w:pPr>
    </w:p>
    <w:p w:rsidRPr="004A6051" w:rsidR="00E93B23" w:rsidP="00E93B23" w:rsidRDefault="00E93B23" w14:paraId="780BD53B" w14:textId="77777777">
      <w:pPr>
        <w:rPr>
          <w:szCs w:val="18"/>
        </w:rPr>
      </w:pPr>
      <w:r w:rsidRPr="004A6051">
        <w:rPr>
          <w:szCs w:val="18"/>
        </w:rPr>
        <w:t>Antwoord</w:t>
      </w:r>
    </w:p>
    <w:p w:rsidR="00E93B23" w:rsidP="00E93B23" w:rsidRDefault="00E93B23" w14:paraId="79002AD9" w14:textId="77777777">
      <w:pPr>
        <w:rPr>
          <w:szCs w:val="18"/>
        </w:rPr>
      </w:pPr>
      <w:r w:rsidRPr="004A6051">
        <w:rPr>
          <w:szCs w:val="18"/>
        </w:rPr>
        <w:t>Er zijn diverse factoren die bijdragen aan concurrentienadeel. Dat kunnen nationale koppen zijn, zoals de CO2-heffing voor de industrie, maar ook een hoger tarief in de energiebelasting of het feit dat in Nederland de volumecorrectieregeling (VCR) - conform EU-regels - is afgeschaft terwijl andere landen deze nog steeds hanteren. Een uitgebreid overzicht van factoren die invloed hebben op het concurrentievermogen is te vinden in de Speelveldtoets</w:t>
      </w:r>
      <w:r w:rsidRPr="004A6051">
        <w:rPr>
          <w:szCs w:val="18"/>
          <w:vertAlign w:val="superscript"/>
        </w:rPr>
        <w:footnoteReference w:id="13"/>
      </w:r>
      <w:r w:rsidRPr="004A6051">
        <w:rPr>
          <w:szCs w:val="18"/>
        </w:rPr>
        <w:t xml:space="preserve">. Daaruit blijkt dat de hoge elektriciteitskosten in vergelijking met buurlanden </w:t>
      </w:r>
      <w:r>
        <w:rPr>
          <w:szCs w:val="18"/>
        </w:rPr>
        <w:t>éé</w:t>
      </w:r>
      <w:r w:rsidRPr="004A6051">
        <w:rPr>
          <w:szCs w:val="18"/>
        </w:rPr>
        <w:t>n van de belangrijkste factoren zijn. Het kabinet probeert dit speelveld gelijker te trekken door onder andere de indirecte kostencompensatie ETS (IKC-ETS) te verlengen. Met het pakket voor Groene Groei</w:t>
      </w:r>
      <w:r w:rsidRPr="004A6051">
        <w:rPr>
          <w:szCs w:val="18"/>
          <w:vertAlign w:val="superscript"/>
        </w:rPr>
        <w:footnoteReference w:id="14"/>
      </w:r>
      <w:r w:rsidRPr="004A6051">
        <w:rPr>
          <w:szCs w:val="18"/>
        </w:rPr>
        <w:t xml:space="preserve"> heeft het kabinet eerder al ingezet op het herstellen van het gelijk speelveld en verbeteren van het concurrentievermogen door het effectief buiten werking stellen van de CO2-heffing en niet invoeren van de plasticsheffing.</w:t>
      </w:r>
      <w:r>
        <w:rPr>
          <w:szCs w:val="18"/>
        </w:rPr>
        <w:t xml:space="preserve"> Tegelijkertijd heeft Nederland relatief veel subsidies voor de industriesector ten opzichte van buurlanden</w:t>
      </w:r>
      <w:r>
        <w:rPr>
          <w:rStyle w:val="Voetnootmarkering"/>
          <w:szCs w:val="18"/>
        </w:rPr>
        <w:footnoteReference w:id="15"/>
      </w:r>
      <w:r>
        <w:rPr>
          <w:szCs w:val="18"/>
        </w:rPr>
        <w:t xml:space="preserve"> en zijn er andere factoren die een positief effect op de concurrentiepositie van de Nederlandse industrie hebben zoals opgebouwde expertise, logistieke hubs, goede infrastructuur en een hoog opgeleide bevolking.</w:t>
      </w:r>
    </w:p>
    <w:p w:rsidRPr="004A6051" w:rsidR="00E93B23" w:rsidP="00E93B23" w:rsidRDefault="00E93B23" w14:paraId="1678AEC3" w14:textId="77777777">
      <w:pPr>
        <w:rPr>
          <w:szCs w:val="18"/>
        </w:rPr>
      </w:pPr>
    </w:p>
    <w:p w:rsidRPr="004A6051" w:rsidR="00E93B23" w:rsidP="00E93B23" w:rsidRDefault="00E93B23" w14:paraId="2ED51FEB" w14:textId="77777777">
      <w:pPr>
        <w:rPr>
          <w:szCs w:val="18"/>
        </w:rPr>
      </w:pPr>
      <w:r w:rsidRPr="004A6051">
        <w:rPr>
          <w:szCs w:val="18"/>
        </w:rPr>
        <w:t>11</w:t>
      </w:r>
    </w:p>
    <w:p w:rsidRPr="004A6051" w:rsidR="00E93B23" w:rsidP="00E93B23" w:rsidRDefault="00E93B23" w14:paraId="4136533C" w14:textId="77777777">
      <w:pPr>
        <w:rPr>
          <w:szCs w:val="18"/>
        </w:rPr>
      </w:pPr>
      <w:r w:rsidRPr="004A6051">
        <w:rPr>
          <w:szCs w:val="18"/>
        </w:rPr>
        <w:lastRenderedPageBreak/>
        <w:t>Deelt u dat netcongestie een belangrijk obstakel is voor AI proposities en dat hyperscale datacenters door beleid feitelijk in 340 van 342 gemeenten niet mogelijk zijn?</w:t>
      </w:r>
    </w:p>
    <w:p w:rsidRPr="004A6051" w:rsidR="00E93B23" w:rsidP="00E93B23" w:rsidRDefault="00E93B23" w14:paraId="5C240EF8" w14:textId="77777777">
      <w:pPr>
        <w:rPr>
          <w:szCs w:val="18"/>
        </w:rPr>
      </w:pPr>
    </w:p>
    <w:p w:rsidRPr="004A6051" w:rsidR="00E93B23" w:rsidP="00E93B23" w:rsidRDefault="00E93B23" w14:paraId="6E5F28B1" w14:textId="77777777">
      <w:pPr>
        <w:rPr>
          <w:szCs w:val="18"/>
        </w:rPr>
      </w:pPr>
      <w:r w:rsidRPr="004A6051">
        <w:rPr>
          <w:szCs w:val="18"/>
        </w:rPr>
        <w:t>Antwoord</w:t>
      </w:r>
    </w:p>
    <w:p w:rsidR="00E93B23" w:rsidP="00E93B23" w:rsidRDefault="00E93B23" w14:paraId="53A8FE05" w14:textId="77777777">
      <w:pPr>
        <w:rPr>
          <w:szCs w:val="18"/>
        </w:rPr>
      </w:pPr>
      <w:r w:rsidRPr="004A6051">
        <w:rPr>
          <w:szCs w:val="18"/>
        </w:rPr>
        <w:t>Het kabinet erkent dat netcongestie een belangrijk obstakel is</w:t>
      </w:r>
      <w:r>
        <w:rPr>
          <w:szCs w:val="18"/>
        </w:rPr>
        <w:t xml:space="preserve">. </w:t>
      </w:r>
      <w:r w:rsidRPr="004A6051">
        <w:rPr>
          <w:szCs w:val="18"/>
        </w:rPr>
        <w:t>Voldoende datacentercapaciteit is randvoorwaardelijk voor het realiseren van de Nederlandse AI-ambities. Wachtlijsten voor aansluitingen en bouwstops belemmeren de groei van deze sector. Het recente advies van Peter Wennink benadrukt terecht de urgentie om netcongestie aan te pakken via betere netbenutting, flexibiliteit, prioritering en publiek-private samenwerking.</w:t>
      </w:r>
    </w:p>
    <w:p w:rsidR="00E93B23" w:rsidP="00E93B23" w:rsidRDefault="00E93B23" w14:paraId="1525D911" w14:textId="77777777">
      <w:pPr>
        <w:rPr>
          <w:szCs w:val="18"/>
        </w:rPr>
      </w:pPr>
    </w:p>
    <w:p w:rsidRPr="004A6051" w:rsidR="00E93B23" w:rsidP="00E93B23" w:rsidRDefault="00E93B23" w14:paraId="68050D15" w14:textId="77777777">
      <w:pPr>
        <w:rPr>
          <w:szCs w:val="18"/>
        </w:rPr>
      </w:pPr>
      <w:r w:rsidRPr="004A6051">
        <w:rPr>
          <w:szCs w:val="18"/>
        </w:rPr>
        <w:t xml:space="preserve">In 2023 is in de Algemene Maatregel van Bestuur (AMvB) in het Besluit kwaliteit leefomgeving (paragraaf 5.1.7.7) een instructieregel opgenomen waaruit volgt dat de bouw van hyperscale datacenters – met een vermogen van meer dan 70 MW en een ruimtebeslag van meer dan 10 hectare – op dit moment inderdaad feitelijk in slechts twee gemeenten mogelijk is. </w:t>
      </w:r>
      <w:r w:rsidRPr="004A6051" w:rsidDel="00554E54">
        <w:rPr>
          <w:szCs w:val="18"/>
        </w:rPr>
        <w:t>Dit beleid voorziet in landelijke regie op deze zeer grootschalige faciliteiten vanwege hun impact op leefomgeving, energievoorziening en infrastructuur</w:t>
      </w:r>
      <w:r w:rsidRPr="004A6051">
        <w:rPr>
          <w:szCs w:val="18"/>
        </w:rPr>
        <w:t xml:space="preserve">, en is daarmee niet toe te schrijven aan netcongestie. Er bestaan geen landelijke restricties voor vestiging van datacenters onder de drempelwaardes van hyperscale datacenters uit deze AMvB. Grote datacenters kunnen worden gebouwd zolang zij niet tegelijk aan beide criteria voldoen. De besluitvorming hierover is een bevoegdheid van gemeenten en provincies. Zij bepalen of, en onder welke voorwaarden zij datacenters op hun grondgebied toestaan. </w:t>
      </w:r>
    </w:p>
    <w:p w:rsidRPr="004A6051" w:rsidR="00E93B23" w:rsidP="00E93B23" w:rsidRDefault="00E93B23" w14:paraId="24D3C967" w14:textId="77777777">
      <w:pPr>
        <w:rPr>
          <w:szCs w:val="18"/>
        </w:rPr>
      </w:pPr>
    </w:p>
    <w:p w:rsidRPr="004A6051" w:rsidR="00E93B23" w:rsidP="00E93B23" w:rsidRDefault="00E93B23" w14:paraId="6BE24809" w14:textId="77777777">
      <w:pPr>
        <w:rPr>
          <w:szCs w:val="18"/>
        </w:rPr>
      </w:pPr>
      <w:r w:rsidRPr="004A6051">
        <w:rPr>
          <w:szCs w:val="18"/>
        </w:rPr>
        <w:t xml:space="preserve">Datacenters die onder de criteria van deze AMvB ontwikkeld mogen worden kunnen evengoed een waardevolle bijdrage leveren aan de ontwikkeling van AI-capaciteit en digitale infrastructuur. </w:t>
      </w:r>
    </w:p>
    <w:p w:rsidRPr="004A6051" w:rsidR="00E93B23" w:rsidP="00E93B23" w:rsidRDefault="00E93B23" w14:paraId="62F27661" w14:textId="77777777">
      <w:pPr>
        <w:rPr>
          <w:szCs w:val="18"/>
        </w:rPr>
      </w:pPr>
    </w:p>
    <w:p w:rsidRPr="004A6051" w:rsidR="00E93B23" w:rsidP="00E93B23" w:rsidRDefault="00E93B23" w14:paraId="0AB463D9" w14:textId="77777777">
      <w:pPr>
        <w:rPr>
          <w:szCs w:val="18"/>
        </w:rPr>
      </w:pPr>
      <w:r w:rsidRPr="004A6051">
        <w:rPr>
          <w:szCs w:val="18"/>
        </w:rPr>
        <w:t>12</w:t>
      </w:r>
    </w:p>
    <w:p w:rsidRPr="004A6051" w:rsidR="00E93B23" w:rsidP="00E93B23" w:rsidRDefault="00E93B23" w14:paraId="456731EE" w14:textId="77777777">
      <w:pPr>
        <w:rPr>
          <w:szCs w:val="18"/>
        </w:rPr>
      </w:pPr>
      <w:r w:rsidRPr="004A6051">
        <w:rPr>
          <w:szCs w:val="18"/>
        </w:rPr>
        <w:t>Gezien het projectvoorstel “AI Gigafabriek”</w:t>
      </w:r>
      <w:r>
        <w:rPr>
          <w:szCs w:val="18"/>
        </w:rPr>
        <w:t xml:space="preserve"> </w:t>
      </w:r>
      <w:r w:rsidRPr="004A6051">
        <w:rPr>
          <w:szCs w:val="18"/>
        </w:rPr>
        <w:t>&gt;100.000 GPU’s en 250–750 MW IT capaciteit noemt, welke harde randvoorwaarden stelt het kabinet aan netinpassing, flexibiliteit en restwarmte zodat dit niet tot extra congestie leidt?</w:t>
      </w:r>
    </w:p>
    <w:p w:rsidRPr="004A6051" w:rsidR="00E93B23" w:rsidP="00E93B23" w:rsidRDefault="00E93B23" w14:paraId="22F356D9" w14:textId="77777777">
      <w:pPr>
        <w:rPr>
          <w:szCs w:val="18"/>
        </w:rPr>
      </w:pPr>
    </w:p>
    <w:p w:rsidRPr="004A6051" w:rsidR="00E93B23" w:rsidP="00E93B23" w:rsidRDefault="00E93B23" w14:paraId="6C577F12" w14:textId="77777777">
      <w:pPr>
        <w:rPr>
          <w:szCs w:val="18"/>
        </w:rPr>
      </w:pPr>
      <w:r w:rsidRPr="004A6051">
        <w:rPr>
          <w:szCs w:val="18"/>
        </w:rPr>
        <w:t>Antwoord</w:t>
      </w:r>
    </w:p>
    <w:p w:rsidRPr="00A5205A" w:rsidR="00E93B23" w:rsidP="00E93B23" w:rsidRDefault="00E93B23" w14:paraId="73B2D73D" w14:textId="77777777">
      <w:pPr>
        <w:rPr>
          <w:szCs w:val="18"/>
        </w:rPr>
      </w:pPr>
      <w:r w:rsidRPr="00A5205A">
        <w:rPr>
          <w:szCs w:val="18"/>
        </w:rPr>
        <w:t>De precieze grootte van de omvang</w:t>
      </w:r>
      <w:r>
        <w:rPr>
          <w:szCs w:val="18"/>
        </w:rPr>
        <w:t xml:space="preserve"> van</w:t>
      </w:r>
      <w:r w:rsidRPr="00A5205A">
        <w:rPr>
          <w:szCs w:val="18"/>
        </w:rPr>
        <w:t xml:space="preserve"> een AI-gigafabriek staat niet vast en kan verschillen per projectvoorstel. AI-infrastructuur </w:t>
      </w:r>
      <w:r>
        <w:rPr>
          <w:szCs w:val="18"/>
        </w:rPr>
        <w:t xml:space="preserve">vormt </w:t>
      </w:r>
      <w:r w:rsidRPr="00A5205A">
        <w:rPr>
          <w:szCs w:val="18"/>
        </w:rPr>
        <w:t xml:space="preserve">de fundering onder </w:t>
      </w:r>
      <w:r w:rsidRPr="00A5205A">
        <w:rPr>
          <w:szCs w:val="18"/>
        </w:rPr>
        <w:lastRenderedPageBreak/>
        <w:t>moderne AI-modellen en -toepassingen</w:t>
      </w:r>
      <w:r>
        <w:rPr>
          <w:szCs w:val="18"/>
        </w:rPr>
        <w:t>. Het kabinet verwelkomt</w:t>
      </w:r>
      <w:r w:rsidRPr="00A5205A">
        <w:rPr>
          <w:szCs w:val="18"/>
        </w:rPr>
        <w:t xml:space="preserve"> </w:t>
      </w:r>
      <w:r>
        <w:rPr>
          <w:szCs w:val="18"/>
        </w:rPr>
        <w:t>daarom</w:t>
      </w:r>
      <w:r w:rsidRPr="00A5205A">
        <w:rPr>
          <w:szCs w:val="18"/>
        </w:rPr>
        <w:t xml:space="preserve"> AI-infrastructuur initiatieven en investeringen waar zij positief bijdragen aan een evenwichtige ontwikkeling van het nationale en Europese AI-ecosysteem.</w:t>
      </w:r>
    </w:p>
    <w:p w:rsidR="00E93B23" w:rsidP="00E93B23" w:rsidRDefault="00E93B23" w14:paraId="2EF8292F" w14:textId="77777777">
      <w:pPr>
        <w:rPr>
          <w:rFonts w:eastAsia="Verdana" w:cs="Verdana"/>
          <w:szCs w:val="18"/>
        </w:rPr>
      </w:pPr>
      <w:r>
        <w:rPr>
          <w:rFonts w:eastAsia="Verdana" w:cs="Verdana"/>
          <w:szCs w:val="18"/>
        </w:rPr>
        <w:t xml:space="preserve">Dit kunnen volledig private </w:t>
      </w:r>
      <w:r w:rsidRPr="0FA982D2">
        <w:rPr>
          <w:rFonts w:eastAsia="Verdana" w:cs="Verdana"/>
          <w:szCs w:val="18"/>
        </w:rPr>
        <w:t xml:space="preserve">AI-infrastructuur </w:t>
      </w:r>
      <w:r>
        <w:rPr>
          <w:rFonts w:eastAsia="Verdana" w:cs="Verdana"/>
          <w:szCs w:val="18"/>
        </w:rPr>
        <w:t>projecten zijn.</w:t>
      </w:r>
    </w:p>
    <w:p w:rsidRPr="005461DA" w:rsidR="00E93B23" w:rsidP="00E93B23" w:rsidRDefault="00E93B23" w14:paraId="0150CAD1" w14:textId="77777777">
      <w:pPr>
        <w:rPr>
          <w:szCs w:val="18"/>
        </w:rPr>
      </w:pPr>
      <w:r w:rsidRPr="00A5205A">
        <w:rPr>
          <w:szCs w:val="18"/>
        </w:rPr>
        <w:t xml:space="preserve">Met betrekking tot het </w:t>
      </w:r>
      <w:r>
        <w:rPr>
          <w:szCs w:val="18"/>
        </w:rPr>
        <w:t xml:space="preserve">specifieke publiek-private </w:t>
      </w:r>
      <w:r w:rsidRPr="00A5205A">
        <w:rPr>
          <w:szCs w:val="18"/>
        </w:rPr>
        <w:t>Europese AI-gigafabrieken initiatief heeft</w:t>
      </w:r>
      <w:r>
        <w:rPr>
          <w:szCs w:val="18"/>
        </w:rPr>
        <w:t xml:space="preserve"> h</w:t>
      </w:r>
      <w:r w:rsidRPr="004A6051">
        <w:rPr>
          <w:szCs w:val="18"/>
        </w:rPr>
        <w:t>et kabinet nog geen definitieve besluitvorming afgerond of formele keuze gemaakt om mee te financieren aan een AI-gigafabriek binnen de EuroHPC call voor AI-gigafabrieken die nog opengesteld moet worden.</w:t>
      </w:r>
      <w:r w:rsidRPr="004A6051">
        <w:rPr>
          <w:szCs w:val="18"/>
          <w:vertAlign w:val="superscript"/>
        </w:rPr>
        <w:footnoteReference w:id="16"/>
      </w:r>
      <w:r w:rsidRPr="004A6051">
        <w:rPr>
          <w:szCs w:val="18"/>
        </w:rPr>
        <w:t xml:space="preserve"> De precieze randvoorwaarden voor ondersteuning en co-financiering van een AI-gigafabriek worden op dit moment nog uitgewerkt door de Europese Commissie en zullen bij openstelling van de call bekend zijn. Wel is in de amendering van de EuroHPC-verordening al benadrukt dat voor AI-gigafabrieken energie-efficiëntie en duurzaamheid deel zullen uitmaken van de criteria die de Commissie wil meenemen in het selectieproces.</w:t>
      </w:r>
    </w:p>
    <w:p w:rsidRPr="001104B1" w:rsidR="00E93B23" w:rsidP="00E93B23" w:rsidRDefault="00E93B23" w14:paraId="13816621" w14:textId="77777777"/>
    <w:p w:rsidR="002C3023" w:rsidRDefault="002C3023" w14:paraId="6637CE4A" w14:textId="77777777"/>
    <w:sectPr w:rsidR="002C3023" w:rsidSect="00E93B2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BEC0" w14:textId="77777777" w:rsidR="00E93B23" w:rsidRDefault="00E93B23" w:rsidP="00E93B23">
      <w:pPr>
        <w:spacing w:after="0" w:line="240" w:lineRule="auto"/>
      </w:pPr>
      <w:r>
        <w:separator/>
      </w:r>
    </w:p>
  </w:endnote>
  <w:endnote w:type="continuationSeparator" w:id="0">
    <w:p w14:paraId="1947D259" w14:textId="77777777" w:rsidR="00E93B23" w:rsidRDefault="00E93B23" w:rsidP="00E9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761D" w14:textId="77777777" w:rsidR="00E93B23" w:rsidRPr="00E93B23" w:rsidRDefault="00E93B23" w:rsidP="00E93B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A302" w14:textId="77777777" w:rsidR="00E93B23" w:rsidRPr="00E93B23" w:rsidRDefault="00E93B23" w:rsidP="00E93B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6212" w14:textId="77777777" w:rsidR="00E93B23" w:rsidRPr="00E93B23" w:rsidRDefault="00E93B23" w:rsidP="00E93B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E9EC" w14:textId="77777777" w:rsidR="00E93B23" w:rsidRDefault="00E93B23" w:rsidP="00E93B23">
      <w:pPr>
        <w:spacing w:after="0" w:line="240" w:lineRule="auto"/>
      </w:pPr>
      <w:r>
        <w:separator/>
      </w:r>
    </w:p>
  </w:footnote>
  <w:footnote w:type="continuationSeparator" w:id="0">
    <w:p w14:paraId="2BEFB045" w14:textId="77777777" w:rsidR="00E93B23" w:rsidRDefault="00E93B23" w:rsidP="00E93B23">
      <w:pPr>
        <w:spacing w:after="0" w:line="240" w:lineRule="auto"/>
      </w:pPr>
      <w:r>
        <w:continuationSeparator/>
      </w:r>
    </w:p>
  </w:footnote>
  <w:footnote w:id="1">
    <w:p w14:paraId="49A88073" w14:textId="77777777" w:rsidR="00E93B23" w:rsidRDefault="00E93B23" w:rsidP="00E93B23">
      <w:pPr>
        <w:pStyle w:val="Voetnoottekst"/>
      </w:pPr>
      <w:r>
        <w:rPr>
          <w:rStyle w:val="Voetnootmarkering"/>
        </w:rPr>
        <w:footnoteRef/>
      </w:r>
      <w:r>
        <w:t xml:space="preserve"> Zie ‘Actualisatie voortgang Landelijk Actieprogramma Netcongestie’, bijlage bij Kamerstukken II, 2025/26, 29023, nr. 597</w:t>
      </w:r>
    </w:p>
  </w:footnote>
  <w:footnote w:id="2">
    <w:p w14:paraId="605489ED" w14:textId="77777777" w:rsidR="00E93B23" w:rsidRDefault="00E93B23" w:rsidP="00E93B23">
      <w:pPr>
        <w:pStyle w:val="Voetnoottekst"/>
      </w:pPr>
      <w:r>
        <w:rPr>
          <w:rStyle w:val="Voetnootmarkering"/>
        </w:rPr>
        <w:footnoteRef/>
      </w:r>
      <w:r>
        <w:t xml:space="preserve"> Kamerstukken II, 2025/26, 29023, nr. 597 (bijlage)</w:t>
      </w:r>
    </w:p>
  </w:footnote>
  <w:footnote w:id="3">
    <w:p w14:paraId="263C343F" w14:textId="77777777" w:rsidR="00E93B23" w:rsidRDefault="00E93B23" w:rsidP="00E93B23">
      <w:pPr>
        <w:pStyle w:val="Voetnoottekst"/>
      </w:pPr>
      <w:r>
        <w:rPr>
          <w:rStyle w:val="Voetnootmarkering"/>
        </w:rPr>
        <w:footnoteRef/>
      </w:r>
      <w:r>
        <w:t xml:space="preserve"> </w:t>
      </w:r>
      <w:hyperlink r:id="rId1" w:history="1">
        <w:r w:rsidRPr="000E020F">
          <w:rPr>
            <w:rStyle w:val="Hyperlink"/>
            <w:rFonts w:eastAsiaTheme="majorEastAsia"/>
          </w:rPr>
          <w:t>https://data.partnersinenergie.nl/capaciteitskaart/totaal/afname</w:t>
        </w:r>
      </w:hyperlink>
      <w:r>
        <w:t xml:space="preserve"> </w:t>
      </w:r>
    </w:p>
  </w:footnote>
  <w:footnote w:id="4">
    <w:p w14:paraId="6EAD24FC" w14:textId="77777777" w:rsidR="00E93B23" w:rsidRDefault="00E93B23" w:rsidP="00E93B23">
      <w:pPr>
        <w:pStyle w:val="Voetnoottekst"/>
      </w:pPr>
      <w:r>
        <w:rPr>
          <w:rStyle w:val="Voetnootmarkering"/>
        </w:rPr>
        <w:footnoteRef/>
      </w:r>
      <w:r>
        <w:t xml:space="preserve"> </w:t>
      </w:r>
      <w:hyperlink r:id="rId2" w:history="1">
        <w:r w:rsidRPr="00934C66">
          <w:rPr>
            <w:rStyle w:val="Hyperlink"/>
            <w:rFonts w:eastAsiaTheme="majorEastAsia"/>
          </w:rPr>
          <w:t>https://www.tennet.eu/nl/nieuws/ruimte-op-het-zeeuwse-stroomnet-voor-61-bedrijven</w:t>
        </w:r>
      </w:hyperlink>
      <w:r>
        <w:t xml:space="preserve"> </w:t>
      </w:r>
    </w:p>
  </w:footnote>
  <w:footnote w:id="5">
    <w:p w14:paraId="0370B80F" w14:textId="77777777" w:rsidR="00E93B23" w:rsidRDefault="00E93B23" w:rsidP="00E93B23">
      <w:pPr>
        <w:pStyle w:val="Voetnoottekst"/>
      </w:pPr>
      <w:r>
        <w:rPr>
          <w:rStyle w:val="Voetnootmarkering"/>
        </w:rPr>
        <w:footnoteRef/>
      </w:r>
      <w:r>
        <w:t xml:space="preserve"> Kamerstukken II, 2025/26, 29023, nr. 597</w:t>
      </w:r>
    </w:p>
  </w:footnote>
  <w:footnote w:id="6">
    <w:p w14:paraId="1651C921" w14:textId="77777777" w:rsidR="00E93B23" w:rsidRDefault="00E93B23" w:rsidP="00E93B23">
      <w:pPr>
        <w:pStyle w:val="Voetnoottekst"/>
      </w:pPr>
      <w:r>
        <w:rPr>
          <w:rStyle w:val="Voetnootmarkering"/>
        </w:rPr>
        <w:footnoteRef/>
      </w:r>
      <w:r>
        <w:t xml:space="preserve"> Kamerstukken II 2024/25, 29023, nr. 566</w:t>
      </w:r>
    </w:p>
  </w:footnote>
  <w:footnote w:id="7">
    <w:p w14:paraId="5A9DBADF" w14:textId="77777777" w:rsidR="00E93B23" w:rsidRDefault="00E93B23" w:rsidP="00E93B23">
      <w:pPr>
        <w:pStyle w:val="Voetnoottekst"/>
      </w:pPr>
      <w:r>
        <w:rPr>
          <w:rStyle w:val="Voetnootmarkering"/>
        </w:rPr>
        <w:footnoteRef/>
      </w:r>
      <w:r>
        <w:t xml:space="preserve"> Kamerstukken II 2025/26, </w:t>
      </w:r>
      <w:r w:rsidRPr="009F3792">
        <w:t>32813, nr. 1543</w:t>
      </w:r>
    </w:p>
  </w:footnote>
  <w:footnote w:id="8">
    <w:p w14:paraId="7016EC94" w14:textId="77777777" w:rsidR="00E93B23" w:rsidRDefault="00E93B23" w:rsidP="00E93B23">
      <w:pPr>
        <w:pStyle w:val="Voetnoottekst"/>
      </w:pPr>
      <w:r>
        <w:rPr>
          <w:rStyle w:val="Voetnootmarkering"/>
        </w:rPr>
        <w:footnoteRef/>
      </w:r>
      <w:r>
        <w:t xml:space="preserve"> Kamerstukken II 2024/25, 33043, nr. 114 </w:t>
      </w:r>
    </w:p>
  </w:footnote>
  <w:footnote w:id="9">
    <w:p w14:paraId="3A7ED55D" w14:textId="77777777" w:rsidR="00E93B23" w:rsidRDefault="00E93B23" w:rsidP="00E93B23">
      <w:pPr>
        <w:pStyle w:val="Voetnoottekst"/>
      </w:pPr>
      <w:r>
        <w:rPr>
          <w:rStyle w:val="Voetnootmarkering"/>
        </w:rPr>
        <w:footnoteRef/>
      </w:r>
      <w:r>
        <w:t xml:space="preserve"> Kamerstukken II 2025/26, 33043, nr. 119</w:t>
      </w:r>
    </w:p>
  </w:footnote>
  <w:footnote w:id="10">
    <w:p w14:paraId="2ECC2455" w14:textId="77777777" w:rsidR="00E93B23" w:rsidRDefault="00E93B23" w:rsidP="00E93B23">
      <w:pPr>
        <w:pStyle w:val="Voetnoottekst"/>
      </w:pPr>
      <w:r w:rsidRPr="00B77E49">
        <w:rPr>
          <w:rStyle w:val="Voetnootmarkering"/>
          <w:szCs w:val="13"/>
        </w:rPr>
        <w:footnoteRef/>
      </w:r>
      <w:r>
        <w:rPr>
          <w:szCs w:val="13"/>
        </w:rPr>
        <w:t xml:space="preserve"> </w:t>
      </w:r>
      <w:r w:rsidRPr="00B77E49">
        <w:rPr>
          <w:szCs w:val="13"/>
        </w:rPr>
        <w:t>Kamerstukken II 2024-2025, 29023, nr. 567</w:t>
      </w:r>
    </w:p>
  </w:footnote>
  <w:footnote w:id="11">
    <w:p w14:paraId="689A98A8" w14:textId="77777777" w:rsidR="00E93B23" w:rsidRDefault="00E93B23" w:rsidP="00E93B23">
      <w:pPr>
        <w:pStyle w:val="Voetnoottekst"/>
      </w:pPr>
      <w:r>
        <w:rPr>
          <w:rStyle w:val="Voetnootmarkering"/>
        </w:rPr>
        <w:footnoteRef/>
      </w:r>
      <w:r>
        <w:t xml:space="preserve"> </w:t>
      </w:r>
      <w:hyperlink r:id="rId3" w:history="1">
        <w:r w:rsidRPr="00395090">
          <w:rPr>
            <w:rStyle w:val="Hyperlink"/>
          </w:rPr>
          <w:t>https://www.rijksoverheid.nl/documenten/rapporten/2025/09/16/uitkomsten-onderzoek-amortisatievariant-t-b-v-elektriciteitstarieven</w:t>
        </w:r>
      </w:hyperlink>
      <w:r>
        <w:t xml:space="preserve"> </w:t>
      </w:r>
    </w:p>
  </w:footnote>
  <w:footnote w:id="12">
    <w:p w14:paraId="0DDF65B0" w14:textId="77777777" w:rsidR="00E93B23" w:rsidRDefault="00E93B23" w:rsidP="00E93B23">
      <w:pPr>
        <w:pStyle w:val="Voetnoottekst"/>
      </w:pPr>
      <w:r>
        <w:rPr>
          <w:rStyle w:val="Voetnootmarkering"/>
        </w:rPr>
        <w:footnoteRef/>
      </w:r>
      <w:r>
        <w:t xml:space="preserve"> Kamerstukken II 2025/26, </w:t>
      </w:r>
      <w:r w:rsidRPr="009F3792">
        <w:t>32813, nr. 1543</w:t>
      </w:r>
    </w:p>
  </w:footnote>
  <w:footnote w:id="13">
    <w:p w14:paraId="4E4CBFB1" w14:textId="77777777" w:rsidR="00E93B23" w:rsidRDefault="00E93B23" w:rsidP="00E93B23">
      <w:pPr>
        <w:pStyle w:val="Voetnoottekst"/>
      </w:pPr>
      <w:r>
        <w:rPr>
          <w:rStyle w:val="Voetnootmarkering"/>
        </w:rPr>
        <w:footnoteRef/>
      </w:r>
      <w:r>
        <w:t xml:space="preserve"> Kamerstukken II 2024/25, 33043, nr. 114</w:t>
      </w:r>
    </w:p>
  </w:footnote>
  <w:footnote w:id="14">
    <w:p w14:paraId="7162D053" w14:textId="77777777" w:rsidR="00E93B23" w:rsidRDefault="00E93B23" w:rsidP="00E93B23">
      <w:pPr>
        <w:pStyle w:val="Voetnoottekst"/>
      </w:pPr>
      <w:r>
        <w:rPr>
          <w:rStyle w:val="Voetnootmarkering"/>
        </w:rPr>
        <w:footnoteRef/>
      </w:r>
      <w:r>
        <w:t xml:space="preserve"> Kamerstukken II 2024/25, 33043, nr. 119</w:t>
      </w:r>
    </w:p>
  </w:footnote>
  <w:footnote w:id="15">
    <w:p w14:paraId="76DEF6FC" w14:textId="77777777" w:rsidR="00E93B23" w:rsidRDefault="00E93B23" w:rsidP="00E93B23">
      <w:pPr>
        <w:pStyle w:val="Voetnoottekst"/>
      </w:pPr>
      <w:r>
        <w:rPr>
          <w:rStyle w:val="Voetnootmarkering"/>
        </w:rPr>
        <w:footnoteRef/>
      </w:r>
      <w:r>
        <w:t xml:space="preserve"> </w:t>
      </w:r>
      <w:hyperlink r:id="rId4" w:history="1">
        <w:r>
          <w:rPr>
            <w:rStyle w:val="Hyperlink"/>
          </w:rPr>
          <w:t>Speelveldtoets (2025)</w:t>
        </w:r>
      </w:hyperlink>
    </w:p>
  </w:footnote>
  <w:footnote w:id="16">
    <w:p w14:paraId="62B6250B" w14:textId="77777777" w:rsidR="00E93B23" w:rsidRDefault="00E93B23" w:rsidP="00E93B23">
      <w:pPr>
        <w:pStyle w:val="Voetnoottekst"/>
      </w:pPr>
      <w:r w:rsidRPr="00D53FFC">
        <w:rPr>
          <w:rStyle w:val="Voetnootmarkering"/>
          <w:szCs w:val="13"/>
        </w:rPr>
        <w:footnoteRef/>
      </w:r>
      <w:r w:rsidRPr="00D53FFC">
        <w:rPr>
          <w:szCs w:val="13"/>
        </w:rPr>
        <w:t xml:space="preserve"> Kamerstuk</w:t>
      </w:r>
      <w:r>
        <w:rPr>
          <w:szCs w:val="13"/>
        </w:rPr>
        <w:t xml:space="preserve">ken II, 2025/26, </w:t>
      </w:r>
      <w:r w:rsidRPr="00D53FFC">
        <w:rPr>
          <w:szCs w:val="13"/>
        </w:rPr>
        <w:t>26643, nr. 1451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0625" w14:textId="77777777" w:rsidR="00E93B23" w:rsidRPr="00E93B23" w:rsidRDefault="00E93B23" w:rsidP="00E93B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84968" w14:textId="77777777" w:rsidR="00E93B23" w:rsidRPr="00E93B23" w:rsidRDefault="00E93B23" w:rsidP="00E93B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3B8B" w14:textId="77777777" w:rsidR="00E93B23" w:rsidRPr="00E93B23" w:rsidRDefault="00E93B23" w:rsidP="00E93B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B23"/>
    <w:rsid w:val="002C3023"/>
    <w:rsid w:val="00DF7A30"/>
    <w:rsid w:val="00E83076"/>
    <w:rsid w:val="00E93B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828A2"/>
  <w15:chartTrackingRefBased/>
  <w15:docId w15:val="{1D7B5515-DE61-4BDB-AD40-D22EB044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3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3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3B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3B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3B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3B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3B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3B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3B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3B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3B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3B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3B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3B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3B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3B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3B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3B23"/>
    <w:rPr>
      <w:rFonts w:eastAsiaTheme="majorEastAsia" w:cstheme="majorBidi"/>
      <w:color w:val="272727" w:themeColor="text1" w:themeTint="D8"/>
    </w:rPr>
  </w:style>
  <w:style w:type="paragraph" w:styleId="Titel">
    <w:name w:val="Title"/>
    <w:basedOn w:val="Standaard"/>
    <w:next w:val="Standaard"/>
    <w:link w:val="TitelChar"/>
    <w:uiPriority w:val="10"/>
    <w:qFormat/>
    <w:rsid w:val="00E93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3B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3B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3B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3B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3B23"/>
    <w:rPr>
      <w:i/>
      <w:iCs/>
      <w:color w:val="404040" w:themeColor="text1" w:themeTint="BF"/>
    </w:rPr>
  </w:style>
  <w:style w:type="paragraph" w:styleId="Lijstalinea">
    <w:name w:val="List Paragraph"/>
    <w:basedOn w:val="Standaard"/>
    <w:uiPriority w:val="34"/>
    <w:qFormat/>
    <w:rsid w:val="00E93B23"/>
    <w:pPr>
      <w:ind w:left="720"/>
      <w:contextualSpacing/>
    </w:pPr>
  </w:style>
  <w:style w:type="character" w:styleId="Intensievebenadrukking">
    <w:name w:val="Intense Emphasis"/>
    <w:basedOn w:val="Standaardalinea-lettertype"/>
    <w:uiPriority w:val="21"/>
    <w:qFormat/>
    <w:rsid w:val="00E93B23"/>
    <w:rPr>
      <w:i/>
      <w:iCs/>
      <w:color w:val="0F4761" w:themeColor="accent1" w:themeShade="BF"/>
    </w:rPr>
  </w:style>
  <w:style w:type="paragraph" w:styleId="Duidelijkcitaat">
    <w:name w:val="Intense Quote"/>
    <w:basedOn w:val="Standaard"/>
    <w:next w:val="Standaard"/>
    <w:link w:val="DuidelijkcitaatChar"/>
    <w:uiPriority w:val="30"/>
    <w:qFormat/>
    <w:rsid w:val="00E93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3B23"/>
    <w:rPr>
      <w:i/>
      <w:iCs/>
      <w:color w:val="0F4761" w:themeColor="accent1" w:themeShade="BF"/>
    </w:rPr>
  </w:style>
  <w:style w:type="character" w:styleId="Intensieveverwijzing">
    <w:name w:val="Intense Reference"/>
    <w:basedOn w:val="Standaardalinea-lettertype"/>
    <w:uiPriority w:val="32"/>
    <w:qFormat/>
    <w:rsid w:val="00E93B23"/>
    <w:rPr>
      <w:b/>
      <w:bCs/>
      <w:smallCaps/>
      <w:color w:val="0F4761" w:themeColor="accent1" w:themeShade="BF"/>
      <w:spacing w:val="5"/>
    </w:rPr>
  </w:style>
  <w:style w:type="paragraph" w:styleId="Koptekst">
    <w:name w:val="header"/>
    <w:basedOn w:val="Standaard"/>
    <w:link w:val="KoptekstChar"/>
    <w:rsid w:val="00E93B2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93B2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93B2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93B2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93B2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93B23"/>
    <w:rPr>
      <w:rFonts w:ascii="Verdana" w:hAnsi="Verdana"/>
      <w:noProof/>
      <w:sz w:val="13"/>
      <w:szCs w:val="24"/>
      <w:lang w:eastAsia="nl-NL"/>
    </w:rPr>
  </w:style>
  <w:style w:type="paragraph" w:customStyle="1" w:styleId="Huisstijl-Gegeven">
    <w:name w:val="Huisstijl-Gegeven"/>
    <w:basedOn w:val="Standaard"/>
    <w:link w:val="Huisstijl-GegevenCharChar"/>
    <w:rsid w:val="00E93B2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93B2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93B2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93B23"/>
    <w:rPr>
      <w:color w:val="0000FF"/>
      <w:u w:val="single"/>
    </w:rPr>
  </w:style>
  <w:style w:type="paragraph" w:customStyle="1" w:styleId="Huisstijl-Retouradres">
    <w:name w:val="Huisstijl-Retouradres"/>
    <w:basedOn w:val="Standaard"/>
    <w:rsid w:val="00E93B2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93B23"/>
    <w:pPr>
      <w:spacing w:after="0"/>
    </w:pPr>
    <w:rPr>
      <w:b/>
    </w:rPr>
  </w:style>
  <w:style w:type="paragraph" w:customStyle="1" w:styleId="Huisstijl-Paginanummering">
    <w:name w:val="Huisstijl-Paginanummering"/>
    <w:basedOn w:val="Standaard"/>
    <w:rsid w:val="00E93B2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93B2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E93B2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E93B2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E93B23"/>
    <w:rPr>
      <w:vertAlign w:val="superscript"/>
    </w:rPr>
  </w:style>
  <w:style w:type="paragraph" w:styleId="Geenafstand">
    <w:name w:val="No Spacing"/>
    <w:uiPriority w:val="1"/>
    <w:qFormat/>
    <w:rsid w:val="00E93B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5/09/16/uitkomsten-onderzoek-amortisatievariant-t-b-v-elektriciteitstarieven" TargetMode="External"/><Relationship Id="rId2" Type="http://schemas.openxmlformats.org/officeDocument/2006/relationships/hyperlink" Target="https://www.tennet.eu/nl/nieuws/ruimte-op-het-zeeuwse-stroomnet-voor-61-bedrijven" TargetMode="External"/><Relationship Id="rId1" Type="http://schemas.openxmlformats.org/officeDocument/2006/relationships/hyperlink" Target="https://data.partnersinenergie.nl/capaciteitskaart/totaal/afname" TargetMode="External"/><Relationship Id="rId4" Type="http://schemas.openxmlformats.org/officeDocument/2006/relationships/hyperlink" Target="https://open.overheid.nl/documenten/f24c5701-8eef-4133-b7ca-05a26e5fcb7b/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2934</ap:Words>
  <ap:Characters>16141</ap:Characters>
  <ap:DocSecurity>0</ap:DocSecurity>
  <ap:Lines>134</ap:Lines>
  <ap:Paragraphs>38</ap:Paragraphs>
  <ap:ScaleCrop>false</ap:ScaleCrop>
  <ap:LinksUpToDate>false</ap:LinksUpToDate>
  <ap:CharactersWithSpaces>19037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2026-02-02T13:20:00.0000000Z</dcterms:created>
  <dcterms:modified xsi:type="dcterms:W3CDTF">2026-02-02T13:21:00.0000000Z</dcterms:modified>
  <version/>
  <category/>
</coreProperties>
</file>