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811950" w:rsidRDefault="00A97BB8" w14:paraId="6A7DF8AD" w14:textId="77777777">
      <w:pPr>
        <w:suppressAutoHyphens/>
        <w:rPr>
          <w:lang w:val="en-US"/>
        </w:rPr>
      </w:pPr>
      <w:bookmarkStart w:name="bmkMinuut" w:id="0"/>
      <w:bookmarkEnd w:id="0"/>
    </w:p>
    <w:p w:rsidR="00A97BB8" w:rsidP="00811950" w:rsidRDefault="00A97BB8" w14:paraId="7DB9E92C" w14:textId="77777777">
      <w:pPr>
        <w:suppressAutoHyphens/>
        <w:rPr>
          <w:lang w:val="en-US"/>
        </w:rPr>
      </w:pPr>
    </w:p>
    <w:p w:rsidRPr="00A97BB8" w:rsidR="00A97BB8" w:rsidP="00811950" w:rsidRDefault="00FA6F6B" w14:paraId="6033458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859EB" w:rsidTr="001E7B11" w14:paraId="1999B12B" w14:textId="77777777">
        <w:tc>
          <w:tcPr>
            <w:tcW w:w="3510" w:type="dxa"/>
          </w:tcPr>
          <w:p w:rsidR="0075628C" w:rsidP="00811950" w:rsidRDefault="0075628C" w14:paraId="29FE3DE8" w14:textId="77777777">
            <w:pPr>
              <w:suppressAutoHyphens/>
            </w:pPr>
          </w:p>
        </w:tc>
      </w:tr>
    </w:tbl>
    <w:p w:rsidR="003502AE" w:rsidP="00811950" w:rsidRDefault="003502AE" w14:paraId="382E87D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811950" w:rsidRDefault="003502AE" w14:paraId="6C1D953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D47B0" w:rsidR="007D47B0" w:rsidP="00811950" w:rsidRDefault="00FA6F6B" w14:paraId="45F38BCC" w14:textId="77777777">
      <w:pPr>
        <w:widowControl w:val="0"/>
        <w:suppressAutoHyphens/>
        <w:autoSpaceDN w:val="0"/>
        <w:spacing w:line="240" w:lineRule="exact"/>
        <w:textAlignment w:val="baseline"/>
        <w:rPr>
          <w:rFonts w:cs="Lohit Hindi"/>
          <w:kern w:val="3"/>
          <w:szCs w:val="24"/>
          <w:lang w:eastAsia="zh-CN" w:bidi="hi-IN"/>
        </w:rPr>
      </w:pPr>
      <w:r w:rsidRPr="007D47B0">
        <w:rPr>
          <w:rFonts w:cs="Lohit Hindi"/>
          <w:kern w:val="3"/>
          <w:szCs w:val="24"/>
          <w:lang w:eastAsia="zh-CN" w:bidi="hi-IN"/>
        </w:rPr>
        <w:t>De Voorzitter van de Tweede Kamer</w:t>
      </w:r>
      <w:r w:rsidRPr="007D47B0">
        <w:rPr>
          <w:rFonts w:cs="Lohit Hindi"/>
          <w:kern w:val="3"/>
          <w:szCs w:val="24"/>
          <w:lang w:eastAsia="zh-CN" w:bidi="hi-IN"/>
        </w:rPr>
        <w:br/>
        <w:t>der Staten-Generaal</w:t>
      </w:r>
      <w:r w:rsidRPr="007D47B0">
        <w:rPr>
          <w:rFonts w:cs="Lohit Hindi"/>
          <w:kern w:val="3"/>
          <w:szCs w:val="24"/>
          <w:lang w:eastAsia="zh-CN" w:bidi="hi-IN"/>
        </w:rPr>
        <w:br/>
        <w:t>Postbus 20018</w:t>
      </w:r>
      <w:r w:rsidRPr="007D47B0">
        <w:rPr>
          <w:rFonts w:cs="Lohit Hindi"/>
          <w:kern w:val="3"/>
          <w:szCs w:val="24"/>
          <w:lang w:eastAsia="zh-CN" w:bidi="hi-IN"/>
        </w:rPr>
        <w:br/>
        <w:t>2500 EA  DEN HAAG</w:t>
      </w:r>
    </w:p>
    <w:p w:rsidRPr="007D47B0" w:rsidR="003502AE" w:rsidP="00811950" w:rsidRDefault="003502AE" w14:paraId="2B46D8F8" w14:textId="77777777">
      <w:pPr>
        <w:widowControl w:val="0"/>
        <w:suppressAutoHyphens/>
        <w:autoSpaceDN w:val="0"/>
        <w:spacing w:line="240" w:lineRule="exact"/>
        <w:textAlignment w:val="baseline"/>
        <w:rPr>
          <w:rFonts w:eastAsia="SimSun" w:cs="Lohit Hindi"/>
          <w:kern w:val="3"/>
          <w:szCs w:val="24"/>
          <w:lang w:eastAsia="zh-CN" w:bidi="hi-IN"/>
        </w:rPr>
      </w:pPr>
    </w:p>
    <w:p w:rsidRPr="007D47B0" w:rsidR="003502AE" w:rsidP="00811950" w:rsidRDefault="00FA6F6B" w14:paraId="57FE5CFC" w14:textId="77777777">
      <w:pPr>
        <w:widowControl w:val="0"/>
        <w:suppressAutoHyphens/>
        <w:autoSpaceDN w:val="0"/>
        <w:spacing w:line="240" w:lineRule="exact"/>
        <w:textAlignment w:val="baseline"/>
        <w:rPr>
          <w:rFonts w:eastAsia="SimSun" w:cs="Lohit Hindi"/>
          <w:kern w:val="3"/>
          <w:szCs w:val="24"/>
          <w:lang w:eastAsia="zh-CN" w:bidi="hi-IN"/>
        </w:rPr>
      </w:pPr>
      <w:r w:rsidRPr="007D47B0">
        <w:rPr>
          <w:rFonts w:eastAsia="SimSun" w:cs="Lohit Hindi"/>
          <w:kern w:val="3"/>
          <w:szCs w:val="24"/>
          <w:lang w:eastAsia="zh-CN" w:bidi="hi-IN"/>
        </w:rPr>
        <w:t xml:space="preserve">  </w:t>
      </w:r>
    </w:p>
    <w:p w:rsidR="00A97BB8" w:rsidP="00811950" w:rsidRDefault="00A97BB8" w14:paraId="544226E8" w14:textId="77777777">
      <w:pPr>
        <w:suppressAutoHyphens/>
      </w:pPr>
    </w:p>
    <w:p w:rsidRPr="007539FC" w:rsidR="00C04DE9" w:rsidP="00811950" w:rsidRDefault="00C04DE9" w14:paraId="08DB79B0" w14:textId="77777777">
      <w:pPr>
        <w:suppressAutoHyphens/>
      </w:pPr>
    </w:p>
    <w:p w:rsidRPr="007539FC" w:rsidR="00A97BB8" w:rsidP="00811950" w:rsidRDefault="00A97BB8" w14:paraId="66D7FB86" w14:textId="77777777">
      <w:pPr>
        <w:suppressAutoHyphens/>
      </w:pPr>
    </w:p>
    <w:p w:rsidR="00054C93" w:rsidP="00811950" w:rsidRDefault="00054C93" w14:paraId="06D9326D" w14:textId="77777777">
      <w:pPr>
        <w:tabs>
          <w:tab w:val="left" w:pos="737"/>
        </w:tabs>
        <w:suppressAutoHyphens/>
        <w:outlineLvl w:val="0"/>
      </w:pPr>
    </w:p>
    <w:p w:rsidR="00054C93" w:rsidP="00811950" w:rsidRDefault="00054C93" w14:paraId="557044E8" w14:textId="77777777">
      <w:pPr>
        <w:tabs>
          <w:tab w:val="left" w:pos="737"/>
        </w:tabs>
        <w:suppressAutoHyphens/>
        <w:outlineLvl w:val="0"/>
      </w:pPr>
    </w:p>
    <w:p w:rsidR="009E59AE" w:rsidP="00811950" w:rsidRDefault="009E59AE" w14:paraId="4F1052CB" w14:textId="77777777">
      <w:pPr>
        <w:tabs>
          <w:tab w:val="left" w:pos="737"/>
        </w:tabs>
        <w:suppressAutoHyphens/>
        <w:outlineLvl w:val="0"/>
      </w:pPr>
    </w:p>
    <w:p w:rsidR="00516695" w:rsidP="00811950" w:rsidRDefault="00FA6F6B" w14:paraId="40451FC5" w14:textId="22374B79">
      <w:pPr>
        <w:tabs>
          <w:tab w:val="left" w:pos="737"/>
        </w:tabs>
        <w:suppressAutoHyphens/>
        <w:outlineLvl w:val="0"/>
      </w:pPr>
      <w:r>
        <w:t>Datum</w:t>
      </w:r>
      <w:r w:rsidR="00682AC0">
        <w:tab/>
      </w:r>
      <w:r w:rsidR="009A6ADB">
        <w:t>2 februari 2026</w:t>
      </w:r>
    </w:p>
    <w:p w:rsidRPr="007539FC" w:rsidR="00005041" w:rsidP="00811950" w:rsidRDefault="00FA6F6B" w14:paraId="36E0A33B" w14:textId="0C23E2BD">
      <w:pPr>
        <w:tabs>
          <w:tab w:val="left" w:pos="737"/>
        </w:tabs>
        <w:suppressAutoHyphens/>
        <w:outlineLvl w:val="0"/>
      </w:pPr>
      <w:r>
        <w:t>Betreft</w:t>
      </w:r>
      <w:r w:rsidR="00D10638">
        <w:t xml:space="preserve"> </w:t>
      </w:r>
      <w:r w:rsidR="00811950">
        <w:t>C</w:t>
      </w:r>
      <w:r w:rsidR="006D0A6A">
        <w:t>ommissiebrief naar aanleiding van</w:t>
      </w:r>
      <w:r>
        <w:t xml:space="preserve"> </w:t>
      </w:r>
      <w:r w:rsidR="005212B5">
        <w:t xml:space="preserve">het bericht ‘Oudere gebukt onder zorggat; Tienduizenden krijgen uitgekleed pakket’ </w:t>
      </w:r>
    </w:p>
    <w:p w:rsidR="004542AB" w:rsidP="00811950" w:rsidRDefault="004542AB" w14:paraId="62E2E007" w14:textId="77777777">
      <w:pPr>
        <w:suppressAutoHyphens/>
      </w:pPr>
    </w:p>
    <w:p w:rsidRPr="007539FC" w:rsidR="004542AB" w:rsidP="00811950" w:rsidRDefault="004542AB" w14:paraId="34B96554" w14:textId="77777777">
      <w:pPr>
        <w:suppressAutoHyphens/>
      </w:pPr>
    </w:p>
    <w:p w:rsidR="004542AB" w:rsidP="00811950" w:rsidRDefault="004542AB" w14:paraId="477119DD" w14:textId="77777777">
      <w:pPr>
        <w:suppressAutoHyphens/>
      </w:pPr>
    </w:p>
    <w:p w:rsidR="004542AB" w:rsidP="00811950" w:rsidRDefault="00FA6F6B" w14:paraId="58F9FEA9" w14:textId="77777777">
      <w:pPr>
        <w:suppressAutoHyphens/>
      </w:pPr>
      <w:r>
        <w:t>Geachte voorzitter,</w:t>
      </w:r>
    </w:p>
    <w:p w:rsidR="004542AB" w:rsidP="00811950" w:rsidRDefault="004542AB" w14:paraId="09AB8F43" w14:textId="77777777">
      <w:pPr>
        <w:suppressAutoHyphens/>
      </w:pPr>
    </w:p>
    <w:p w:rsidR="006D0A6A" w:rsidP="00811950" w:rsidRDefault="00FA6F6B" w14:paraId="15A3A61B" w14:textId="77777777">
      <w:pPr>
        <w:suppressAutoHyphens/>
      </w:pPr>
      <w:r>
        <w:t xml:space="preserve">Tijdens de regeling van werkzaamheden van 2 december 2025 heeft uw Kamer verzocht om een brief naar aanleiding van het bericht ‘Oudere gebukt onder zorggat; Tienduizenden krijgen uitgekleed pakket’ van 29 november 2025 in de Telegraaf. Dit verzoek </w:t>
      </w:r>
      <w:r w:rsidR="00971F45">
        <w:t>staat in</w:t>
      </w:r>
      <w:r>
        <w:t xml:space="preserve"> uw brief met kenmerk 2025Z20994 van eveneens 2 december 2025</w:t>
      </w:r>
      <w:r w:rsidR="00971F45">
        <w:t>,</w:t>
      </w:r>
      <w:r>
        <w:t xml:space="preserve"> met daarin </w:t>
      </w:r>
      <w:r w:rsidR="007D47B0">
        <w:t>d</w:t>
      </w:r>
      <w:r>
        <w:t>e betreffende tekst uit het stenografisch verslag.</w:t>
      </w:r>
    </w:p>
    <w:p w:rsidR="006D0A6A" w:rsidP="00811950" w:rsidRDefault="006D0A6A" w14:paraId="42280617" w14:textId="77777777">
      <w:pPr>
        <w:suppressAutoHyphens/>
      </w:pPr>
    </w:p>
    <w:p w:rsidR="0005438B" w:rsidP="00811950" w:rsidRDefault="00FA6F6B" w14:paraId="147E879C" w14:textId="77777777">
      <w:pPr>
        <w:suppressAutoHyphens/>
        <w:spacing w:line="240" w:lineRule="auto"/>
        <w:rPr>
          <w:rFonts w:ascii="Calibri" w:hAnsi="Calibri"/>
          <w:color w:val="000000"/>
          <w:sz w:val="22"/>
        </w:rPr>
      </w:pPr>
      <w:r>
        <w:t>Met de</w:t>
      </w:r>
      <w:r w:rsidR="00971F45">
        <w:t xml:space="preserve">ze </w:t>
      </w:r>
      <w:r>
        <w:t>brief geef ik invulling aan uw verzoek</w:t>
      </w:r>
      <w:r w:rsidR="003A64D6">
        <w:t xml:space="preserve"> en geef ik een reactie op het artikel</w:t>
      </w:r>
      <w:r w:rsidR="007D47B0">
        <w:t xml:space="preserve"> </w:t>
      </w:r>
      <w:r w:rsidRPr="005A47B6" w:rsidR="007D47B0">
        <w:t>en beantwoord ik een tweetal aanvullende vragen</w:t>
      </w:r>
      <w:r w:rsidRPr="005A47B6" w:rsidR="003A64D6">
        <w:t>.</w:t>
      </w:r>
      <w:r w:rsidRPr="005A47B6" w:rsidR="00045A42">
        <w:rPr>
          <w:color w:val="000000"/>
        </w:rPr>
        <w:t xml:space="preserve"> E</w:t>
      </w:r>
      <w:r w:rsidR="00971F45">
        <w:rPr>
          <w:color w:val="000000"/>
        </w:rPr>
        <w:t>é</w:t>
      </w:r>
      <w:r w:rsidRPr="005A47B6" w:rsidR="00045A42">
        <w:rPr>
          <w:color w:val="000000"/>
        </w:rPr>
        <w:t>n</w:t>
      </w:r>
      <w:r w:rsidRPr="005A47B6">
        <w:rPr>
          <w:color w:val="000000"/>
        </w:rPr>
        <w:t xml:space="preserve"> vraag om </w:t>
      </w:r>
      <w:r w:rsidRPr="005A47B6" w:rsidR="00045A42">
        <w:rPr>
          <w:color w:val="000000"/>
        </w:rPr>
        <w:t xml:space="preserve">een </w:t>
      </w:r>
      <w:r w:rsidRPr="005A47B6">
        <w:rPr>
          <w:color w:val="000000"/>
        </w:rPr>
        <w:t xml:space="preserve">overzicht van bezuinigen in de zorg en de (mogelijke) gevolgen daarvan, dat al gemaakt zou zijn. En daarop aansluitend </w:t>
      </w:r>
      <w:r w:rsidRPr="005A47B6" w:rsidR="00045A42">
        <w:rPr>
          <w:color w:val="000000"/>
        </w:rPr>
        <w:t xml:space="preserve">de vraag </w:t>
      </w:r>
      <w:r w:rsidRPr="005A47B6">
        <w:rPr>
          <w:color w:val="000000"/>
        </w:rPr>
        <w:t>welke regeldruk er is in de ouderenzorg.</w:t>
      </w:r>
    </w:p>
    <w:p w:rsidR="007D47B0" w:rsidP="00811950" w:rsidRDefault="007D47B0" w14:paraId="55252AB0" w14:textId="77777777">
      <w:pPr>
        <w:suppressAutoHyphens/>
      </w:pPr>
    </w:p>
    <w:p w:rsidRPr="00391419" w:rsidR="00045A42" w:rsidP="00811950" w:rsidRDefault="00FA6F6B" w14:paraId="0DE37290" w14:textId="77777777">
      <w:pPr>
        <w:suppressAutoHyphens/>
        <w:rPr>
          <w:b/>
          <w:bCs/>
        </w:rPr>
      </w:pPr>
      <w:r w:rsidRPr="00391419">
        <w:rPr>
          <w:b/>
          <w:bCs/>
        </w:rPr>
        <w:t>Reactie op het bericht van 29 november 2025 in de Telegraaf</w:t>
      </w:r>
    </w:p>
    <w:p w:rsidR="003A64D6" w:rsidP="00811950" w:rsidRDefault="00FA6F6B" w14:paraId="69AEC2DF" w14:textId="77777777">
      <w:pPr>
        <w:suppressAutoHyphens/>
      </w:pPr>
      <w:r>
        <w:t xml:space="preserve">Ouderen met een Wlz-indicatie hebben recht op goede, passende zorg, die aansluit op hun specifieke wensen en behoeften. Dat kan voor veel mensen op een goede manier georganiseerd worden in de thuissituatie. </w:t>
      </w:r>
    </w:p>
    <w:p w:rsidR="003A64D6" w:rsidP="00811950" w:rsidRDefault="00FA6F6B" w14:paraId="7076C691" w14:textId="77777777">
      <w:pPr>
        <w:suppressAutoHyphens/>
      </w:pPr>
      <w:r>
        <w:t xml:space="preserve">Het is niet mogelijk voor alle ouderen met een Wlz-indicatie thuis 24-uurs toezicht te realiseren door inzet van </w:t>
      </w:r>
      <w:r w:rsidR="007D47B0">
        <w:t xml:space="preserve">professionele </w:t>
      </w:r>
      <w:r>
        <w:t xml:space="preserve">zorgmedewerkers. Dat is niet reëel, niet altijd nodig en ook niet altijd de wens van ouderen. Zorg thuis is niet hetzelfde als zorg in een instelling waar de geclusterde setting ervoor kan zorgen dat het toezicht </w:t>
      </w:r>
      <w:r w:rsidR="007D47B0">
        <w:t xml:space="preserve">en de nabijheid van zorg </w:t>
      </w:r>
      <w:r>
        <w:t xml:space="preserve">eenvoudiger kan worden </w:t>
      </w:r>
      <w:r w:rsidR="00A20EBB">
        <w:t xml:space="preserve">georganiseerd en </w:t>
      </w:r>
      <w:r>
        <w:t>gegarandeerd.</w:t>
      </w:r>
    </w:p>
    <w:p w:rsidR="00C43B91" w:rsidP="00811950" w:rsidRDefault="00C43B91" w14:paraId="17AC958D" w14:textId="77777777">
      <w:pPr>
        <w:suppressAutoHyphens/>
      </w:pPr>
    </w:p>
    <w:p w:rsidR="003A64D6" w:rsidP="00811950" w:rsidRDefault="00FA6F6B" w14:paraId="52F1F2DA" w14:textId="77777777">
      <w:pPr>
        <w:suppressAutoHyphens/>
      </w:pPr>
      <w:r>
        <w:t xml:space="preserve">Met de afspraken in het Hoofdlijnenakkoord Ouderenzorg (HLO) stimuleren we dat mensen zo lang mogelijk, zo zelfstandig mogelijk thuis kunnen blijven wonen, bijvoorbeeld door het ontlasten van mantelzorgers, </w:t>
      </w:r>
      <w:r w:rsidR="00A20EBB">
        <w:t xml:space="preserve">het </w:t>
      </w:r>
      <w:r>
        <w:t xml:space="preserve">inzetten van </w:t>
      </w:r>
      <w:r w:rsidR="00B0395D">
        <w:t>zorg</w:t>
      </w:r>
      <w:r>
        <w:t xml:space="preserve">technologie en het versterken van reablement. </w:t>
      </w:r>
    </w:p>
    <w:p w:rsidR="003A64D6" w:rsidP="00811950" w:rsidRDefault="00FA6F6B" w14:paraId="26FE6A9E" w14:textId="77777777">
      <w:pPr>
        <w:suppressAutoHyphens/>
      </w:pPr>
      <w:r>
        <w:t xml:space="preserve">Ik wil dat er voldoende plekken komen voor de </w:t>
      </w:r>
      <w:r w:rsidR="00B0395D">
        <w:t>ouderen</w:t>
      </w:r>
      <w:r>
        <w:t xml:space="preserve"> voor wie thuis wonen lastiger wordt, maar voor wie het verpleeghuis </w:t>
      </w:r>
      <w:r w:rsidR="00DA5AE6">
        <w:t>nog niet aan de orde is.</w:t>
      </w:r>
      <w:r>
        <w:t xml:space="preserve"> </w:t>
      </w:r>
    </w:p>
    <w:p w:rsidR="00811950" w:rsidP="00811950" w:rsidRDefault="00811950" w14:paraId="02A7C70B" w14:textId="77777777">
      <w:pPr>
        <w:suppressAutoHyphens/>
      </w:pPr>
    </w:p>
    <w:p w:rsidR="003A64D6" w:rsidP="00811950" w:rsidRDefault="00FA6F6B" w14:paraId="094CE593" w14:textId="0D795468">
      <w:pPr>
        <w:suppressAutoHyphens/>
      </w:pPr>
      <w:r>
        <w:lastRenderedPageBreak/>
        <w:t xml:space="preserve">Daar zet ik op in met de introductie van de ‘moderne verzorgingshuizen’, waar wonen, </w:t>
      </w:r>
      <w:r w:rsidR="00F62E4C">
        <w:t xml:space="preserve">omzien naar elkaar, </w:t>
      </w:r>
      <w:r>
        <w:t>zorg</w:t>
      </w:r>
      <w:r w:rsidR="00F62E4C">
        <w:t xml:space="preserve"> en</w:t>
      </w:r>
      <w:r>
        <w:t xml:space="preserve"> ondersteuning samenkomen. Er zijn al </w:t>
      </w:r>
      <w:r w:rsidR="008F7856">
        <w:t xml:space="preserve">vele </w:t>
      </w:r>
      <w:r>
        <w:t xml:space="preserve">goede voorbeelden door het hele land van </w:t>
      </w:r>
      <w:r w:rsidR="00C43B91">
        <w:t>tussen</w:t>
      </w:r>
      <w:r>
        <w:t xml:space="preserve">oplossingen die liggen tussen </w:t>
      </w:r>
      <w:r w:rsidR="00A20EBB">
        <w:t>het thuis waar men al jaren woont en het verpleeghuis</w:t>
      </w:r>
      <w:r>
        <w:t xml:space="preserve">, zoals hofjeswoningen, geclusterde woonvormen, thuisplusflats, etc.  </w:t>
      </w:r>
    </w:p>
    <w:p w:rsidR="008F7856" w:rsidP="00811950" w:rsidRDefault="008F7856" w14:paraId="660FF864" w14:textId="77777777">
      <w:pPr>
        <w:suppressAutoHyphens/>
      </w:pPr>
    </w:p>
    <w:p w:rsidR="003A64D6" w:rsidP="00811950" w:rsidRDefault="00FA6F6B" w14:paraId="0DB8F2D1" w14:textId="77777777">
      <w:pPr>
        <w:suppressAutoHyphens/>
      </w:pPr>
      <w:r>
        <w:t>De afgelopen maanden heb ik een groot aantal van deze woonvormen bezocht en ik zie hoeveel enthousiasme er is. Daar wil ik op voortbouwen, zodat</w:t>
      </w:r>
      <w:r w:rsidR="00F62E4C">
        <w:t xml:space="preserve"> deze woonvormen </w:t>
      </w:r>
      <w:r>
        <w:t>beschikbaar kom</w:t>
      </w:r>
      <w:r w:rsidR="00F62E4C">
        <w:t>en</w:t>
      </w:r>
      <w:r>
        <w:t xml:space="preserve"> voor de </w:t>
      </w:r>
      <w:r w:rsidR="00DA5AE6">
        <w:t>ouderen</w:t>
      </w:r>
      <w:r>
        <w:t xml:space="preserve"> die hier behoefte aan hebben. </w:t>
      </w:r>
      <w:r w:rsidR="007D47B0">
        <w:t xml:space="preserve">Dit </w:t>
      </w:r>
      <w:r w:rsidR="00F62E4C">
        <w:t xml:space="preserve">aanbod is vooral nodig voor </w:t>
      </w:r>
      <w:r>
        <w:t xml:space="preserve">ouderen met een beperkt sociaal netwerk, die het risico lopen te vereenzamen als zij thuis blijven wonen. </w:t>
      </w:r>
    </w:p>
    <w:p w:rsidR="003A64D6" w:rsidP="00811950" w:rsidRDefault="00FA6F6B" w14:paraId="0B47F147" w14:textId="77777777">
      <w:pPr>
        <w:suppressAutoHyphens/>
      </w:pPr>
      <w:r>
        <w:t xml:space="preserve">Als het thuis echt niet meer gaat, kan er een moment komen dat verblijf in een verpleeghuis wel noodzakelijk of het meest passend is. Voor die </w:t>
      </w:r>
      <w:r w:rsidR="00DA5AE6">
        <w:t>ouderen</w:t>
      </w:r>
      <w:r>
        <w:t xml:space="preserve"> zal het zorgkantoor ook in een plek in het verpleeghuis voorzien. </w:t>
      </w:r>
    </w:p>
    <w:p w:rsidR="00A20EBB" w:rsidP="00811950" w:rsidRDefault="00FA6F6B" w14:paraId="61FFF0DB" w14:textId="77777777">
      <w:pPr>
        <w:suppressAutoHyphens/>
      </w:pPr>
      <w:r>
        <w:t>Voor echt urgente gevallen lukt plaatsing</w:t>
      </w:r>
      <w:r w:rsidR="00F62E4C">
        <w:t xml:space="preserve"> in een verpleeghuis </w:t>
      </w:r>
      <w:r>
        <w:t xml:space="preserve">altijd vrij snel, waarbij het dan echter niet altijd gaat om de plek van voorkeur. </w:t>
      </w:r>
    </w:p>
    <w:p w:rsidR="00A20EBB" w:rsidP="00811950" w:rsidRDefault="00A20EBB" w14:paraId="32C7E703" w14:textId="77777777">
      <w:pPr>
        <w:suppressAutoHyphens/>
      </w:pPr>
    </w:p>
    <w:p w:rsidRPr="00391419" w:rsidR="00045A42" w:rsidP="00811950" w:rsidRDefault="00FA6F6B" w14:paraId="39F635AF" w14:textId="77777777">
      <w:pPr>
        <w:suppressAutoHyphens/>
        <w:rPr>
          <w:b/>
          <w:bCs/>
        </w:rPr>
      </w:pPr>
      <w:r w:rsidRPr="00391419">
        <w:rPr>
          <w:b/>
          <w:bCs/>
        </w:rPr>
        <w:t>Overzicht van de bezuinigingen in de zorg</w:t>
      </w:r>
    </w:p>
    <w:p w:rsidR="00A20EBB" w:rsidP="00811950" w:rsidRDefault="00FA6F6B" w14:paraId="35763B03" w14:textId="77777777">
      <w:pPr>
        <w:suppressAutoHyphens/>
      </w:pPr>
      <w:r>
        <w:t xml:space="preserve">Volgens het stenografisch verslag zou uw Kamer graag een </w:t>
      </w:r>
      <w:r w:rsidR="00DC2402">
        <w:t xml:space="preserve">overzicht </w:t>
      </w:r>
      <w:r w:rsidRPr="006D0A6A">
        <w:t>van het ministerie van de zorgbezuinigingen en de consequenties daarvan willen ontvangen.</w:t>
      </w:r>
      <w:r>
        <w:t xml:space="preserve"> </w:t>
      </w:r>
    </w:p>
    <w:p w:rsidR="00A20EBB" w:rsidP="00811950" w:rsidRDefault="00FA6F6B" w14:paraId="13C2C406" w14:textId="77777777">
      <w:pPr>
        <w:suppressAutoHyphens/>
        <w:spacing w:line="240" w:lineRule="exact"/>
      </w:pPr>
      <w:r>
        <w:t xml:space="preserve">Ik verwijs in reactie hierop graag naar </w:t>
      </w:r>
      <w:r w:rsidR="00F137CF">
        <w:t xml:space="preserve">de financiële paragraaf van </w:t>
      </w:r>
      <w:r>
        <w:t>het HLO dat op 3 juni 2025</w:t>
      </w:r>
      <w:r>
        <w:rPr>
          <w:rStyle w:val="Voetnootmarkering"/>
        </w:rPr>
        <w:footnoteReference w:id="1"/>
      </w:r>
      <w:r>
        <w:t xml:space="preserve"> naar uw Kamer is verzonden. </w:t>
      </w:r>
      <w:r w:rsidR="00DC2402">
        <w:t>Het HLO heeft als doelstellingen het terugdringen van het arbeidsmarkttekort en het borgen van de toegankelijkheid van de ouderenzorg in de toekomst. Onderdeel van het HLO is een set met financiële afspraken die zijn gemaakt met betrokken veldpartijen</w:t>
      </w:r>
      <w:r w:rsidR="00F137CF">
        <w:t>. Het totaal van de eerder voorziene tariefmaatregelen Wlz-ouderenzorg is in het HLO verzacht met bedragen</w:t>
      </w:r>
      <w:r w:rsidR="007D47B0">
        <w:t xml:space="preserve"> </w:t>
      </w:r>
      <w:r w:rsidR="00F137CF">
        <w:t xml:space="preserve">tussen € 242 miljoen en € 264 miljoen in de periode 2026-2030 en met € 250 miljoen structureel vanaf 2031. Dit geeft zorgaanbieders extra financiële ruimte om de toegankelijkheid van de zorg voor de meest kwetsbare ouderen te waarborgen. Partijen zijn het erover </w:t>
      </w:r>
      <w:r w:rsidR="00B0395D">
        <w:t xml:space="preserve">eens </w:t>
      </w:r>
      <w:r w:rsidR="00F137CF">
        <w:t>dat de tariefbijstelling die is opgenomen in het HLO leidt tot reële maximumtarieven.</w:t>
      </w:r>
    </w:p>
    <w:p w:rsidRPr="008051F3" w:rsidR="008051F3" w:rsidP="00811950" w:rsidRDefault="00FA6F6B" w14:paraId="31E6DD2B" w14:textId="77777777">
      <w:pPr>
        <w:suppressAutoHyphens/>
        <w:spacing w:line="240" w:lineRule="exact"/>
        <w:rPr>
          <w:rFonts w:cs="Calibri"/>
          <w:color w:val="000000"/>
          <w:szCs w:val="18"/>
        </w:rPr>
      </w:pPr>
      <w:r w:rsidRPr="008051F3">
        <w:rPr>
          <w:rFonts w:cs="Calibri"/>
          <w:color w:val="000000"/>
          <w:szCs w:val="18"/>
        </w:rPr>
        <w:t>Tabel 1 laat zien dat de uitgaven aan Wlz-ouderenzorg tussen 2022 en 2024 zijn gestegen van € 15,9 miljard tot € 19,5 miljard. Zoals vermeld in het HLO zal de financiële ruimte voor de Wlz-ouderenzorg de komende jaren verder toenemen van circa € 21 miljard in 2025 tot circa € 24,4 miljard in 2029.</w:t>
      </w:r>
    </w:p>
    <w:p w:rsidRPr="008051F3" w:rsidR="008051F3" w:rsidP="00811950" w:rsidRDefault="008051F3" w14:paraId="00BF7CF0" w14:textId="77777777">
      <w:pPr>
        <w:suppressAutoHyphens/>
        <w:spacing w:line="240" w:lineRule="auto"/>
        <w:rPr>
          <w:rFonts w:ascii="Calibri" w:hAnsi="Calibri" w:cs="Calibri"/>
          <w:color w:val="000000"/>
          <w:sz w:val="22"/>
          <w:szCs w:val="22"/>
        </w:rPr>
      </w:pPr>
    </w:p>
    <w:p w:rsidRPr="008051F3" w:rsidR="008051F3" w:rsidP="00811950" w:rsidRDefault="00FA6F6B" w14:paraId="4D28AD26" w14:textId="77777777">
      <w:pPr>
        <w:suppressAutoHyphens/>
        <w:spacing w:line="240" w:lineRule="auto"/>
        <w:rPr>
          <w:rFonts w:ascii="Calibri" w:hAnsi="Calibri" w:cs="Calibri"/>
          <w:color w:val="000000"/>
          <w:sz w:val="21"/>
          <w:szCs w:val="21"/>
        </w:rPr>
      </w:pPr>
      <w:r w:rsidRPr="008051F3">
        <w:rPr>
          <w:rFonts w:ascii="Calibri" w:hAnsi="Calibri" w:cs="Calibri"/>
          <w:i/>
          <w:iCs/>
          <w:color w:val="000000"/>
          <w:sz w:val="23"/>
          <w:szCs w:val="23"/>
        </w:rPr>
        <w:t>Tabel 1: Uitgaven Wlz-ouderenzorg 2022-2029*</w:t>
      </w:r>
      <w:r w:rsidRPr="008051F3">
        <w:rPr>
          <w:rFonts w:cs="Calibri"/>
          <w:i/>
          <w:iCs/>
          <w:color w:val="1F497D"/>
          <w:szCs w:val="18"/>
        </w:rPr>
        <w:t> </w:t>
      </w:r>
    </w:p>
    <w:tbl>
      <w:tblPr>
        <w:tblW w:w="9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41"/>
        <w:gridCol w:w="985"/>
        <w:gridCol w:w="985"/>
        <w:gridCol w:w="985"/>
        <w:gridCol w:w="985"/>
        <w:gridCol w:w="821"/>
        <w:gridCol w:w="821"/>
        <w:gridCol w:w="985"/>
        <w:gridCol w:w="985"/>
      </w:tblGrid>
      <w:tr w:rsidR="00A859EB" w:rsidTr="008051F3" w14:paraId="3FB5C3DA" w14:textId="77777777">
        <w:trPr>
          <w:trHeight w:val="187"/>
        </w:trPr>
        <w:tc>
          <w:tcPr>
            <w:tcW w:w="2141" w:type="dxa"/>
            <w:shd w:val="clear" w:color="auto" w:fill="4D93D9"/>
            <w:noWrap/>
            <w:tcMar>
              <w:top w:w="0" w:type="dxa"/>
              <w:left w:w="70" w:type="dxa"/>
              <w:bottom w:w="0" w:type="dxa"/>
              <w:right w:w="70" w:type="dxa"/>
            </w:tcMar>
            <w:vAlign w:val="bottom"/>
            <w:hideMark/>
          </w:tcPr>
          <w:p w:rsidRPr="008051F3" w:rsidR="008051F3" w:rsidP="00811950" w:rsidRDefault="00FA6F6B" w14:paraId="2C8759DB" w14:textId="77777777">
            <w:pPr>
              <w:suppressAutoHyphens/>
              <w:spacing w:before="100" w:beforeAutospacing="1" w:after="100" w:afterAutospacing="1" w:line="240" w:lineRule="auto"/>
              <w:rPr>
                <w:rFonts w:ascii="Calibri" w:hAnsi="Calibri" w:cs="Calibri"/>
                <w:sz w:val="22"/>
                <w:szCs w:val="22"/>
              </w:rPr>
            </w:pPr>
            <w:r w:rsidRPr="008051F3">
              <w:rPr>
                <w:rFonts w:cs="Calibri"/>
                <w:color w:val="1F497D"/>
                <w:szCs w:val="18"/>
              </w:rPr>
              <w:t> </w:t>
            </w:r>
            <w:r w:rsidRPr="008051F3">
              <w:rPr>
                <w:rFonts w:ascii="Aptos Narrow" w:hAnsi="Aptos Narrow" w:cs="Calibri"/>
                <w:i/>
                <w:iCs/>
                <w:color w:val="FFFFFF"/>
                <w:sz w:val="22"/>
                <w:szCs w:val="22"/>
              </w:rPr>
              <w:t>bedragen x € 1 miljard</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5F8EFDB3"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2022</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0BA79F63"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2023</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389A46E6"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2024</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119EA64C"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2025</w:t>
            </w:r>
          </w:p>
        </w:tc>
        <w:tc>
          <w:tcPr>
            <w:tcW w:w="821" w:type="dxa"/>
            <w:shd w:val="clear" w:color="auto" w:fill="4D93D9"/>
            <w:noWrap/>
            <w:tcMar>
              <w:top w:w="0" w:type="dxa"/>
              <w:left w:w="70" w:type="dxa"/>
              <w:bottom w:w="0" w:type="dxa"/>
              <w:right w:w="70" w:type="dxa"/>
            </w:tcMar>
            <w:vAlign w:val="bottom"/>
            <w:hideMark/>
          </w:tcPr>
          <w:p w:rsidRPr="008051F3" w:rsidR="008051F3" w:rsidP="00811950" w:rsidRDefault="00FA6F6B" w14:paraId="0E5E62B1"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2026</w:t>
            </w:r>
          </w:p>
        </w:tc>
        <w:tc>
          <w:tcPr>
            <w:tcW w:w="821" w:type="dxa"/>
            <w:shd w:val="clear" w:color="auto" w:fill="4D93D9"/>
            <w:noWrap/>
            <w:tcMar>
              <w:top w:w="0" w:type="dxa"/>
              <w:left w:w="70" w:type="dxa"/>
              <w:bottom w:w="0" w:type="dxa"/>
              <w:right w:w="70" w:type="dxa"/>
            </w:tcMar>
            <w:vAlign w:val="bottom"/>
            <w:hideMark/>
          </w:tcPr>
          <w:p w:rsidRPr="008051F3" w:rsidR="008051F3" w:rsidP="00811950" w:rsidRDefault="00FA6F6B" w14:paraId="55FCD2CD"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2027</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5F2FECA5"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2028</w:t>
            </w:r>
          </w:p>
        </w:tc>
        <w:tc>
          <w:tcPr>
            <w:tcW w:w="985" w:type="dxa"/>
            <w:shd w:val="clear" w:color="auto" w:fill="4D93D9"/>
            <w:noWrap/>
            <w:tcMar>
              <w:top w:w="0" w:type="dxa"/>
              <w:left w:w="70" w:type="dxa"/>
              <w:bottom w:w="0" w:type="dxa"/>
              <w:right w:w="70" w:type="dxa"/>
            </w:tcMar>
            <w:vAlign w:val="bottom"/>
            <w:hideMark/>
          </w:tcPr>
          <w:p w:rsidRPr="008051F3" w:rsidR="008051F3" w:rsidP="00811950" w:rsidRDefault="00FA6F6B" w14:paraId="4C965E8A"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color w:val="FFFFFF"/>
                <w:sz w:val="22"/>
                <w:szCs w:val="22"/>
              </w:rPr>
              <w:t>2029</w:t>
            </w:r>
          </w:p>
        </w:tc>
      </w:tr>
      <w:tr w:rsidR="00A859EB" w:rsidTr="008051F3" w14:paraId="73B486C2" w14:textId="77777777">
        <w:trPr>
          <w:trHeight w:val="187"/>
        </w:trPr>
        <w:tc>
          <w:tcPr>
            <w:tcW w:w="2141" w:type="dxa"/>
            <w:noWrap/>
            <w:tcMar>
              <w:top w:w="0" w:type="dxa"/>
              <w:left w:w="70" w:type="dxa"/>
              <w:bottom w:w="0" w:type="dxa"/>
              <w:right w:w="70" w:type="dxa"/>
            </w:tcMar>
            <w:vAlign w:val="bottom"/>
            <w:hideMark/>
          </w:tcPr>
          <w:p w:rsidRPr="008051F3" w:rsidR="008051F3" w:rsidP="00811950" w:rsidRDefault="00FA6F6B" w14:paraId="3B27555E"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Ouderenzorg</w:t>
            </w:r>
          </w:p>
        </w:tc>
        <w:tc>
          <w:tcPr>
            <w:tcW w:w="985" w:type="dxa"/>
            <w:noWrap/>
            <w:tcMar>
              <w:top w:w="0" w:type="dxa"/>
              <w:left w:w="70" w:type="dxa"/>
              <w:bottom w:w="0" w:type="dxa"/>
              <w:right w:w="70" w:type="dxa"/>
            </w:tcMar>
            <w:vAlign w:val="bottom"/>
            <w:hideMark/>
          </w:tcPr>
          <w:p w:rsidRPr="008051F3" w:rsidR="008051F3" w:rsidP="00811950" w:rsidRDefault="00FA6F6B" w14:paraId="6F02C273"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15,9 </w:t>
            </w:r>
          </w:p>
        </w:tc>
        <w:tc>
          <w:tcPr>
            <w:tcW w:w="985" w:type="dxa"/>
            <w:noWrap/>
            <w:tcMar>
              <w:top w:w="0" w:type="dxa"/>
              <w:left w:w="70" w:type="dxa"/>
              <w:bottom w:w="0" w:type="dxa"/>
              <w:right w:w="70" w:type="dxa"/>
            </w:tcMar>
            <w:vAlign w:val="bottom"/>
            <w:hideMark/>
          </w:tcPr>
          <w:p w:rsidRPr="008051F3" w:rsidR="008051F3" w:rsidP="00811950" w:rsidRDefault="00FA6F6B" w14:paraId="57EAA4AC"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17,7 </w:t>
            </w:r>
          </w:p>
        </w:tc>
        <w:tc>
          <w:tcPr>
            <w:tcW w:w="985" w:type="dxa"/>
            <w:noWrap/>
            <w:tcMar>
              <w:top w:w="0" w:type="dxa"/>
              <w:left w:w="70" w:type="dxa"/>
              <w:bottom w:w="0" w:type="dxa"/>
              <w:right w:w="70" w:type="dxa"/>
            </w:tcMar>
            <w:vAlign w:val="bottom"/>
            <w:hideMark/>
          </w:tcPr>
          <w:p w:rsidRPr="008051F3" w:rsidR="008051F3" w:rsidP="00811950" w:rsidRDefault="00FA6F6B" w14:paraId="5FBC2DBA"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19,5 </w:t>
            </w:r>
          </w:p>
        </w:tc>
        <w:tc>
          <w:tcPr>
            <w:tcW w:w="985" w:type="dxa"/>
            <w:noWrap/>
            <w:tcMar>
              <w:top w:w="0" w:type="dxa"/>
              <w:left w:w="70" w:type="dxa"/>
              <w:bottom w:w="0" w:type="dxa"/>
              <w:right w:w="70" w:type="dxa"/>
            </w:tcMar>
            <w:vAlign w:val="bottom"/>
            <w:hideMark/>
          </w:tcPr>
          <w:p w:rsidRPr="008051F3" w:rsidR="008051F3" w:rsidP="00811950" w:rsidRDefault="00FA6F6B" w14:paraId="51333134"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21,0 </w:t>
            </w:r>
          </w:p>
        </w:tc>
        <w:tc>
          <w:tcPr>
            <w:tcW w:w="821" w:type="dxa"/>
            <w:noWrap/>
            <w:tcMar>
              <w:top w:w="0" w:type="dxa"/>
              <w:left w:w="70" w:type="dxa"/>
              <w:bottom w:w="0" w:type="dxa"/>
              <w:right w:w="70" w:type="dxa"/>
            </w:tcMar>
            <w:vAlign w:val="bottom"/>
            <w:hideMark/>
          </w:tcPr>
          <w:p w:rsidRPr="008051F3" w:rsidR="008051F3" w:rsidP="00811950" w:rsidRDefault="00FA6F6B" w14:paraId="33F382AA"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sz w:val="22"/>
                <w:szCs w:val="22"/>
              </w:rPr>
              <w:t>22,4</w:t>
            </w:r>
          </w:p>
        </w:tc>
        <w:tc>
          <w:tcPr>
            <w:tcW w:w="821" w:type="dxa"/>
            <w:noWrap/>
            <w:tcMar>
              <w:top w:w="0" w:type="dxa"/>
              <w:left w:w="70" w:type="dxa"/>
              <w:bottom w:w="0" w:type="dxa"/>
              <w:right w:w="70" w:type="dxa"/>
            </w:tcMar>
            <w:vAlign w:val="bottom"/>
            <w:hideMark/>
          </w:tcPr>
          <w:p w:rsidRPr="008051F3" w:rsidR="008051F3" w:rsidP="00811950" w:rsidRDefault="00FA6F6B" w14:paraId="1FE88761" w14:textId="77777777">
            <w:pPr>
              <w:suppressAutoHyphens/>
              <w:spacing w:before="100" w:beforeAutospacing="1" w:after="100" w:afterAutospacing="1" w:line="240" w:lineRule="auto"/>
              <w:jc w:val="right"/>
              <w:rPr>
                <w:rFonts w:ascii="Calibri" w:hAnsi="Calibri" w:cs="Calibri"/>
                <w:sz w:val="22"/>
                <w:szCs w:val="22"/>
              </w:rPr>
            </w:pPr>
            <w:r w:rsidRPr="008051F3">
              <w:rPr>
                <w:rFonts w:ascii="Aptos Narrow" w:hAnsi="Aptos Narrow" w:cs="Calibri"/>
                <w:sz w:val="22"/>
                <w:szCs w:val="22"/>
              </w:rPr>
              <w:t>23</w:t>
            </w:r>
            <w:r>
              <w:rPr>
                <w:rFonts w:ascii="Aptos Narrow" w:hAnsi="Aptos Narrow" w:cs="Calibri"/>
                <w:sz w:val="22"/>
                <w:szCs w:val="22"/>
              </w:rPr>
              <w:t>,0</w:t>
            </w:r>
          </w:p>
        </w:tc>
        <w:tc>
          <w:tcPr>
            <w:tcW w:w="985" w:type="dxa"/>
            <w:noWrap/>
            <w:tcMar>
              <w:top w:w="0" w:type="dxa"/>
              <w:left w:w="70" w:type="dxa"/>
              <w:bottom w:w="0" w:type="dxa"/>
              <w:right w:w="70" w:type="dxa"/>
            </w:tcMar>
            <w:vAlign w:val="bottom"/>
            <w:hideMark/>
          </w:tcPr>
          <w:p w:rsidRPr="008051F3" w:rsidR="008051F3" w:rsidP="00811950" w:rsidRDefault="00FA6F6B" w14:paraId="369E62FD"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23,7 </w:t>
            </w:r>
          </w:p>
        </w:tc>
        <w:tc>
          <w:tcPr>
            <w:tcW w:w="985" w:type="dxa"/>
            <w:noWrap/>
            <w:tcMar>
              <w:top w:w="0" w:type="dxa"/>
              <w:left w:w="70" w:type="dxa"/>
              <w:bottom w:w="0" w:type="dxa"/>
              <w:right w:w="70" w:type="dxa"/>
            </w:tcMar>
            <w:vAlign w:val="bottom"/>
            <w:hideMark/>
          </w:tcPr>
          <w:p w:rsidRPr="008051F3" w:rsidR="008051F3" w:rsidP="00811950" w:rsidRDefault="00FA6F6B" w14:paraId="75485A13" w14:textId="77777777">
            <w:pPr>
              <w:suppressAutoHyphens/>
              <w:spacing w:before="100" w:beforeAutospacing="1" w:after="100" w:afterAutospacing="1" w:line="240" w:lineRule="auto"/>
              <w:rPr>
                <w:rFonts w:ascii="Calibri" w:hAnsi="Calibri" w:cs="Calibri"/>
                <w:sz w:val="22"/>
                <w:szCs w:val="22"/>
              </w:rPr>
            </w:pPr>
            <w:r w:rsidRPr="008051F3">
              <w:rPr>
                <w:rFonts w:ascii="Aptos Narrow" w:hAnsi="Aptos Narrow" w:cs="Calibri"/>
                <w:sz w:val="22"/>
                <w:szCs w:val="22"/>
              </w:rPr>
              <w:t>          24,4 </w:t>
            </w:r>
          </w:p>
        </w:tc>
      </w:tr>
    </w:tbl>
    <w:p w:rsidRPr="008051F3" w:rsidR="008051F3" w:rsidP="00811950" w:rsidRDefault="00FA6F6B" w14:paraId="6FA2A40E" w14:textId="77777777">
      <w:pPr>
        <w:suppressAutoHyphens/>
        <w:spacing w:before="100" w:beforeAutospacing="1" w:after="100" w:afterAutospacing="1" w:line="240" w:lineRule="auto"/>
        <w:rPr>
          <w:rFonts w:ascii="Calibri" w:hAnsi="Calibri" w:cs="Calibri"/>
          <w:color w:val="000000"/>
          <w:szCs w:val="18"/>
        </w:rPr>
      </w:pPr>
      <w:r w:rsidRPr="008051F3">
        <w:rPr>
          <w:rFonts w:cs="Calibri"/>
          <w:color w:val="1F497D"/>
          <w:szCs w:val="18"/>
        </w:rPr>
        <w:t> </w:t>
      </w:r>
      <w:r w:rsidRPr="008051F3">
        <w:rPr>
          <w:rFonts w:cs="Calibri"/>
          <w:color w:val="000000"/>
          <w:sz w:val="20"/>
        </w:rPr>
        <w:t> </w:t>
      </w:r>
      <w:r w:rsidRPr="008051F3">
        <w:rPr>
          <w:rFonts w:cs="Calibri"/>
          <w:color w:val="000000"/>
          <w:szCs w:val="18"/>
        </w:rPr>
        <w:t>*) Realisatie t/m 2024; raming vanaf 2025 (vanaf 2027 nog exclusief loonprijsontwikkeling)</w:t>
      </w:r>
    </w:p>
    <w:p w:rsidR="00F137CF" w:rsidP="00811950" w:rsidRDefault="00FA6F6B" w14:paraId="4D7C965C" w14:textId="77777777">
      <w:pPr>
        <w:suppressAutoHyphens/>
      </w:pPr>
      <w:r>
        <w:t>Over eventuele (bezuinigings- dan wel intensiverings</w:t>
      </w:r>
      <w:r w:rsidR="007D47B0">
        <w:t>-</w:t>
      </w:r>
      <w:r>
        <w:t>)</w:t>
      </w:r>
      <w:r w:rsidR="007D47B0">
        <w:t xml:space="preserve"> </w:t>
      </w:r>
      <w:r>
        <w:t>voorstellen van een nieuw te vormen kabinet voor de ouderenzorg kan ik geen mededelingen doen, omdat dat niet tot mijn verantwoordelijkheid behoort.</w:t>
      </w:r>
    </w:p>
    <w:p w:rsidR="00A20EBB" w:rsidP="00811950" w:rsidRDefault="00A20EBB" w14:paraId="3FA12934" w14:textId="77777777">
      <w:pPr>
        <w:suppressAutoHyphens/>
      </w:pPr>
    </w:p>
    <w:p w:rsidR="008051F3" w:rsidP="00811950" w:rsidRDefault="00FA6F6B" w14:paraId="24B68B4E" w14:textId="77777777">
      <w:pPr>
        <w:suppressAutoHyphens/>
        <w:spacing w:line="240" w:lineRule="auto"/>
        <w:rPr>
          <w:b/>
          <w:bCs/>
        </w:rPr>
      </w:pPr>
      <w:r>
        <w:rPr>
          <w:b/>
          <w:bCs/>
        </w:rPr>
        <w:br w:type="page"/>
      </w:r>
    </w:p>
    <w:p w:rsidRPr="00391419" w:rsidR="00045A42" w:rsidP="00811950" w:rsidRDefault="00FA6F6B" w14:paraId="0A0AF9E5" w14:textId="77777777">
      <w:pPr>
        <w:suppressAutoHyphens/>
        <w:rPr>
          <w:b/>
          <w:bCs/>
        </w:rPr>
      </w:pPr>
      <w:r w:rsidRPr="00391419">
        <w:rPr>
          <w:b/>
          <w:bCs/>
        </w:rPr>
        <w:lastRenderedPageBreak/>
        <w:t>Regeldruk in de ouderenzorg</w:t>
      </w:r>
    </w:p>
    <w:p w:rsidR="001762A3" w:rsidP="00811950" w:rsidRDefault="00FA6F6B" w14:paraId="62216F66" w14:textId="77777777">
      <w:pPr>
        <w:suppressAutoHyphens/>
        <w:rPr>
          <w:szCs w:val="18"/>
        </w:rPr>
      </w:pPr>
      <w:r>
        <w:t xml:space="preserve">Uw Kamer heeft verzocht om de vraag te beantwoorden welke regeldruk er is in de ouderenzorg. </w:t>
      </w:r>
      <w:r>
        <w:rPr>
          <w:szCs w:val="18"/>
        </w:rPr>
        <w:t>De regeldruk in de zorg wordt gemeten door het Centraal Bureau voor de Statistiek. In de werknemersenquête Zorg en Welzijn</w:t>
      </w:r>
      <w:r w:rsidR="007D75E1">
        <w:rPr>
          <w:szCs w:val="18"/>
        </w:rPr>
        <w:t xml:space="preserve"> wordt de ervaren regeldruk gemeten van zorgprofessionals. In de ouderenzorg geven medewerkers aan dat zij gemiddeld 27,5%</w:t>
      </w:r>
      <w:r>
        <w:rPr>
          <w:szCs w:val="18"/>
        </w:rPr>
        <w:t xml:space="preserve"> </w:t>
      </w:r>
      <w:r w:rsidR="007D75E1">
        <w:rPr>
          <w:szCs w:val="18"/>
        </w:rPr>
        <w:t>van hun tijd kwijt zijn aan administratie</w:t>
      </w:r>
      <w:r w:rsidR="00F62E4C">
        <w:rPr>
          <w:szCs w:val="18"/>
        </w:rPr>
        <w:t>.</w:t>
      </w:r>
      <w:bookmarkStart w:name="_Hlk216191996" w:id="1"/>
    </w:p>
    <w:bookmarkEnd w:id="1"/>
    <w:p w:rsidR="00B0395D" w:rsidP="00811950" w:rsidRDefault="00B0395D" w14:paraId="37BB9883" w14:textId="77777777">
      <w:pPr>
        <w:suppressAutoHyphens/>
        <w:rPr>
          <w:szCs w:val="18"/>
        </w:rPr>
      </w:pPr>
    </w:p>
    <w:p w:rsidR="001762A3" w:rsidP="00811950" w:rsidRDefault="00FA6F6B" w14:paraId="32D6A81E" w14:textId="77777777">
      <w:pPr>
        <w:suppressAutoHyphens/>
        <w:rPr>
          <w:szCs w:val="18"/>
        </w:rPr>
      </w:pPr>
      <w:r>
        <w:rPr>
          <w:szCs w:val="18"/>
        </w:rPr>
        <w:t>In de R</w:t>
      </w:r>
      <w:r w:rsidRPr="00E54D27">
        <w:rPr>
          <w:szCs w:val="18"/>
        </w:rPr>
        <w:t>egiegroep ‘Aanpak Regeldruk’ wordt gewerkt aan het verminderen van de administrati</w:t>
      </w:r>
      <w:r w:rsidRPr="002B0657">
        <w:rPr>
          <w:szCs w:val="18"/>
        </w:rPr>
        <w:t xml:space="preserve">etijd per 2030 tot maximaal 20% van de </w:t>
      </w:r>
      <w:r w:rsidRPr="002B0657">
        <w:rPr>
          <w:szCs w:val="18"/>
        </w:rPr>
        <w:t>werktijd van een zorgverlener</w:t>
      </w:r>
      <w:r>
        <w:rPr>
          <w:szCs w:val="18"/>
        </w:rPr>
        <w:t>. Regeldruk wordt veroorzaakt door alle partijen, systeempartijen, zorgaanbieders en beroepsgroepen, en moet dus door alle partijen worden aangepakt.</w:t>
      </w:r>
      <w:r w:rsidRPr="007F447B">
        <w:rPr>
          <w:szCs w:val="18"/>
        </w:rPr>
        <w:t xml:space="preserve"> </w:t>
      </w:r>
      <w:r>
        <w:rPr>
          <w:szCs w:val="18"/>
        </w:rPr>
        <w:t xml:space="preserve">Om de vermindering van administratietijd te bereiken </w:t>
      </w:r>
      <w:r w:rsidRPr="002B0657">
        <w:rPr>
          <w:szCs w:val="18"/>
        </w:rPr>
        <w:t xml:space="preserve">geven partijen </w:t>
      </w:r>
      <w:r>
        <w:rPr>
          <w:szCs w:val="18"/>
        </w:rPr>
        <w:t xml:space="preserve">in de regiegroep </w:t>
      </w:r>
      <w:r w:rsidRPr="002B0657">
        <w:rPr>
          <w:color w:val="000000"/>
          <w:szCs w:val="18"/>
        </w:rPr>
        <w:t>uitvoering aan het gezamenlijke plan van aanpak en werken zij aan een werkagenda per deelnemende partij.</w:t>
      </w:r>
      <w:r>
        <w:rPr>
          <w:szCs w:val="18"/>
        </w:rPr>
        <w:t xml:space="preserve"> In de regiegroep </w:t>
      </w:r>
      <w:r w:rsidRPr="002B0657">
        <w:rPr>
          <w:szCs w:val="18"/>
        </w:rPr>
        <w:t xml:space="preserve">zijn </w:t>
      </w:r>
      <w:r>
        <w:rPr>
          <w:szCs w:val="18"/>
        </w:rPr>
        <w:t xml:space="preserve">ook </w:t>
      </w:r>
      <w:r w:rsidRPr="002B0657">
        <w:rPr>
          <w:szCs w:val="18"/>
        </w:rPr>
        <w:t xml:space="preserve">partijen uit de ouderenzorg vertegenwoordigd. </w:t>
      </w:r>
    </w:p>
    <w:p w:rsidR="00B0395D" w:rsidP="00811950" w:rsidRDefault="00B0395D" w14:paraId="6FFC4829" w14:textId="77777777">
      <w:pPr>
        <w:suppressAutoHyphens/>
        <w:rPr>
          <w:color w:val="000000"/>
          <w:szCs w:val="18"/>
        </w:rPr>
      </w:pPr>
    </w:p>
    <w:p w:rsidRPr="002B0657" w:rsidR="001762A3" w:rsidP="00811950" w:rsidRDefault="00FA6F6B" w14:paraId="3C692EC0" w14:textId="77777777">
      <w:pPr>
        <w:suppressAutoHyphens/>
        <w:rPr>
          <w:color w:val="000000"/>
          <w:szCs w:val="18"/>
        </w:rPr>
      </w:pPr>
      <w:r>
        <w:rPr>
          <w:color w:val="000000"/>
          <w:szCs w:val="18"/>
        </w:rPr>
        <w:t xml:space="preserve">VWS </w:t>
      </w:r>
      <w:r w:rsidR="000553AF">
        <w:rPr>
          <w:color w:val="000000"/>
          <w:szCs w:val="18"/>
        </w:rPr>
        <w:t xml:space="preserve">zorgt </w:t>
      </w:r>
      <w:r>
        <w:rPr>
          <w:color w:val="000000"/>
          <w:szCs w:val="18"/>
        </w:rPr>
        <w:t xml:space="preserve">voor de herziening van de Wet Zorg en Dwang, een aanpassing van het handtekeningenbeleid en de vereenvoudiging van herindicaties. </w:t>
      </w:r>
      <w:r w:rsidRPr="00405230">
        <w:rPr>
          <w:color w:val="000000"/>
          <w:szCs w:val="18"/>
        </w:rPr>
        <w:t xml:space="preserve">Daarnaast </w:t>
      </w:r>
      <w:r>
        <w:rPr>
          <w:color w:val="000000"/>
          <w:szCs w:val="18"/>
        </w:rPr>
        <w:t xml:space="preserve">brengen </w:t>
      </w:r>
      <w:r w:rsidRPr="00405230">
        <w:rPr>
          <w:color w:val="000000"/>
          <w:szCs w:val="18"/>
        </w:rPr>
        <w:t xml:space="preserve">beroepsorganisaties en branches gezamenlijk in kaart </w:t>
      </w:r>
      <w:r>
        <w:rPr>
          <w:color w:val="000000"/>
          <w:szCs w:val="18"/>
        </w:rPr>
        <w:t>wat er mogelijk is om de zorg ee</w:t>
      </w:r>
      <w:r w:rsidRPr="00405230">
        <w:rPr>
          <w:color w:val="000000"/>
          <w:szCs w:val="18"/>
        </w:rPr>
        <w:t xml:space="preserve">nvoudiger te maken en de </w:t>
      </w:r>
      <w:r w:rsidR="007D75E1">
        <w:rPr>
          <w:color w:val="000000"/>
          <w:szCs w:val="18"/>
        </w:rPr>
        <w:t>regeldruk</w:t>
      </w:r>
      <w:r w:rsidRPr="00405230">
        <w:rPr>
          <w:color w:val="000000"/>
          <w:szCs w:val="18"/>
        </w:rPr>
        <w:t xml:space="preserve"> te verminderen. </w:t>
      </w:r>
    </w:p>
    <w:p w:rsidR="001762A3" w:rsidP="00811950" w:rsidRDefault="00FA6F6B" w14:paraId="2A335E48" w14:textId="77777777">
      <w:pPr>
        <w:suppressAutoHyphens/>
        <w:spacing w:line="240" w:lineRule="exact"/>
        <w:rPr>
          <w:color w:val="000000"/>
          <w:szCs w:val="18"/>
        </w:rPr>
      </w:pPr>
      <w:r w:rsidRPr="002B0657">
        <w:rPr>
          <w:color w:val="000000"/>
          <w:szCs w:val="18"/>
        </w:rPr>
        <w:t>Zorgaanbieders worden gestimuleerd om hun eigen regeldruk aan te pakken</w:t>
      </w:r>
      <w:r>
        <w:rPr>
          <w:color w:val="000000"/>
          <w:szCs w:val="18"/>
        </w:rPr>
        <w:t>, ook door de brancheorganisaties</w:t>
      </w:r>
      <w:r w:rsidRPr="002B0657">
        <w:rPr>
          <w:color w:val="000000"/>
          <w:szCs w:val="18"/>
        </w:rPr>
        <w:t xml:space="preserve">. Ze worden hierbij ondersteund door het kennisaanbod van Vilans, </w:t>
      </w:r>
      <w:r>
        <w:rPr>
          <w:color w:val="000000"/>
          <w:szCs w:val="18"/>
        </w:rPr>
        <w:t>'Waardigheid en Trots'</w:t>
      </w:r>
      <w:r w:rsidRPr="002B0657">
        <w:rPr>
          <w:color w:val="000000"/>
          <w:szCs w:val="18"/>
        </w:rPr>
        <w:t xml:space="preserve"> en de experimenteerruimte van de NZa. </w:t>
      </w:r>
      <w:r>
        <w:rPr>
          <w:color w:val="000000"/>
          <w:szCs w:val="18"/>
        </w:rPr>
        <w:t xml:space="preserve">Zo geeft het overzicht wettelijk verplichte registraties zorgverleners houvast welke registratie verplicht is en welke gestopt kan worden. De handtekening van een cliënt onder de zorgovereenkomst en het zorgplan in de Wlz zijn bijvoorbeeld niet verplicht en kosten de nodige tijd om op te halen. Veel zorgaanbieders stoppen hier al mee. </w:t>
      </w:r>
    </w:p>
    <w:p w:rsidR="00811950" w:rsidP="00811950" w:rsidRDefault="00811950" w14:paraId="7E0F5E65" w14:textId="77777777">
      <w:pPr>
        <w:suppressAutoHyphens/>
      </w:pPr>
    </w:p>
    <w:p w:rsidR="00811950" w:rsidP="00811950" w:rsidRDefault="00811950" w14:paraId="4DB2D0CA" w14:textId="6A45425A">
      <w:pPr>
        <w:suppressAutoHyphens/>
      </w:pPr>
      <w:r>
        <w:t>Hoogachtend,</w:t>
      </w:r>
    </w:p>
    <w:p w:rsidR="00811950" w:rsidP="00811950" w:rsidRDefault="00811950" w14:paraId="6000B391" w14:textId="77777777">
      <w:pPr>
        <w:suppressAutoHyphens/>
      </w:pPr>
    </w:p>
    <w:p w:rsidR="00811950" w:rsidP="00811950" w:rsidRDefault="00811950" w14:paraId="15F5A7E2" w14:textId="77777777">
      <w:pPr>
        <w:suppressAutoHyphens/>
      </w:pPr>
      <w:r>
        <w:t>de staatssecretaris Langdurige</w:t>
      </w:r>
    </w:p>
    <w:p w:rsidR="00811950" w:rsidP="00811950" w:rsidRDefault="00811950" w14:paraId="0C36334A" w14:textId="77777777">
      <w:pPr>
        <w:suppressAutoHyphens/>
      </w:pPr>
      <w:r>
        <w:t>en Maatschappelijke Zorg,</w:t>
      </w:r>
    </w:p>
    <w:p w:rsidR="00811950" w:rsidP="00811950" w:rsidRDefault="00811950" w14:paraId="165A5B7A" w14:textId="77777777">
      <w:pPr>
        <w:suppressAutoHyphens/>
      </w:pPr>
    </w:p>
    <w:p w:rsidR="00811950" w:rsidP="00811950" w:rsidRDefault="00811950" w14:paraId="237416A3" w14:textId="77777777">
      <w:pPr>
        <w:suppressAutoHyphens/>
      </w:pPr>
    </w:p>
    <w:p w:rsidR="00811950" w:rsidP="00811950" w:rsidRDefault="00811950" w14:paraId="37953159" w14:textId="77777777">
      <w:pPr>
        <w:suppressAutoHyphens/>
      </w:pPr>
    </w:p>
    <w:p w:rsidR="00811950" w:rsidP="00811950" w:rsidRDefault="00811950" w14:paraId="7192FDC5" w14:textId="77777777">
      <w:pPr>
        <w:suppressAutoHyphens/>
      </w:pPr>
    </w:p>
    <w:p w:rsidR="00811950" w:rsidP="00811950" w:rsidRDefault="00811950" w14:paraId="2F1E519F" w14:textId="77777777">
      <w:pPr>
        <w:suppressAutoHyphens/>
      </w:pPr>
    </w:p>
    <w:p w:rsidR="00811950" w:rsidP="00811950" w:rsidRDefault="00811950" w14:paraId="392E1FB2" w14:textId="77777777">
      <w:pPr>
        <w:suppressAutoHyphens/>
      </w:pPr>
    </w:p>
    <w:p w:rsidR="005212B5" w:rsidP="00811950" w:rsidRDefault="00811950" w14:paraId="6F9CD871" w14:textId="3982CED3">
      <w:pPr>
        <w:suppressAutoHyphens/>
      </w:pPr>
      <w:r>
        <w:t xml:space="preserve">Nicki J.F. </w:t>
      </w:r>
      <w:proofErr w:type="spellStart"/>
      <w:r>
        <w:t>Pouw</w:t>
      </w:r>
      <w:proofErr w:type="spellEnd"/>
      <w:r>
        <w:t>-Verweij</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ED27" w14:textId="77777777" w:rsidR="00233E6B" w:rsidRDefault="00233E6B">
      <w:pPr>
        <w:spacing w:line="240" w:lineRule="auto"/>
      </w:pPr>
      <w:r>
        <w:separator/>
      </w:r>
    </w:p>
  </w:endnote>
  <w:endnote w:type="continuationSeparator" w:id="0">
    <w:p w14:paraId="5B07D0ED" w14:textId="77777777" w:rsidR="00233E6B" w:rsidRDefault="00233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4098" w14:textId="77777777" w:rsidR="00233E6B" w:rsidRDefault="00233E6B">
      <w:pPr>
        <w:spacing w:line="240" w:lineRule="auto"/>
      </w:pPr>
      <w:r>
        <w:separator/>
      </w:r>
    </w:p>
  </w:footnote>
  <w:footnote w:type="continuationSeparator" w:id="0">
    <w:p w14:paraId="0BD22B69" w14:textId="77777777" w:rsidR="00233E6B" w:rsidRDefault="00233E6B">
      <w:pPr>
        <w:spacing w:line="240" w:lineRule="auto"/>
      </w:pPr>
      <w:r>
        <w:continuationSeparator/>
      </w:r>
    </w:p>
  </w:footnote>
  <w:footnote w:id="1">
    <w:p w14:paraId="1F2BC456" w14:textId="77777777" w:rsidR="00DC2402" w:rsidRPr="00811950" w:rsidRDefault="00FA6F6B">
      <w:pPr>
        <w:pStyle w:val="Voetnoottekst"/>
        <w:rPr>
          <w:sz w:val="16"/>
          <w:szCs w:val="16"/>
        </w:rPr>
      </w:pPr>
      <w:r w:rsidRPr="00811950">
        <w:rPr>
          <w:rStyle w:val="Voetnootmarkering"/>
          <w:sz w:val="16"/>
          <w:szCs w:val="16"/>
        </w:rPr>
        <w:footnoteRef/>
      </w:r>
      <w:r w:rsidRPr="00811950">
        <w:rPr>
          <w:sz w:val="16"/>
          <w:szCs w:val="16"/>
        </w:rPr>
        <w:t xml:space="preserve"> </w:t>
      </w:r>
      <w:r w:rsidR="001762A3" w:rsidRPr="00811950">
        <w:rPr>
          <w:sz w:val="16"/>
          <w:szCs w:val="16"/>
        </w:rPr>
        <w:t>Kamerstukken II, 29 389, nr. 152</w:t>
      </w:r>
      <w:r w:rsidR="00B0395D" w:rsidRPr="0081195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E413" w14:textId="77777777" w:rsidR="00830438" w:rsidRDefault="00FA6F6B">
    <w:pPr>
      <w:pStyle w:val="Koptekst"/>
    </w:pPr>
    <w:r>
      <w:rPr>
        <w:noProof/>
      </w:rPr>
      <mc:AlternateContent>
        <mc:Choice Requires="wps">
          <w:drawing>
            <wp:anchor distT="0" distB="0" distL="114300" distR="114300" simplePos="0" relativeHeight="251663360" behindDoc="0" locked="0" layoutInCell="1" allowOverlap="1" wp14:anchorId="755FB6DE" wp14:editId="73F75F7A">
              <wp:simplePos x="0" y="0"/>
              <wp:positionH relativeFrom="column">
                <wp:posOffset>4928870</wp:posOffset>
              </wp:positionH>
              <wp:positionV relativeFrom="paragraph">
                <wp:posOffset>9721215</wp:posOffset>
              </wp:positionV>
              <wp:extent cx="1263650" cy="342900"/>
              <wp:effectExtent l="0" t="0" r="0" b="0"/>
              <wp:wrapNone/>
              <wp:docPr id="1255092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5067" w14:textId="77777777" w:rsidR="00830438" w:rsidRDefault="00FA6F6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5FB6DE"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6B45067" w14:textId="77777777" w:rsidR="00830438" w:rsidRDefault="00FA6F6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7B2659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A61" w14:textId="77777777" w:rsidR="00830438" w:rsidRDefault="00FA6F6B" w:rsidP="00536636">
    <w:pPr>
      <w:pStyle w:val="Koptekst"/>
    </w:pPr>
    <w:r>
      <w:rPr>
        <w:noProof/>
      </w:rPr>
      <mc:AlternateContent>
        <mc:Choice Requires="wps">
          <w:drawing>
            <wp:anchor distT="0" distB="0" distL="114300" distR="114300" simplePos="0" relativeHeight="251661312" behindDoc="0" locked="0" layoutInCell="1" allowOverlap="1" wp14:anchorId="7416BCD5" wp14:editId="27573EC7">
              <wp:simplePos x="0" y="0"/>
              <wp:positionH relativeFrom="column">
                <wp:posOffset>4928870</wp:posOffset>
              </wp:positionH>
              <wp:positionV relativeFrom="paragraph">
                <wp:posOffset>9721215</wp:posOffset>
              </wp:positionV>
              <wp:extent cx="1263650" cy="342900"/>
              <wp:effectExtent l="0" t="0" r="0" b="0"/>
              <wp:wrapNone/>
              <wp:docPr id="1115672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863BC" w14:textId="77777777" w:rsidR="00830438" w:rsidRDefault="00FA6F6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16BCD5"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7A863BC" w14:textId="77777777" w:rsidR="00830438" w:rsidRDefault="00FA6F6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9101476" wp14:editId="58EDC73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AC5D3AF" w14:textId="77777777" w:rsidR="00830438" w:rsidRDefault="00830438" w:rsidP="00536636">
    <w:pPr>
      <w:pStyle w:val="Koptekst"/>
    </w:pPr>
  </w:p>
  <w:p w14:paraId="1256E8B9" w14:textId="77777777" w:rsidR="00830438" w:rsidRPr="00536636" w:rsidRDefault="00FA6F6B"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350136DE" wp14:editId="0AA2B5F9">
              <wp:simplePos x="0" y="0"/>
              <wp:positionH relativeFrom="margin">
                <wp:posOffset>4928870</wp:posOffset>
              </wp:positionH>
              <wp:positionV relativeFrom="paragraph">
                <wp:posOffset>1136650</wp:posOffset>
              </wp:positionV>
              <wp:extent cx="1263650" cy="8035925"/>
              <wp:effectExtent l="0" t="0" r="0" b="0"/>
              <wp:wrapSquare wrapText="bothSides"/>
              <wp:docPr id="851240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C2A1" w14:textId="77777777" w:rsidR="00830438" w:rsidRPr="006D7336" w:rsidRDefault="00FA6F6B" w:rsidP="00536636">
                          <w:pPr>
                            <w:pStyle w:val="Afzendgegevens"/>
                            <w:rPr>
                              <w:b/>
                            </w:rPr>
                          </w:pPr>
                          <w:r w:rsidRPr="006D7336">
                            <w:rPr>
                              <w:b/>
                            </w:rPr>
                            <w:t>Bezoekadres:</w:t>
                          </w:r>
                        </w:p>
                        <w:p w14:paraId="56F365DD" w14:textId="77777777" w:rsidR="00830438" w:rsidRDefault="00FA6F6B" w:rsidP="00536636">
                          <w:pPr>
                            <w:pStyle w:val="Afzendgegevens"/>
                          </w:pPr>
                          <w:r>
                            <w:t>Parnassusplein 5</w:t>
                          </w:r>
                        </w:p>
                        <w:p w14:paraId="5297C526" w14:textId="77777777" w:rsidR="00830438" w:rsidRDefault="00FA6F6B" w:rsidP="0051346F">
                          <w:pPr>
                            <w:pStyle w:val="Afzendgegevens"/>
                          </w:pPr>
                          <w:r>
                            <w:t>25</w:t>
                          </w:r>
                          <w:r w:rsidR="00144715">
                            <w:t>11</w:t>
                          </w:r>
                          <w:r>
                            <w:t xml:space="preserve"> </w:t>
                          </w:r>
                          <w:r w:rsidR="00144715">
                            <w:t xml:space="preserve">VX </w:t>
                          </w:r>
                          <w:r w:rsidR="005C61EB">
                            <w:t xml:space="preserve"> </w:t>
                          </w:r>
                          <w:r>
                            <w:t>Den Haag</w:t>
                          </w:r>
                        </w:p>
                        <w:p w14:paraId="237311EE" w14:textId="77777777" w:rsidR="00830438" w:rsidRDefault="00FA6F6B" w:rsidP="00536636">
                          <w:pPr>
                            <w:pStyle w:val="Afzendgegevens"/>
                            <w:tabs>
                              <w:tab w:val="left" w:pos="170"/>
                            </w:tabs>
                          </w:pPr>
                          <w:r>
                            <w:t>T</w:t>
                          </w:r>
                          <w:r>
                            <w:tab/>
                            <w:t>070 340 79 11</w:t>
                          </w:r>
                        </w:p>
                        <w:p w14:paraId="1083AA1C" w14:textId="77777777" w:rsidR="00830438" w:rsidRDefault="00FA6F6B" w:rsidP="00536636">
                          <w:pPr>
                            <w:pStyle w:val="Afzendgegevens"/>
                            <w:tabs>
                              <w:tab w:val="left" w:pos="170"/>
                            </w:tabs>
                          </w:pPr>
                          <w:r>
                            <w:t>F</w:t>
                          </w:r>
                          <w:r>
                            <w:tab/>
                            <w:t>070 340 78 34</w:t>
                          </w:r>
                        </w:p>
                        <w:p w14:paraId="2621B510" w14:textId="77777777" w:rsidR="00830438" w:rsidRDefault="00FA6F6B" w:rsidP="00536636">
                          <w:pPr>
                            <w:pStyle w:val="Afzendgegevens"/>
                          </w:pPr>
                          <w:r>
                            <w:t>www.rijksoverheid.nl</w:t>
                          </w:r>
                        </w:p>
                        <w:p w14:paraId="762BE5D3" w14:textId="77777777" w:rsidR="00830438" w:rsidRDefault="00830438" w:rsidP="00536636">
                          <w:pPr>
                            <w:pStyle w:val="Afzendgegevenswitregel2"/>
                          </w:pPr>
                        </w:p>
                        <w:p w14:paraId="0D1CC6A4" w14:textId="77777777" w:rsidR="00830438" w:rsidRPr="006D7336" w:rsidRDefault="00FA6F6B" w:rsidP="00005041">
                          <w:pPr>
                            <w:pStyle w:val="Afzendgegevens"/>
                            <w:rPr>
                              <w:b/>
                            </w:rPr>
                          </w:pPr>
                          <w:r w:rsidRPr="006D7336">
                            <w:rPr>
                              <w:b/>
                            </w:rPr>
                            <w:t>Ons kenmerk</w:t>
                          </w:r>
                        </w:p>
                        <w:p w14:paraId="23FD4624" w14:textId="77777777" w:rsidR="00830438" w:rsidRDefault="00FA6F6B" w:rsidP="00005041">
                          <w:pPr>
                            <w:pStyle w:val="Afzendgegevens"/>
                          </w:pPr>
                          <w:r>
                            <w:t>4316019-1092097-LZ</w:t>
                          </w:r>
                        </w:p>
                        <w:p w14:paraId="46788E45" w14:textId="77777777" w:rsidR="0012322E" w:rsidRDefault="0012322E" w:rsidP="0012322E">
                          <w:pPr>
                            <w:pStyle w:val="Afzendgegevens"/>
                          </w:pPr>
                        </w:p>
                        <w:p w14:paraId="19F6D9F1" w14:textId="77777777" w:rsidR="0012322E" w:rsidRPr="001E7B11" w:rsidRDefault="00FA6F6B" w:rsidP="0012322E">
                          <w:pPr>
                            <w:pStyle w:val="Afzendgegevens"/>
                            <w:rPr>
                              <w:b/>
                            </w:rPr>
                          </w:pPr>
                          <w:r w:rsidRPr="001E7B11">
                            <w:rPr>
                              <w:b/>
                            </w:rPr>
                            <w:t>Bijlage</w:t>
                          </w:r>
                          <w:r>
                            <w:rPr>
                              <w:b/>
                            </w:rPr>
                            <w:t>(n)</w:t>
                          </w:r>
                        </w:p>
                        <w:p w14:paraId="2E13A31B" w14:textId="77777777" w:rsidR="0012322E" w:rsidRDefault="00FA6F6B" w:rsidP="0012322E">
                          <w:pPr>
                            <w:pStyle w:val="Afzendgegevens"/>
                          </w:pPr>
                          <w:r>
                            <w:t>-</w:t>
                          </w:r>
                        </w:p>
                        <w:p w14:paraId="42651142" w14:textId="77777777" w:rsidR="0012322E" w:rsidRPr="0012322E" w:rsidRDefault="0012322E" w:rsidP="0012322E">
                          <w:pPr>
                            <w:pStyle w:val="Afzendgegevens"/>
                          </w:pPr>
                        </w:p>
                        <w:p w14:paraId="3A53F1A2" w14:textId="77777777" w:rsidR="00830438" w:rsidRPr="0051346F" w:rsidRDefault="00FA6F6B" w:rsidP="00536636">
                          <w:pPr>
                            <w:pStyle w:val="Afzendgegevenskopjes"/>
                          </w:pPr>
                          <w:r>
                            <w:t>Uw</w:t>
                          </w:r>
                          <w:r w:rsidRPr="0051346F">
                            <w:t xml:space="preserve"> kenmerk</w:t>
                          </w:r>
                        </w:p>
                        <w:p w14:paraId="4169B9D4" w14:textId="77777777" w:rsidR="00830438" w:rsidRDefault="00FA6F6B" w:rsidP="00384D72">
                          <w:pPr>
                            <w:pStyle w:val="Afzendgegevens"/>
                          </w:pPr>
                          <w:r>
                            <w:t xml:space="preserve">2025Z20994 </w:t>
                          </w:r>
                        </w:p>
                        <w:p w14:paraId="100ADC06" w14:textId="77777777" w:rsidR="00830438" w:rsidRDefault="00830438" w:rsidP="00384D72">
                          <w:pPr>
                            <w:pStyle w:val="Afzendgegevens"/>
                          </w:pPr>
                        </w:p>
                        <w:p w14:paraId="0BA79C23" w14:textId="77777777" w:rsidR="0012322E" w:rsidRDefault="0012322E" w:rsidP="00384D72">
                          <w:pPr>
                            <w:pStyle w:val="Afzendgegevens"/>
                          </w:pPr>
                        </w:p>
                        <w:p w14:paraId="381DA8E8" w14:textId="77777777" w:rsidR="00830438" w:rsidRPr="00C45528" w:rsidRDefault="00FA6F6B"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50136DE"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5ECC2A1" w14:textId="77777777" w:rsidR="00830438" w:rsidRPr="006D7336" w:rsidRDefault="00FA6F6B" w:rsidP="00536636">
                    <w:pPr>
                      <w:pStyle w:val="Afzendgegevens"/>
                      <w:rPr>
                        <w:b/>
                      </w:rPr>
                    </w:pPr>
                    <w:r w:rsidRPr="006D7336">
                      <w:rPr>
                        <w:b/>
                      </w:rPr>
                      <w:t>Bezoekadres:</w:t>
                    </w:r>
                  </w:p>
                  <w:p w14:paraId="56F365DD" w14:textId="77777777" w:rsidR="00830438" w:rsidRDefault="00FA6F6B" w:rsidP="00536636">
                    <w:pPr>
                      <w:pStyle w:val="Afzendgegevens"/>
                    </w:pPr>
                    <w:r>
                      <w:t>Parnassusplein 5</w:t>
                    </w:r>
                  </w:p>
                  <w:p w14:paraId="5297C526" w14:textId="77777777" w:rsidR="00830438" w:rsidRDefault="00FA6F6B" w:rsidP="0051346F">
                    <w:pPr>
                      <w:pStyle w:val="Afzendgegevens"/>
                    </w:pPr>
                    <w:r>
                      <w:t>25</w:t>
                    </w:r>
                    <w:r w:rsidR="00144715">
                      <w:t>11</w:t>
                    </w:r>
                    <w:r>
                      <w:t xml:space="preserve"> </w:t>
                    </w:r>
                    <w:r w:rsidR="00144715">
                      <w:t xml:space="preserve">VX </w:t>
                    </w:r>
                    <w:r w:rsidR="005C61EB">
                      <w:t xml:space="preserve"> </w:t>
                    </w:r>
                    <w:r>
                      <w:t>Den Haag</w:t>
                    </w:r>
                  </w:p>
                  <w:p w14:paraId="237311EE" w14:textId="77777777" w:rsidR="00830438" w:rsidRDefault="00FA6F6B" w:rsidP="00536636">
                    <w:pPr>
                      <w:pStyle w:val="Afzendgegevens"/>
                      <w:tabs>
                        <w:tab w:val="left" w:pos="170"/>
                      </w:tabs>
                    </w:pPr>
                    <w:r>
                      <w:t>T</w:t>
                    </w:r>
                    <w:r>
                      <w:tab/>
                      <w:t>070 340 79 11</w:t>
                    </w:r>
                  </w:p>
                  <w:p w14:paraId="1083AA1C" w14:textId="77777777" w:rsidR="00830438" w:rsidRDefault="00FA6F6B" w:rsidP="00536636">
                    <w:pPr>
                      <w:pStyle w:val="Afzendgegevens"/>
                      <w:tabs>
                        <w:tab w:val="left" w:pos="170"/>
                      </w:tabs>
                    </w:pPr>
                    <w:r>
                      <w:t>F</w:t>
                    </w:r>
                    <w:r>
                      <w:tab/>
                      <w:t>070 340 78 34</w:t>
                    </w:r>
                  </w:p>
                  <w:p w14:paraId="2621B510" w14:textId="77777777" w:rsidR="00830438" w:rsidRDefault="00FA6F6B" w:rsidP="00536636">
                    <w:pPr>
                      <w:pStyle w:val="Afzendgegevens"/>
                    </w:pPr>
                    <w:r>
                      <w:t>www.rijksoverheid.nl</w:t>
                    </w:r>
                  </w:p>
                  <w:p w14:paraId="762BE5D3" w14:textId="77777777" w:rsidR="00830438" w:rsidRDefault="00830438" w:rsidP="00536636">
                    <w:pPr>
                      <w:pStyle w:val="Afzendgegevenswitregel2"/>
                    </w:pPr>
                  </w:p>
                  <w:p w14:paraId="0D1CC6A4" w14:textId="77777777" w:rsidR="00830438" w:rsidRPr="006D7336" w:rsidRDefault="00FA6F6B" w:rsidP="00005041">
                    <w:pPr>
                      <w:pStyle w:val="Afzendgegevens"/>
                      <w:rPr>
                        <w:b/>
                      </w:rPr>
                    </w:pPr>
                    <w:r w:rsidRPr="006D7336">
                      <w:rPr>
                        <w:b/>
                      </w:rPr>
                      <w:t>Ons kenmerk</w:t>
                    </w:r>
                  </w:p>
                  <w:p w14:paraId="23FD4624" w14:textId="77777777" w:rsidR="00830438" w:rsidRDefault="00FA6F6B" w:rsidP="00005041">
                    <w:pPr>
                      <w:pStyle w:val="Afzendgegevens"/>
                    </w:pPr>
                    <w:r>
                      <w:t>4316019-1092097-LZ</w:t>
                    </w:r>
                  </w:p>
                  <w:p w14:paraId="46788E45" w14:textId="77777777" w:rsidR="0012322E" w:rsidRDefault="0012322E" w:rsidP="0012322E">
                    <w:pPr>
                      <w:pStyle w:val="Afzendgegevens"/>
                    </w:pPr>
                  </w:p>
                  <w:p w14:paraId="19F6D9F1" w14:textId="77777777" w:rsidR="0012322E" w:rsidRPr="001E7B11" w:rsidRDefault="00FA6F6B" w:rsidP="0012322E">
                    <w:pPr>
                      <w:pStyle w:val="Afzendgegevens"/>
                      <w:rPr>
                        <w:b/>
                      </w:rPr>
                    </w:pPr>
                    <w:r w:rsidRPr="001E7B11">
                      <w:rPr>
                        <w:b/>
                      </w:rPr>
                      <w:t>Bijlage</w:t>
                    </w:r>
                    <w:r>
                      <w:rPr>
                        <w:b/>
                      </w:rPr>
                      <w:t>(n)</w:t>
                    </w:r>
                  </w:p>
                  <w:p w14:paraId="2E13A31B" w14:textId="77777777" w:rsidR="0012322E" w:rsidRDefault="00FA6F6B" w:rsidP="0012322E">
                    <w:pPr>
                      <w:pStyle w:val="Afzendgegevens"/>
                    </w:pPr>
                    <w:r>
                      <w:t>-</w:t>
                    </w:r>
                  </w:p>
                  <w:p w14:paraId="42651142" w14:textId="77777777" w:rsidR="0012322E" w:rsidRPr="0012322E" w:rsidRDefault="0012322E" w:rsidP="0012322E">
                    <w:pPr>
                      <w:pStyle w:val="Afzendgegevens"/>
                    </w:pPr>
                  </w:p>
                  <w:p w14:paraId="3A53F1A2" w14:textId="77777777" w:rsidR="00830438" w:rsidRPr="0051346F" w:rsidRDefault="00FA6F6B" w:rsidP="00536636">
                    <w:pPr>
                      <w:pStyle w:val="Afzendgegevenskopjes"/>
                    </w:pPr>
                    <w:r>
                      <w:t>Uw</w:t>
                    </w:r>
                    <w:r w:rsidRPr="0051346F">
                      <w:t xml:space="preserve"> kenmerk</w:t>
                    </w:r>
                  </w:p>
                  <w:p w14:paraId="4169B9D4" w14:textId="77777777" w:rsidR="00830438" w:rsidRDefault="00FA6F6B" w:rsidP="00384D72">
                    <w:pPr>
                      <w:pStyle w:val="Afzendgegevens"/>
                    </w:pPr>
                    <w:r>
                      <w:t xml:space="preserve">2025Z20994 </w:t>
                    </w:r>
                  </w:p>
                  <w:p w14:paraId="100ADC06" w14:textId="77777777" w:rsidR="00830438" w:rsidRDefault="00830438" w:rsidP="00384D72">
                    <w:pPr>
                      <w:pStyle w:val="Afzendgegevens"/>
                    </w:pPr>
                  </w:p>
                  <w:p w14:paraId="0BA79C23" w14:textId="77777777" w:rsidR="0012322E" w:rsidRDefault="0012322E" w:rsidP="00384D72">
                    <w:pPr>
                      <w:pStyle w:val="Afzendgegevens"/>
                    </w:pPr>
                  </w:p>
                  <w:p w14:paraId="381DA8E8" w14:textId="77777777" w:rsidR="00830438" w:rsidRPr="00C45528" w:rsidRDefault="00FA6F6B"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8A93F06"/>
    <w:multiLevelType w:val="multilevel"/>
    <w:tmpl w:val="0E649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7673773">
    <w:abstractNumId w:val="9"/>
  </w:num>
  <w:num w:numId="2" w16cid:durableId="1830174571">
    <w:abstractNumId w:val="13"/>
  </w:num>
  <w:num w:numId="3" w16cid:durableId="1333023772">
    <w:abstractNumId w:val="7"/>
  </w:num>
  <w:num w:numId="4" w16cid:durableId="574900420">
    <w:abstractNumId w:val="6"/>
  </w:num>
  <w:num w:numId="5" w16cid:durableId="162936645">
    <w:abstractNumId w:val="5"/>
  </w:num>
  <w:num w:numId="6" w16cid:durableId="1600066057">
    <w:abstractNumId w:val="4"/>
  </w:num>
  <w:num w:numId="7" w16cid:durableId="1132476068">
    <w:abstractNumId w:val="8"/>
  </w:num>
  <w:num w:numId="8" w16cid:durableId="92627639">
    <w:abstractNumId w:val="3"/>
  </w:num>
  <w:num w:numId="9" w16cid:durableId="1733388732">
    <w:abstractNumId w:val="2"/>
  </w:num>
  <w:num w:numId="10" w16cid:durableId="890969189">
    <w:abstractNumId w:val="1"/>
  </w:num>
  <w:num w:numId="11" w16cid:durableId="486701857">
    <w:abstractNumId w:val="0"/>
  </w:num>
  <w:num w:numId="12" w16cid:durableId="1597128324">
    <w:abstractNumId w:val="14"/>
  </w:num>
  <w:num w:numId="13" w16cid:durableId="2058700953">
    <w:abstractNumId w:val="15"/>
  </w:num>
  <w:num w:numId="14" w16cid:durableId="1704788301">
    <w:abstractNumId w:val="10"/>
  </w:num>
  <w:num w:numId="15" w16cid:durableId="1008599975">
    <w:abstractNumId w:val="16"/>
  </w:num>
  <w:num w:numId="16" w16cid:durableId="889652055">
    <w:abstractNumId w:val="16"/>
  </w:num>
  <w:num w:numId="17" w16cid:durableId="1289894507">
    <w:abstractNumId w:val="16"/>
  </w:num>
  <w:num w:numId="18" w16cid:durableId="375280128">
    <w:abstractNumId w:val="12"/>
  </w:num>
  <w:num w:numId="19" w16cid:durableId="1965767627">
    <w:abstractNumId w:val="12"/>
  </w:num>
  <w:num w:numId="20" w16cid:durableId="846098155">
    <w:abstractNumId w:val="12"/>
  </w:num>
  <w:num w:numId="21" w16cid:durableId="1965773640">
    <w:abstractNumId w:val="13"/>
  </w:num>
  <w:num w:numId="22" w16cid:durableId="1503859803">
    <w:abstractNumId w:val="7"/>
  </w:num>
  <w:num w:numId="23" w16cid:durableId="246119171">
    <w:abstractNumId w:val="6"/>
  </w:num>
  <w:num w:numId="24" w16cid:durableId="1602227479">
    <w:abstractNumId w:val="10"/>
  </w:num>
  <w:num w:numId="25" w16cid:durableId="1295914243">
    <w:abstractNumId w:val="13"/>
  </w:num>
  <w:num w:numId="26" w16cid:durableId="805010225">
    <w:abstractNumId w:val="7"/>
  </w:num>
  <w:num w:numId="27" w16cid:durableId="1393962231">
    <w:abstractNumId w:val="6"/>
  </w:num>
  <w:num w:numId="28" w16cid:durableId="1583250076">
    <w:abstractNumId w:val="17"/>
  </w:num>
  <w:num w:numId="29" w16cid:durableId="1621304511">
    <w:abstractNumId w:val="17"/>
  </w:num>
  <w:num w:numId="30" w16cid:durableId="1547134655">
    <w:abstractNumId w:val="17"/>
  </w:num>
  <w:num w:numId="31" w16cid:durableId="1990787816">
    <w:abstractNumId w:val="17"/>
  </w:num>
  <w:num w:numId="32" w16cid:durableId="1527594924">
    <w:abstractNumId w:val="15"/>
  </w:num>
  <w:num w:numId="33" w16cid:durableId="949511775">
    <w:abstractNumId w:val="15"/>
  </w:num>
  <w:num w:numId="34" w16cid:durableId="1503815771">
    <w:abstractNumId w:val="15"/>
  </w:num>
  <w:num w:numId="35" w16cid:durableId="1319385837">
    <w:abstractNumId w:val="12"/>
  </w:num>
  <w:num w:numId="36" w16cid:durableId="1468397">
    <w:abstractNumId w:val="12"/>
  </w:num>
  <w:num w:numId="37" w16cid:durableId="1978414787">
    <w:abstractNumId w:val="12"/>
  </w:num>
  <w:num w:numId="38" w16cid:durableId="1445660606">
    <w:abstractNumId w:val="13"/>
  </w:num>
  <w:num w:numId="39" w16cid:durableId="41906566">
    <w:abstractNumId w:val="7"/>
  </w:num>
  <w:num w:numId="40" w16cid:durableId="1755273055">
    <w:abstractNumId w:val="6"/>
  </w:num>
  <w:num w:numId="41" w16cid:durableId="688720357">
    <w:abstractNumId w:val="5"/>
  </w:num>
  <w:num w:numId="42" w16cid:durableId="1763991083">
    <w:abstractNumId w:val="4"/>
  </w:num>
  <w:num w:numId="43" w16cid:durableId="1619874436">
    <w:abstractNumId w:val="17"/>
  </w:num>
  <w:num w:numId="44" w16cid:durableId="1708263698">
    <w:abstractNumId w:val="17"/>
  </w:num>
  <w:num w:numId="45" w16cid:durableId="452868924">
    <w:abstractNumId w:val="17"/>
  </w:num>
  <w:num w:numId="46" w16cid:durableId="1078094859">
    <w:abstractNumId w:val="17"/>
  </w:num>
  <w:num w:numId="47" w16cid:durableId="35086523">
    <w:abstractNumId w:val="0"/>
  </w:num>
  <w:num w:numId="48" w16cid:durableId="1037050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3B8B"/>
    <w:rsid w:val="00024097"/>
    <w:rsid w:val="00033F0D"/>
    <w:rsid w:val="000364BD"/>
    <w:rsid w:val="000429AB"/>
    <w:rsid w:val="00043DBD"/>
    <w:rsid w:val="00044264"/>
    <w:rsid w:val="00045A42"/>
    <w:rsid w:val="00053407"/>
    <w:rsid w:val="0005438B"/>
    <w:rsid w:val="00054C93"/>
    <w:rsid w:val="000553AF"/>
    <w:rsid w:val="000679E7"/>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35781"/>
    <w:rsid w:val="00142461"/>
    <w:rsid w:val="00144715"/>
    <w:rsid w:val="001456A9"/>
    <w:rsid w:val="00147C40"/>
    <w:rsid w:val="00160FE0"/>
    <w:rsid w:val="0017019F"/>
    <w:rsid w:val="0017393A"/>
    <w:rsid w:val="001751C3"/>
    <w:rsid w:val="001762A3"/>
    <w:rsid w:val="00195B45"/>
    <w:rsid w:val="001B69D3"/>
    <w:rsid w:val="001C1B88"/>
    <w:rsid w:val="001D5CE1"/>
    <w:rsid w:val="001E4AA7"/>
    <w:rsid w:val="001E7B11"/>
    <w:rsid w:val="001F0DD2"/>
    <w:rsid w:val="001F4FDF"/>
    <w:rsid w:val="00207873"/>
    <w:rsid w:val="00213634"/>
    <w:rsid w:val="0022640B"/>
    <w:rsid w:val="00233E6B"/>
    <w:rsid w:val="002402CA"/>
    <w:rsid w:val="00261464"/>
    <w:rsid w:val="00263937"/>
    <w:rsid w:val="0026437C"/>
    <w:rsid w:val="00275778"/>
    <w:rsid w:val="0027737A"/>
    <w:rsid w:val="00282965"/>
    <w:rsid w:val="00283FB4"/>
    <w:rsid w:val="00285CBF"/>
    <w:rsid w:val="002937FB"/>
    <w:rsid w:val="002A1EAA"/>
    <w:rsid w:val="002B0657"/>
    <w:rsid w:val="002B71A4"/>
    <w:rsid w:val="002C1A5D"/>
    <w:rsid w:val="002C728A"/>
    <w:rsid w:val="002E5410"/>
    <w:rsid w:val="002F03F9"/>
    <w:rsid w:val="00305A22"/>
    <w:rsid w:val="00323A44"/>
    <w:rsid w:val="0034215E"/>
    <w:rsid w:val="00344C27"/>
    <w:rsid w:val="003502AE"/>
    <w:rsid w:val="00353E43"/>
    <w:rsid w:val="003808CB"/>
    <w:rsid w:val="00384D72"/>
    <w:rsid w:val="00391419"/>
    <w:rsid w:val="00394359"/>
    <w:rsid w:val="00394BD1"/>
    <w:rsid w:val="00395A73"/>
    <w:rsid w:val="003A64D6"/>
    <w:rsid w:val="003F281F"/>
    <w:rsid w:val="00400F63"/>
    <w:rsid w:val="00405230"/>
    <w:rsid w:val="00423F87"/>
    <w:rsid w:val="00442544"/>
    <w:rsid w:val="004542AB"/>
    <w:rsid w:val="00472D0A"/>
    <w:rsid w:val="0047594C"/>
    <w:rsid w:val="004853E9"/>
    <w:rsid w:val="0048542D"/>
    <w:rsid w:val="00494227"/>
    <w:rsid w:val="004B48AA"/>
    <w:rsid w:val="004B5A41"/>
    <w:rsid w:val="004B5BCD"/>
    <w:rsid w:val="004C28CC"/>
    <w:rsid w:val="004D3EE4"/>
    <w:rsid w:val="004D506C"/>
    <w:rsid w:val="004D782C"/>
    <w:rsid w:val="004E2A1A"/>
    <w:rsid w:val="004F4498"/>
    <w:rsid w:val="0051346F"/>
    <w:rsid w:val="00516263"/>
    <w:rsid w:val="00516695"/>
    <w:rsid w:val="005212B5"/>
    <w:rsid w:val="0052664D"/>
    <w:rsid w:val="005352CF"/>
    <w:rsid w:val="00536636"/>
    <w:rsid w:val="00547739"/>
    <w:rsid w:val="00547FE6"/>
    <w:rsid w:val="00564908"/>
    <w:rsid w:val="00581D53"/>
    <w:rsid w:val="00586002"/>
    <w:rsid w:val="00586345"/>
    <w:rsid w:val="005A47B6"/>
    <w:rsid w:val="005A668A"/>
    <w:rsid w:val="005C55B1"/>
    <w:rsid w:val="005C61EB"/>
    <w:rsid w:val="005D7EB6"/>
    <w:rsid w:val="00635330"/>
    <w:rsid w:val="0065343A"/>
    <w:rsid w:val="00662198"/>
    <w:rsid w:val="00670F32"/>
    <w:rsid w:val="0067640E"/>
    <w:rsid w:val="00682AC0"/>
    <w:rsid w:val="006C0CC8"/>
    <w:rsid w:val="006D0A6A"/>
    <w:rsid w:val="006D6512"/>
    <w:rsid w:val="006D7336"/>
    <w:rsid w:val="006E1A46"/>
    <w:rsid w:val="006E27BE"/>
    <w:rsid w:val="006F0AEE"/>
    <w:rsid w:val="007001A5"/>
    <w:rsid w:val="007161B2"/>
    <w:rsid w:val="007275B8"/>
    <w:rsid w:val="00730703"/>
    <w:rsid w:val="007539FC"/>
    <w:rsid w:val="00754BBC"/>
    <w:rsid w:val="0075628C"/>
    <w:rsid w:val="00756CC5"/>
    <w:rsid w:val="007605B0"/>
    <w:rsid w:val="007638F4"/>
    <w:rsid w:val="00793857"/>
    <w:rsid w:val="007A5CB5"/>
    <w:rsid w:val="007A6B88"/>
    <w:rsid w:val="007B24EE"/>
    <w:rsid w:val="007B5E5E"/>
    <w:rsid w:val="007B6116"/>
    <w:rsid w:val="007C0BC6"/>
    <w:rsid w:val="007C6FCF"/>
    <w:rsid w:val="007D47B0"/>
    <w:rsid w:val="007D6882"/>
    <w:rsid w:val="007D75E1"/>
    <w:rsid w:val="007E13A5"/>
    <w:rsid w:val="007E5B79"/>
    <w:rsid w:val="007F447B"/>
    <w:rsid w:val="007F5AEE"/>
    <w:rsid w:val="007F63F2"/>
    <w:rsid w:val="00803C7D"/>
    <w:rsid w:val="008051F3"/>
    <w:rsid w:val="00811950"/>
    <w:rsid w:val="00814714"/>
    <w:rsid w:val="00821CEB"/>
    <w:rsid w:val="00830438"/>
    <w:rsid w:val="008537C9"/>
    <w:rsid w:val="00861D19"/>
    <w:rsid w:val="008637B7"/>
    <w:rsid w:val="008729DD"/>
    <w:rsid w:val="00875196"/>
    <w:rsid w:val="00881A5B"/>
    <w:rsid w:val="00891202"/>
    <w:rsid w:val="008C5EA2"/>
    <w:rsid w:val="008F7856"/>
    <w:rsid w:val="009071A4"/>
    <w:rsid w:val="00907302"/>
    <w:rsid w:val="00920DD6"/>
    <w:rsid w:val="00933B3B"/>
    <w:rsid w:val="0093416E"/>
    <w:rsid w:val="00936292"/>
    <w:rsid w:val="009608D3"/>
    <w:rsid w:val="009615EB"/>
    <w:rsid w:val="00963692"/>
    <w:rsid w:val="00963E22"/>
    <w:rsid w:val="0096635E"/>
    <w:rsid w:val="00971F45"/>
    <w:rsid w:val="0097481D"/>
    <w:rsid w:val="009932FB"/>
    <w:rsid w:val="00993C21"/>
    <w:rsid w:val="009945B3"/>
    <w:rsid w:val="009A2A0F"/>
    <w:rsid w:val="009A6ADB"/>
    <w:rsid w:val="009B7B79"/>
    <w:rsid w:val="009D469E"/>
    <w:rsid w:val="009E49D6"/>
    <w:rsid w:val="009E59AE"/>
    <w:rsid w:val="00A0092D"/>
    <w:rsid w:val="00A11E19"/>
    <w:rsid w:val="00A20EBB"/>
    <w:rsid w:val="00A420CE"/>
    <w:rsid w:val="00A42171"/>
    <w:rsid w:val="00A46115"/>
    <w:rsid w:val="00A75276"/>
    <w:rsid w:val="00A75C49"/>
    <w:rsid w:val="00A859EB"/>
    <w:rsid w:val="00A902DB"/>
    <w:rsid w:val="00A95AF0"/>
    <w:rsid w:val="00A97BB8"/>
    <w:rsid w:val="00AB0B6F"/>
    <w:rsid w:val="00AB33BE"/>
    <w:rsid w:val="00AB4A9A"/>
    <w:rsid w:val="00AB4AB7"/>
    <w:rsid w:val="00AB6116"/>
    <w:rsid w:val="00AC1B4F"/>
    <w:rsid w:val="00AC3430"/>
    <w:rsid w:val="00AE5E7A"/>
    <w:rsid w:val="00AE7E55"/>
    <w:rsid w:val="00AF35D8"/>
    <w:rsid w:val="00B0207A"/>
    <w:rsid w:val="00B02455"/>
    <w:rsid w:val="00B0395D"/>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6FE4"/>
    <w:rsid w:val="00BD76E0"/>
    <w:rsid w:val="00BE1ECC"/>
    <w:rsid w:val="00BF0167"/>
    <w:rsid w:val="00BF0A88"/>
    <w:rsid w:val="00BF1E5F"/>
    <w:rsid w:val="00BF4D73"/>
    <w:rsid w:val="00C03573"/>
    <w:rsid w:val="00C044B6"/>
    <w:rsid w:val="00C04DE9"/>
    <w:rsid w:val="00C21323"/>
    <w:rsid w:val="00C2219A"/>
    <w:rsid w:val="00C43B91"/>
    <w:rsid w:val="00C45528"/>
    <w:rsid w:val="00C638EB"/>
    <w:rsid w:val="00C67128"/>
    <w:rsid w:val="00C70223"/>
    <w:rsid w:val="00C742D7"/>
    <w:rsid w:val="00C87B4D"/>
    <w:rsid w:val="00C9417E"/>
    <w:rsid w:val="00C94191"/>
    <w:rsid w:val="00CA082E"/>
    <w:rsid w:val="00CA481F"/>
    <w:rsid w:val="00CA6909"/>
    <w:rsid w:val="00CA76AB"/>
    <w:rsid w:val="00CB09AE"/>
    <w:rsid w:val="00CD04DD"/>
    <w:rsid w:val="00D057BA"/>
    <w:rsid w:val="00D10638"/>
    <w:rsid w:val="00D12650"/>
    <w:rsid w:val="00D127FC"/>
    <w:rsid w:val="00D376E1"/>
    <w:rsid w:val="00D4506F"/>
    <w:rsid w:val="00D45BC4"/>
    <w:rsid w:val="00D461FC"/>
    <w:rsid w:val="00D7372E"/>
    <w:rsid w:val="00D744AD"/>
    <w:rsid w:val="00D77A4C"/>
    <w:rsid w:val="00D81FF9"/>
    <w:rsid w:val="00D87848"/>
    <w:rsid w:val="00D91799"/>
    <w:rsid w:val="00D97A0B"/>
    <w:rsid w:val="00DA5AE6"/>
    <w:rsid w:val="00DB211D"/>
    <w:rsid w:val="00DC2402"/>
    <w:rsid w:val="00DC7090"/>
    <w:rsid w:val="00DD127F"/>
    <w:rsid w:val="00DD536E"/>
    <w:rsid w:val="00DD6D65"/>
    <w:rsid w:val="00DE3C6C"/>
    <w:rsid w:val="00E00E6C"/>
    <w:rsid w:val="00E3247D"/>
    <w:rsid w:val="00E46900"/>
    <w:rsid w:val="00E54D27"/>
    <w:rsid w:val="00E57FE4"/>
    <w:rsid w:val="00E736D3"/>
    <w:rsid w:val="00EB11C1"/>
    <w:rsid w:val="00EB2F0F"/>
    <w:rsid w:val="00EB49A6"/>
    <w:rsid w:val="00EE6EBB"/>
    <w:rsid w:val="00F01F8C"/>
    <w:rsid w:val="00F10705"/>
    <w:rsid w:val="00F137CF"/>
    <w:rsid w:val="00F15E23"/>
    <w:rsid w:val="00F306B5"/>
    <w:rsid w:val="00F3128D"/>
    <w:rsid w:val="00F32278"/>
    <w:rsid w:val="00F35583"/>
    <w:rsid w:val="00F36B68"/>
    <w:rsid w:val="00F46DEC"/>
    <w:rsid w:val="00F52956"/>
    <w:rsid w:val="00F62E4C"/>
    <w:rsid w:val="00F71053"/>
    <w:rsid w:val="00F86048"/>
    <w:rsid w:val="00F94B83"/>
    <w:rsid w:val="00F96B86"/>
    <w:rsid w:val="00FA6F6B"/>
    <w:rsid w:val="00FB3314"/>
    <w:rsid w:val="00FB3FA3"/>
    <w:rsid w:val="00FC3561"/>
    <w:rsid w:val="00FD5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0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DC2402"/>
    <w:rPr>
      <w:vertAlign w:val="superscript"/>
    </w:rPr>
  </w:style>
  <w:style w:type="paragraph" w:styleId="Revisie">
    <w:name w:val="Revision"/>
    <w:hidden/>
    <w:uiPriority w:val="99"/>
    <w:semiHidden/>
    <w:rsid w:val="008F7856"/>
    <w:rPr>
      <w:rFonts w:ascii="Verdana" w:hAnsi="Verdana"/>
      <w:sz w:val="18"/>
    </w:rPr>
  </w:style>
  <w:style w:type="character" w:styleId="Verwijzingopmerking">
    <w:name w:val="annotation reference"/>
    <w:basedOn w:val="Standaardalinea-lettertype"/>
    <w:semiHidden/>
    <w:unhideWhenUsed/>
    <w:rsid w:val="008F7856"/>
    <w:rPr>
      <w:sz w:val="16"/>
      <w:szCs w:val="16"/>
    </w:rPr>
  </w:style>
  <w:style w:type="paragraph" w:styleId="Onderwerpvanopmerking">
    <w:name w:val="annotation subject"/>
    <w:basedOn w:val="Tekstopmerking"/>
    <w:next w:val="Tekstopmerking"/>
    <w:link w:val="OnderwerpvanopmerkingChar"/>
    <w:semiHidden/>
    <w:unhideWhenUsed/>
    <w:rsid w:val="008F7856"/>
    <w:pPr>
      <w:spacing w:line="240" w:lineRule="atLeast"/>
    </w:pPr>
    <w:rPr>
      <w:b/>
      <w:bCs/>
      <w:sz w:val="20"/>
    </w:rPr>
  </w:style>
  <w:style w:type="character" w:customStyle="1" w:styleId="TekstopmerkingChar">
    <w:name w:val="Tekst opmerking Char"/>
    <w:basedOn w:val="Standaardalinea-lettertype"/>
    <w:link w:val="Tekstopmerking"/>
    <w:semiHidden/>
    <w:rsid w:val="008F7856"/>
    <w:rPr>
      <w:rFonts w:ascii="Verdana" w:hAnsi="Verdana"/>
      <w:sz w:val="18"/>
    </w:rPr>
  </w:style>
  <w:style w:type="character" w:customStyle="1" w:styleId="OnderwerpvanopmerkingChar">
    <w:name w:val="Onderwerp van opmerking Char"/>
    <w:basedOn w:val="TekstopmerkingChar"/>
    <w:link w:val="Onderwerpvanopmerking"/>
    <w:semiHidden/>
    <w:rsid w:val="008F785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1069</ap:Words>
  <ap:Characters>5968</ap:Characters>
  <ap:DocSecurity>0</ap:DocSecurity>
  <ap:Lines>49</ap:Lines>
  <ap:Paragraphs>14</ap:Paragraphs>
  <ap:ScaleCrop>false</ap:ScaleCrop>
  <ap:LinksUpToDate>false</ap:LinksUpToDate>
  <ap:CharactersWithSpaces>7023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2026-02-02T13:32:00.0000000Z</dcterms:created>
  <dcterms:modified xsi:type="dcterms:W3CDTF">2026-02-02T13:33:00.0000000Z</dcterms:modified>
  <dc:description>------------------------</dc:description>
  <dc:subject/>
  <dc:title/>
  <keywords/>
  <version/>
  <category/>
</coreProperties>
</file>