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26F08292" w14:textId="77777777">
        <w:trPr>
          <w:cantSplit/>
        </w:trPr>
        <w:tc>
          <w:tcPr>
            <w:tcW w:w="9212" w:type="dxa"/>
            <w:gridSpan w:val="2"/>
          </w:tcPr>
          <w:p w:rsidR="003B4752" w:rsidRDefault="003B4752" w14:paraId="17E42873" w14:textId="77777777">
            <w:pPr>
              <w:tabs>
                <w:tab w:val="left" w:pos="-1440"/>
                <w:tab w:val="left" w:pos="-720"/>
              </w:tabs>
              <w:suppressAutoHyphens/>
            </w:pPr>
          </w:p>
        </w:tc>
      </w:tr>
      <w:tr w:rsidR="003B4752" w14:paraId="3AB4A166" w14:textId="77777777">
        <w:trPr>
          <w:cantSplit/>
        </w:trPr>
        <w:tc>
          <w:tcPr>
            <w:tcW w:w="9212" w:type="dxa"/>
            <w:gridSpan w:val="2"/>
          </w:tcPr>
          <w:p w:rsidR="003B4752" w:rsidRDefault="003B4752" w14:paraId="73CDD6C1" w14:textId="77777777">
            <w:pPr>
              <w:tabs>
                <w:tab w:val="left" w:pos="-1440"/>
                <w:tab w:val="left" w:pos="-720"/>
              </w:tabs>
              <w:suppressAutoHyphens/>
              <w:rPr>
                <w:b/>
              </w:rPr>
            </w:pPr>
          </w:p>
        </w:tc>
      </w:tr>
      <w:tr w:rsidR="009833D1" w14:paraId="450D8F0E" w14:textId="77777777">
        <w:tc>
          <w:tcPr>
            <w:tcW w:w="2622" w:type="dxa"/>
          </w:tcPr>
          <w:p w:rsidR="009833D1" w:rsidRDefault="006B174F" w14:paraId="3EA0A67D" w14:textId="5EEB56C2">
            <w:pPr>
              <w:widowControl w:val="0"/>
              <w:rPr>
                <w:b/>
              </w:rPr>
            </w:pPr>
            <w:r>
              <w:rPr>
                <w:b/>
              </w:rPr>
              <w:t>36 833</w:t>
            </w:r>
          </w:p>
        </w:tc>
        <w:tc>
          <w:tcPr>
            <w:tcW w:w="6590" w:type="dxa"/>
          </w:tcPr>
          <w:p w:rsidR="009833D1" w:rsidP="006B174F" w:rsidRDefault="006B174F" w14:paraId="341FDA7C" w14:textId="153AEC68">
            <w:pPr>
              <w:widowControl w:val="0"/>
              <w:spacing w:line="240" w:lineRule="atLeast"/>
              <w:rPr>
                <w:b/>
              </w:rPr>
            </w:pPr>
            <w:r w:rsidRPr="00CB3E59">
              <w:rPr>
                <w:b/>
              </w:rPr>
              <w:t>Wijziging van de Wet op het financieel toezicht ter implementatie van Richtlijn</w:t>
            </w:r>
            <w:r w:rsidRPr="00CB3E59">
              <w:rPr>
                <w:b/>
                <w:iCs/>
              </w:rPr>
              <w:t xml:space="preserve"> </w:t>
            </w:r>
            <w:bookmarkStart w:name="_Hlk178608564" w:id="0"/>
            <w:r w:rsidRPr="00CB3E59">
              <w:rPr>
                <w:b/>
                <w:iCs/>
              </w:rPr>
              <w:t>(EU) 2024/927 tot wijziging van de Richtlijnen 2011/61/EU en 2009/65/EG wat betreft delegatieregelingen, liquiditeitsrisicobeheer, toezichtrapportage, verlening van bewaar- en bewaarnemingsdiensten en leninginitiëring door alternatieve beleggingsfondsen (</w:t>
            </w:r>
            <w:bookmarkStart w:name="_Hlk198647093" w:id="1"/>
            <w:r w:rsidRPr="00CB3E59">
              <w:rPr>
                <w:b/>
                <w:iCs/>
              </w:rPr>
              <w:t>Implementatiewet gewijzigde AIFM-richtlijn en icbe-richtlijn</w:t>
            </w:r>
            <w:bookmarkEnd w:id="1"/>
            <w:r w:rsidRPr="00CB3E59">
              <w:rPr>
                <w:b/>
                <w:iCs/>
              </w:rPr>
              <w:t>)</w:t>
            </w:r>
            <w:bookmarkEnd w:id="0"/>
          </w:p>
        </w:tc>
      </w:tr>
      <w:tr w:rsidR="003B4752" w14:paraId="034927C8" w14:textId="77777777">
        <w:tc>
          <w:tcPr>
            <w:tcW w:w="2622" w:type="dxa"/>
          </w:tcPr>
          <w:p w:rsidR="003B4752" w:rsidRDefault="003B4752" w14:paraId="3435D4EB" w14:textId="77777777">
            <w:pPr>
              <w:tabs>
                <w:tab w:val="left" w:pos="284"/>
              </w:tabs>
              <w:rPr>
                <w:b/>
              </w:rPr>
            </w:pPr>
          </w:p>
        </w:tc>
        <w:tc>
          <w:tcPr>
            <w:tcW w:w="6590" w:type="dxa"/>
          </w:tcPr>
          <w:p w:rsidR="003B4752" w:rsidRDefault="003B4752" w14:paraId="10360421" w14:textId="77777777">
            <w:pPr>
              <w:tabs>
                <w:tab w:val="left" w:pos="284"/>
              </w:tabs>
              <w:rPr>
                <w:b/>
              </w:rPr>
            </w:pPr>
          </w:p>
        </w:tc>
      </w:tr>
      <w:tr w:rsidR="003B4752" w14:paraId="401421C7" w14:textId="77777777">
        <w:tc>
          <w:tcPr>
            <w:tcW w:w="2622" w:type="dxa"/>
          </w:tcPr>
          <w:p w:rsidR="003B4752" w:rsidRDefault="003B4752" w14:paraId="2887C334" w14:textId="2E9CDFA5">
            <w:pPr>
              <w:tabs>
                <w:tab w:val="left" w:pos="284"/>
              </w:tabs>
              <w:rPr>
                <w:b/>
              </w:rPr>
            </w:pPr>
            <w:r>
              <w:rPr>
                <w:b/>
              </w:rPr>
              <w:t xml:space="preserve">Nr. </w:t>
            </w:r>
            <w:r w:rsidR="006B174F">
              <w:rPr>
                <w:b/>
              </w:rPr>
              <w:t>7</w:t>
            </w:r>
          </w:p>
        </w:tc>
        <w:tc>
          <w:tcPr>
            <w:tcW w:w="6590" w:type="dxa"/>
          </w:tcPr>
          <w:p w:rsidR="003B4752" w:rsidRDefault="003B4752" w14:paraId="7B58676C" w14:textId="77777777">
            <w:pPr>
              <w:tabs>
                <w:tab w:val="left" w:pos="284"/>
              </w:tabs>
              <w:rPr>
                <w:b/>
              </w:rPr>
            </w:pPr>
            <w:r>
              <w:rPr>
                <w:b/>
              </w:rPr>
              <w:t>NOTA VAN WIJZIGING</w:t>
            </w:r>
          </w:p>
          <w:p w:rsidR="003B4752" w:rsidP="009833D1" w:rsidRDefault="003B4752" w14:paraId="0984A0A9" w14:textId="21D03D36">
            <w:pPr>
              <w:tabs>
                <w:tab w:val="left" w:pos="284"/>
              </w:tabs>
            </w:pPr>
            <w:r>
              <w:t xml:space="preserve">Ontvangen </w:t>
            </w:r>
            <w:r w:rsidRPr="006B174F" w:rsidR="006B174F">
              <w:rPr>
                <w:bCs/>
              </w:rPr>
              <w:t>4 februari 2026</w:t>
            </w:r>
          </w:p>
        </w:tc>
      </w:tr>
    </w:tbl>
    <w:p w:rsidR="009833D1" w:rsidP="00FE223B" w:rsidRDefault="009833D1" w14:paraId="5F60937A" w14:textId="77777777">
      <w:pPr>
        <w:tabs>
          <w:tab w:val="left" w:pos="284"/>
        </w:tabs>
      </w:pPr>
    </w:p>
    <w:p w:rsidRPr="006B174F" w:rsidR="006B174F" w:rsidP="006B174F" w:rsidRDefault="006B174F" w14:paraId="4ED65809" w14:textId="5DFA3059">
      <w:pPr>
        <w:tabs>
          <w:tab w:val="left" w:pos="284"/>
        </w:tabs>
      </w:pPr>
      <w:r>
        <w:tab/>
      </w:r>
      <w:r w:rsidRPr="006B174F">
        <w:t>Het voorstel van wet wordt als volgt gewijzigd:</w:t>
      </w:r>
    </w:p>
    <w:p w:rsidRPr="006B174F" w:rsidR="006B174F" w:rsidP="006B174F" w:rsidRDefault="006B174F" w14:paraId="0FFC3A19" w14:textId="77777777">
      <w:pPr>
        <w:tabs>
          <w:tab w:val="left" w:pos="284"/>
        </w:tabs>
      </w:pPr>
    </w:p>
    <w:p w:rsidRPr="006B174F" w:rsidR="006B174F" w:rsidP="006B174F" w:rsidRDefault="006B174F" w14:paraId="5A4D88FA" w14:textId="77777777">
      <w:pPr>
        <w:tabs>
          <w:tab w:val="left" w:pos="284"/>
        </w:tabs>
      </w:pPr>
      <w:r w:rsidRPr="006B174F">
        <w:t>A</w:t>
      </w:r>
    </w:p>
    <w:p w:rsidRPr="006B174F" w:rsidR="006B174F" w:rsidP="006B174F" w:rsidRDefault="006B174F" w14:paraId="6B8CCBFD" w14:textId="77777777">
      <w:pPr>
        <w:tabs>
          <w:tab w:val="left" w:pos="284"/>
        </w:tabs>
      </w:pPr>
    </w:p>
    <w:p w:rsidRPr="006B174F" w:rsidR="006B174F" w:rsidP="006B174F" w:rsidRDefault="006B174F" w14:paraId="137A9BB4" w14:textId="621DB347">
      <w:pPr>
        <w:tabs>
          <w:tab w:val="left" w:pos="284"/>
        </w:tabs>
      </w:pPr>
      <w:r>
        <w:tab/>
      </w:r>
      <w:r w:rsidRPr="006B174F">
        <w:t>Artikel I, onderdeel G, wordt als volgt gewijzigd:</w:t>
      </w:r>
    </w:p>
    <w:p w:rsidRPr="006B174F" w:rsidR="006B174F" w:rsidP="006B174F" w:rsidRDefault="006B174F" w14:paraId="61B4065B" w14:textId="77777777">
      <w:pPr>
        <w:tabs>
          <w:tab w:val="left" w:pos="284"/>
        </w:tabs>
      </w:pPr>
    </w:p>
    <w:p w:rsidRPr="006B174F" w:rsidR="006B174F" w:rsidP="006B174F" w:rsidRDefault="006B174F" w14:paraId="5264B337" w14:textId="287388AE">
      <w:pPr>
        <w:tabs>
          <w:tab w:val="left" w:pos="284"/>
        </w:tabs>
      </w:pPr>
      <w:r>
        <w:tab/>
      </w:r>
      <w:r w:rsidRPr="006B174F">
        <w:t>1. Subonderdeel 1 wordt als volgt gewijzigd:</w:t>
      </w:r>
    </w:p>
    <w:p w:rsidR="006B174F" w:rsidP="006B174F" w:rsidRDefault="006B174F" w14:paraId="432BA02A" w14:textId="77777777">
      <w:pPr>
        <w:tabs>
          <w:tab w:val="left" w:pos="284"/>
        </w:tabs>
      </w:pPr>
    </w:p>
    <w:p w:rsidRPr="006B174F" w:rsidR="006B174F" w:rsidP="006B174F" w:rsidRDefault="006B174F" w14:paraId="7C3C1CDE" w14:textId="7BAC4DC9">
      <w:pPr>
        <w:tabs>
          <w:tab w:val="left" w:pos="284"/>
        </w:tabs>
      </w:pPr>
      <w:r>
        <w:tab/>
      </w:r>
      <w:r w:rsidRPr="006B174F">
        <w:t>a. “drie onderdelen” wordt vervangen door “twee onderdelen”.</w:t>
      </w:r>
    </w:p>
    <w:p w:rsidR="006B174F" w:rsidP="006B174F" w:rsidRDefault="006B174F" w14:paraId="21A93DF9" w14:textId="77777777">
      <w:pPr>
        <w:tabs>
          <w:tab w:val="left" w:pos="284"/>
        </w:tabs>
      </w:pPr>
    </w:p>
    <w:p w:rsidRPr="006B174F" w:rsidR="006B174F" w:rsidP="006B174F" w:rsidRDefault="006B174F" w14:paraId="292C7353" w14:textId="74BB3459">
      <w:pPr>
        <w:tabs>
          <w:tab w:val="left" w:pos="284"/>
        </w:tabs>
      </w:pPr>
      <w:r>
        <w:tab/>
      </w:r>
      <w:r w:rsidRPr="006B174F">
        <w:t>b. Onderdeel e vervalt onder verlettering van de onderdelen f en g tot onderdelen e en f.</w:t>
      </w:r>
    </w:p>
    <w:p w:rsidRPr="006B174F" w:rsidR="006B174F" w:rsidP="006B174F" w:rsidRDefault="006B174F" w14:paraId="2951089A" w14:textId="77777777">
      <w:pPr>
        <w:tabs>
          <w:tab w:val="left" w:pos="284"/>
        </w:tabs>
      </w:pPr>
    </w:p>
    <w:p w:rsidRPr="006B174F" w:rsidR="006B174F" w:rsidP="006B174F" w:rsidRDefault="006B174F" w14:paraId="24C3C06F" w14:textId="4CD431B1">
      <w:pPr>
        <w:tabs>
          <w:tab w:val="left" w:pos="284"/>
        </w:tabs>
      </w:pPr>
      <w:r>
        <w:tab/>
      </w:r>
      <w:r w:rsidRPr="006B174F">
        <w:t xml:space="preserve">2. </w:t>
      </w:r>
      <w:bookmarkStart w:name="_Hlk219454264" w:id="2"/>
      <w:r w:rsidRPr="006B174F">
        <w:t>Er wordt een subonderdeel toegevoegd, luidende:</w:t>
      </w:r>
      <w:bookmarkEnd w:id="2"/>
    </w:p>
    <w:p w:rsidRPr="006B174F" w:rsidR="006B174F" w:rsidP="006B174F" w:rsidRDefault="006B174F" w14:paraId="04BA168E" w14:textId="3811DA3E">
      <w:pPr>
        <w:tabs>
          <w:tab w:val="left" w:pos="284"/>
        </w:tabs>
      </w:pPr>
      <w:r>
        <w:tab/>
      </w:r>
      <w:r w:rsidRPr="006B174F">
        <w:t>3. Er wordt een lid toegevoegd, luidende:</w:t>
      </w:r>
    </w:p>
    <w:p w:rsidRPr="006B174F" w:rsidR="006B174F" w:rsidP="006B174F" w:rsidRDefault="006B174F" w14:paraId="71FFE9D9" w14:textId="1FEE4236">
      <w:pPr>
        <w:tabs>
          <w:tab w:val="left" w:pos="284"/>
        </w:tabs>
      </w:pPr>
      <w:r>
        <w:tab/>
      </w:r>
      <w:r w:rsidRPr="006B174F">
        <w:t>5. In afwijking van het eerste lid kan de beheerder taken of activiteiten voor derden verrichten die de beheerder reeds verricht voor een door hem beheerde beleggingsinstelling of die samenhangen met de diensten die de beheerder overeenkomstig dit artikel verleent, mits potentiële belangenconflicten door het verrichten van die taken en activiteiten voor derden op adequate wijze worden beheerst.</w:t>
      </w:r>
    </w:p>
    <w:p w:rsidRPr="006B174F" w:rsidR="006B174F" w:rsidP="006B174F" w:rsidRDefault="006B174F" w14:paraId="01BB26BE" w14:textId="77777777">
      <w:pPr>
        <w:tabs>
          <w:tab w:val="left" w:pos="284"/>
        </w:tabs>
      </w:pPr>
    </w:p>
    <w:p w:rsidRPr="006B174F" w:rsidR="006B174F" w:rsidP="006B174F" w:rsidRDefault="006B174F" w14:paraId="03C9F2B6" w14:textId="77777777">
      <w:pPr>
        <w:tabs>
          <w:tab w:val="left" w:pos="284"/>
        </w:tabs>
      </w:pPr>
      <w:r w:rsidRPr="006B174F">
        <w:t>B</w:t>
      </w:r>
    </w:p>
    <w:p w:rsidRPr="006B174F" w:rsidR="006B174F" w:rsidP="006B174F" w:rsidRDefault="006B174F" w14:paraId="7570DF9F" w14:textId="77777777">
      <w:pPr>
        <w:tabs>
          <w:tab w:val="left" w:pos="284"/>
        </w:tabs>
      </w:pPr>
    </w:p>
    <w:p w:rsidRPr="006B174F" w:rsidR="006B174F" w:rsidP="006B174F" w:rsidRDefault="006B174F" w14:paraId="063FCDBE" w14:textId="126EC240">
      <w:pPr>
        <w:tabs>
          <w:tab w:val="left" w:pos="284"/>
        </w:tabs>
      </w:pPr>
      <w:r>
        <w:tab/>
      </w:r>
      <w:r w:rsidRPr="006B174F">
        <w:t>Artikel I, onderdeel K, wordt als volgt gewijzigd:</w:t>
      </w:r>
    </w:p>
    <w:p w:rsidRPr="006B174F" w:rsidR="006B174F" w:rsidP="006B174F" w:rsidRDefault="006B174F" w14:paraId="58C4A772" w14:textId="77777777">
      <w:pPr>
        <w:tabs>
          <w:tab w:val="left" w:pos="284"/>
        </w:tabs>
      </w:pPr>
    </w:p>
    <w:p w:rsidRPr="006B174F" w:rsidR="006B174F" w:rsidP="006B174F" w:rsidRDefault="006B174F" w14:paraId="0B58ADD0" w14:textId="3E1EC04E">
      <w:pPr>
        <w:tabs>
          <w:tab w:val="left" w:pos="284"/>
        </w:tabs>
      </w:pPr>
      <w:r>
        <w:tab/>
      </w:r>
      <w:r w:rsidRPr="006B174F">
        <w:t>1. Subonderdeel 1 wordt als volgt gewijzigd:</w:t>
      </w:r>
    </w:p>
    <w:p w:rsidR="006B174F" w:rsidP="006B174F" w:rsidRDefault="006B174F" w14:paraId="51C5ED5D" w14:textId="77777777">
      <w:pPr>
        <w:tabs>
          <w:tab w:val="left" w:pos="284"/>
        </w:tabs>
      </w:pPr>
    </w:p>
    <w:p w:rsidRPr="006B174F" w:rsidR="006B174F" w:rsidP="006B174F" w:rsidRDefault="006B174F" w14:paraId="6410BF87" w14:textId="312FE745">
      <w:pPr>
        <w:tabs>
          <w:tab w:val="left" w:pos="284"/>
        </w:tabs>
      </w:pPr>
      <w:r>
        <w:tab/>
      </w:r>
      <w:r w:rsidRPr="006B174F">
        <w:t>a. “drie onderdelen” wordt vervangen door “twee onderdelen”.</w:t>
      </w:r>
    </w:p>
    <w:p w:rsidR="006B174F" w:rsidP="006B174F" w:rsidRDefault="006B174F" w14:paraId="392B41B8" w14:textId="77777777">
      <w:pPr>
        <w:tabs>
          <w:tab w:val="left" w:pos="284"/>
        </w:tabs>
      </w:pPr>
    </w:p>
    <w:p w:rsidRPr="006B174F" w:rsidR="006B174F" w:rsidP="006B174F" w:rsidRDefault="006B174F" w14:paraId="71909C5F" w14:textId="4B85154C">
      <w:pPr>
        <w:tabs>
          <w:tab w:val="left" w:pos="284"/>
        </w:tabs>
      </w:pPr>
      <w:r>
        <w:tab/>
      </w:r>
      <w:r w:rsidRPr="006B174F">
        <w:t>b. Onderdeel e vervalt onder verlettering van onderdeel f tot onderdeel e.</w:t>
      </w:r>
    </w:p>
    <w:p w:rsidRPr="006B174F" w:rsidR="006B174F" w:rsidP="006B174F" w:rsidRDefault="006B174F" w14:paraId="53CBCBCA" w14:textId="77777777">
      <w:pPr>
        <w:tabs>
          <w:tab w:val="left" w:pos="284"/>
        </w:tabs>
      </w:pPr>
    </w:p>
    <w:p w:rsidRPr="006B174F" w:rsidR="006B174F" w:rsidP="006B174F" w:rsidRDefault="006B174F" w14:paraId="4C55F826" w14:textId="4B8EDC33">
      <w:pPr>
        <w:tabs>
          <w:tab w:val="left" w:pos="284"/>
        </w:tabs>
      </w:pPr>
      <w:r>
        <w:tab/>
      </w:r>
      <w:r w:rsidRPr="006B174F">
        <w:t>2. Er wordt een subonderdeel toegevoegd, luidende:</w:t>
      </w:r>
    </w:p>
    <w:p w:rsidRPr="006B174F" w:rsidR="006B174F" w:rsidP="006B174F" w:rsidRDefault="006B174F" w14:paraId="191D95A3" w14:textId="42A27754">
      <w:pPr>
        <w:tabs>
          <w:tab w:val="left" w:pos="284"/>
        </w:tabs>
      </w:pPr>
      <w:r>
        <w:tab/>
      </w:r>
      <w:r w:rsidRPr="006B174F">
        <w:t>3. Er wordt een lid toegevoegd, luidende:</w:t>
      </w:r>
    </w:p>
    <w:p w:rsidRPr="006B174F" w:rsidR="006B174F" w:rsidP="006B174F" w:rsidRDefault="006B174F" w14:paraId="1F023ACD" w14:textId="6DC8B372">
      <w:pPr>
        <w:tabs>
          <w:tab w:val="left" w:pos="284"/>
        </w:tabs>
      </w:pPr>
      <w:r>
        <w:tab/>
      </w:r>
      <w:r w:rsidRPr="006B174F">
        <w:t xml:space="preserve">4. In afwijking van het eerste lid kan de beheerder taken of activiteiten voor derden verrichten die de beheerder reeds verricht voor een door hem beheerde icbe of die samenhangen met de diensten die de beheerder overeenkomstig dit artikel verleent, mits </w:t>
      </w:r>
      <w:r w:rsidRPr="006B174F">
        <w:lastRenderedPageBreak/>
        <w:t>potentiële belangenconflicten door het verrichten van die taken en activiteiten voor derden op adequate wijze worden beheerst.</w:t>
      </w:r>
    </w:p>
    <w:p w:rsidRPr="006B174F" w:rsidR="006B174F" w:rsidP="006B174F" w:rsidRDefault="006B174F" w14:paraId="339680DF" w14:textId="77777777">
      <w:pPr>
        <w:tabs>
          <w:tab w:val="left" w:pos="284"/>
        </w:tabs>
        <w:rPr>
          <w:b/>
        </w:rPr>
      </w:pPr>
    </w:p>
    <w:p w:rsidRPr="006B174F" w:rsidR="006B174F" w:rsidP="006B174F" w:rsidRDefault="006B174F" w14:paraId="2FDABFE8" w14:textId="77777777">
      <w:pPr>
        <w:tabs>
          <w:tab w:val="left" w:pos="284"/>
        </w:tabs>
        <w:rPr>
          <w:b/>
        </w:rPr>
      </w:pPr>
      <w:r w:rsidRPr="006B174F">
        <w:rPr>
          <w:b/>
        </w:rPr>
        <w:t>Toelichting</w:t>
      </w:r>
    </w:p>
    <w:p w:rsidRPr="006B174F" w:rsidR="006B174F" w:rsidP="006B174F" w:rsidRDefault="006B174F" w14:paraId="7600F966" w14:textId="77777777">
      <w:pPr>
        <w:tabs>
          <w:tab w:val="left" w:pos="284"/>
        </w:tabs>
      </w:pPr>
    </w:p>
    <w:p w:rsidRPr="006B174F" w:rsidR="006B174F" w:rsidP="006B174F" w:rsidRDefault="006B174F" w14:paraId="1E6CC142" w14:textId="77777777">
      <w:pPr>
        <w:tabs>
          <w:tab w:val="left" w:pos="284"/>
        </w:tabs>
        <w:rPr>
          <w:i/>
          <w:iCs/>
        </w:rPr>
      </w:pPr>
      <w:r w:rsidRPr="006B174F">
        <w:rPr>
          <w:i/>
          <w:iCs/>
        </w:rPr>
        <w:t>A en B</w:t>
      </w:r>
    </w:p>
    <w:p w:rsidRPr="006B174F" w:rsidR="006B174F" w:rsidP="006B174F" w:rsidRDefault="006B174F" w14:paraId="4D3EB68D" w14:textId="77777777">
      <w:pPr>
        <w:tabs>
          <w:tab w:val="left" w:pos="284"/>
        </w:tabs>
      </w:pPr>
    </w:p>
    <w:p w:rsidRPr="006B174F" w:rsidR="006B174F" w:rsidP="006B174F" w:rsidRDefault="006B174F" w14:paraId="79EE1430" w14:textId="77777777">
      <w:pPr>
        <w:tabs>
          <w:tab w:val="left" w:pos="284"/>
        </w:tabs>
      </w:pPr>
      <w:r w:rsidRPr="006B174F">
        <w:t xml:space="preserve">De gewijzigde AIFM-richtlijn en icbe-richtlijn schrijven niet voor dat toestemming nodig is van de Autoriteit Financiële Markten (AFM) voor het verrichten van taken of activiteiten aan derden die door de beheerder reeds worden verricht voor een door hem beheerde beleggingsinstelling of icbe </w:t>
      </w:r>
      <w:bookmarkStart w:name="_Hlk219471028" w:id="3"/>
      <w:r w:rsidRPr="006B174F">
        <w:t>of die samenhangen met de diensten die de beheerder reeds verleen</w:t>
      </w:r>
      <w:bookmarkEnd w:id="3"/>
      <w:r w:rsidRPr="006B174F">
        <w:t>t. Het kan dan gaan om het delen van interne bedrijfsactiviteiten zoals IT of risicobeheer met derden. De voorgestelde wijzigingen van de artikelen 2:67a, tweede lid, en 2:69c, tweede lid, van de Wet op het financieel toezicht (Wft) schrijven dat wel voor. Aangezien dit tot extra regeldruk leidt, worden deze artikelen in deze nota van wijziging aangepast. Een beheerder kan zonder toestemming van de AFM taken of activiteiten voor derden verrichten die door de beheerder reeds worden verricht voor een door hem beheerde beleggingsinstelling of icbe of die samenhangen met de diensten die de beheerder reeds verleent. Potentiële belangenconflicten door het verrichten van die taken en activiteiten voor derden dienen door de beheerder op adequate wijze te worden beheerst. Indien het delen van interne bedrijfsactiviteiten leidt tot een wijziging van de inrichting van de bedrijfsvoering dient de AFM hiervan op de hoogte te worden gesteld op grond van artikel 4:26, eerste lid, Wft. Ook kunnen de regels omtrent uitbesteding van toepassing zijn.</w:t>
      </w:r>
    </w:p>
    <w:p w:rsidRPr="006B174F" w:rsidR="006B174F" w:rsidP="006B174F" w:rsidRDefault="006B174F" w14:paraId="3D8974E4" w14:textId="77777777">
      <w:pPr>
        <w:tabs>
          <w:tab w:val="left" w:pos="284"/>
        </w:tabs>
      </w:pPr>
    </w:p>
    <w:p w:rsidRPr="006B174F" w:rsidR="006B174F" w:rsidP="006B174F" w:rsidRDefault="006B174F" w14:paraId="613BEFAA" w14:textId="77777777">
      <w:pPr>
        <w:tabs>
          <w:tab w:val="left" w:pos="284"/>
        </w:tabs>
      </w:pPr>
      <w:r w:rsidRPr="006B174F">
        <w:t>De Minister van Financiën,</w:t>
      </w:r>
    </w:p>
    <w:p w:rsidRPr="006B174F" w:rsidR="006B174F" w:rsidP="006B174F" w:rsidRDefault="006B174F" w14:paraId="45EF4942" w14:textId="77777777">
      <w:pPr>
        <w:tabs>
          <w:tab w:val="left" w:pos="284"/>
        </w:tabs>
      </w:pPr>
      <w:r w:rsidRPr="006B174F">
        <w:t>E. Heinen</w:t>
      </w:r>
    </w:p>
    <w:p w:rsidR="006B174F" w:rsidP="00FE223B" w:rsidRDefault="006B174F" w14:paraId="54828BCE" w14:textId="77777777">
      <w:pPr>
        <w:tabs>
          <w:tab w:val="left" w:pos="284"/>
        </w:tabs>
      </w:pPr>
    </w:p>
    <w:sectPr w:rsidR="006B174F" w:rsidSect="00600CEB">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89B0" w14:textId="77777777" w:rsidR="006B174F" w:rsidRDefault="006B174F">
      <w:r>
        <w:separator/>
      </w:r>
    </w:p>
  </w:endnote>
  <w:endnote w:type="continuationSeparator" w:id="0">
    <w:p w14:paraId="6C69A5CF" w14:textId="77777777" w:rsidR="006B174F" w:rsidRDefault="006B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74A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9FF9A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549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E82A" w14:textId="77777777" w:rsidR="006B174F" w:rsidRDefault="006B174F">
      <w:r>
        <w:separator/>
      </w:r>
    </w:p>
  </w:footnote>
  <w:footnote w:type="continuationSeparator" w:id="0">
    <w:p w14:paraId="4BF7EFE4" w14:textId="77777777" w:rsidR="006B174F" w:rsidRDefault="006B1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4F"/>
    <w:rsid w:val="003B4752"/>
    <w:rsid w:val="004D5FF9"/>
    <w:rsid w:val="005949CE"/>
    <w:rsid w:val="00600CEB"/>
    <w:rsid w:val="0068253B"/>
    <w:rsid w:val="006B174F"/>
    <w:rsid w:val="007C02C8"/>
    <w:rsid w:val="009833D1"/>
    <w:rsid w:val="00BD1DB5"/>
    <w:rsid w:val="00D33653"/>
    <w:rsid w:val="00F5790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9FB34"/>
  <w15:docId w15:val="{E1686F43-C933-42A0-AA37-48E1412A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68253B"/>
    <w:pPr>
      <w:tabs>
        <w:tab w:val="center" w:pos="4536"/>
        <w:tab w:val="right" w:pos="9072"/>
      </w:tabs>
    </w:pPr>
  </w:style>
  <w:style w:type="character" w:customStyle="1" w:styleId="KoptekstChar">
    <w:name w:val="Koptekst Char"/>
    <w:basedOn w:val="Standaardalinea-lettertype"/>
    <w:link w:val="Koptekst"/>
    <w:rsid w:val="006825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531</ap:Words>
  <ap:Characters>2924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2026-02-10T13:42:00.0000000Z</dcterms:created>
  <dcterms:modified xsi:type="dcterms:W3CDTF">2026-02-10T13:42:00.0000000Z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