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552A" w:rsidRDefault="00A7552A" w14:paraId="036EB99B" w14:textId="77777777"/>
    <w:p w:rsidR="00164101" w:rsidP="00164101" w:rsidRDefault="008B5B19" w14:paraId="7AEA62F7" w14:textId="5FBDB50D">
      <w:r>
        <w:t>Hierbij ontvangt u</w:t>
      </w:r>
      <w:r w:rsidR="00164101">
        <w:t xml:space="preserve">, mede namens de Minister van </w:t>
      </w:r>
      <w:r w:rsidRPr="00E93604" w:rsidR="00164101">
        <w:t xml:space="preserve">Financiën en </w:t>
      </w:r>
      <w:r w:rsidR="005922EB">
        <w:t xml:space="preserve">de Staatssecretaris van </w:t>
      </w:r>
      <w:r w:rsidRPr="005922EB" w:rsidR="005922EB">
        <w:t>Participatie en Integratie</w:t>
      </w:r>
      <w:r w:rsidR="00164101">
        <w:t xml:space="preserve">, de beantwoording van de Kamervragen van de leden Van Dijk en </w:t>
      </w:r>
      <w:proofErr w:type="spellStart"/>
      <w:r w:rsidR="00164101">
        <w:t>Hamstra</w:t>
      </w:r>
      <w:proofErr w:type="spellEnd"/>
      <w:r w:rsidR="00164101">
        <w:t xml:space="preserve"> (beiden CDA) over </w:t>
      </w:r>
      <w:r>
        <w:t>het bericht ‘</w:t>
      </w:r>
      <w:r w:rsidRPr="00164101">
        <w:rPr>
          <w:i/>
          <w:iCs/>
        </w:rPr>
        <w:t xml:space="preserve">Koop nu, betaal later: hoe </w:t>
      </w:r>
      <w:proofErr w:type="spellStart"/>
      <w:r w:rsidRPr="00164101">
        <w:rPr>
          <w:i/>
          <w:iCs/>
        </w:rPr>
        <w:t>Klarna</w:t>
      </w:r>
      <w:proofErr w:type="spellEnd"/>
      <w:r w:rsidRPr="00164101">
        <w:rPr>
          <w:i/>
          <w:iCs/>
        </w:rPr>
        <w:t>-klanten vastlopen in dubieuze incassotrajecten</w:t>
      </w:r>
      <w:r>
        <w:t xml:space="preserve">’. </w:t>
      </w:r>
    </w:p>
    <w:p w:rsidR="00164101" w:rsidP="00164101" w:rsidRDefault="00164101" w14:paraId="0CE39EFC" w14:textId="77777777"/>
    <w:p w:rsidR="00164101" w:rsidRDefault="00164101" w14:paraId="6693AF28" w14:textId="77777777"/>
    <w:p w:rsidR="00F37421" w:rsidRDefault="00A7552A" w14:paraId="0A58F812" w14:textId="7AC91816">
      <w:r>
        <w:t xml:space="preserve">De </w:t>
      </w:r>
      <w:r w:rsidR="00A41789">
        <w:t>Staatssecretaris van Justitie en</w:t>
      </w:r>
      <w:r>
        <w:t xml:space="preserve"> Veiligheid,</w:t>
      </w:r>
    </w:p>
    <w:p w:rsidR="00F37421" w:rsidRDefault="00F37421" w14:paraId="12316DE9" w14:textId="77777777"/>
    <w:p w:rsidR="00F37421" w:rsidRDefault="00F37421" w14:paraId="0D522CEF" w14:textId="77777777"/>
    <w:p w:rsidR="00F37421" w:rsidRDefault="00F37421" w14:paraId="24928386" w14:textId="77777777"/>
    <w:p w:rsidR="00A7552A" w:rsidRDefault="00A7552A" w14:paraId="7246E821" w14:textId="77777777"/>
    <w:p w:rsidRPr="00463D4A" w:rsidR="00F37421" w:rsidP="00A41789" w:rsidRDefault="00CE7211" w14:paraId="23CC7616" w14:textId="658A0018">
      <w:pPr>
        <w:rPr>
          <w:lang w:val="en-US"/>
        </w:rPr>
      </w:pPr>
      <w:proofErr w:type="spellStart"/>
      <w:r w:rsidRPr="00463D4A">
        <w:rPr>
          <w:lang w:val="en-US"/>
        </w:rPr>
        <w:t>mr</w:t>
      </w:r>
      <w:proofErr w:type="spellEnd"/>
      <w:r w:rsidRPr="00463D4A">
        <w:rPr>
          <w:lang w:val="en-US"/>
        </w:rPr>
        <w:t xml:space="preserve"> </w:t>
      </w:r>
      <w:r w:rsidRPr="00463D4A" w:rsidR="00A41789">
        <w:rPr>
          <w:lang w:val="en-US"/>
        </w:rPr>
        <w:t>A.</w:t>
      </w:r>
      <w:r w:rsidRPr="00463D4A">
        <w:rPr>
          <w:lang w:val="en-US"/>
        </w:rPr>
        <w:t>C.L.</w:t>
      </w:r>
      <w:r w:rsidRPr="00463D4A" w:rsidR="00A41789">
        <w:rPr>
          <w:lang w:val="en-US"/>
        </w:rPr>
        <w:t xml:space="preserve"> Rutte</w:t>
      </w:r>
    </w:p>
    <w:p w:rsidRPr="00463D4A" w:rsidR="00A41789" w:rsidP="00A41789" w:rsidRDefault="00A41789" w14:paraId="09B4C61C" w14:textId="77777777">
      <w:pPr>
        <w:rPr>
          <w:lang w:val="en-US"/>
        </w:rPr>
      </w:pPr>
    </w:p>
    <w:p w:rsidRPr="00463D4A" w:rsidR="00A41789" w:rsidP="00A41789" w:rsidRDefault="00A41789" w14:paraId="42D4486C" w14:textId="77777777">
      <w:pPr>
        <w:rPr>
          <w:lang w:val="en-US"/>
        </w:rPr>
      </w:pPr>
    </w:p>
    <w:p w:rsidRPr="00463D4A" w:rsidR="00A41789" w:rsidP="00A41789" w:rsidRDefault="00A41789" w14:paraId="2F2AE78A" w14:textId="77777777">
      <w:pPr>
        <w:rPr>
          <w:lang w:val="en-US"/>
        </w:rPr>
      </w:pPr>
    </w:p>
    <w:p w:rsidRPr="00463D4A" w:rsidR="00A41789" w:rsidP="00A41789" w:rsidRDefault="00A41789" w14:paraId="7CBBE21C" w14:textId="77777777">
      <w:pPr>
        <w:rPr>
          <w:lang w:val="en-US"/>
        </w:rPr>
      </w:pPr>
    </w:p>
    <w:p w:rsidRPr="00463D4A" w:rsidR="00A41789" w:rsidP="00A41789" w:rsidRDefault="00A41789" w14:paraId="4294C011" w14:textId="77777777">
      <w:pPr>
        <w:rPr>
          <w:lang w:val="en-US"/>
        </w:rPr>
      </w:pPr>
    </w:p>
    <w:p w:rsidRPr="00463D4A" w:rsidR="00A41789" w:rsidP="00A41789" w:rsidRDefault="00A41789" w14:paraId="13BE3D53" w14:textId="77777777">
      <w:pPr>
        <w:rPr>
          <w:lang w:val="en-US"/>
        </w:rPr>
      </w:pPr>
    </w:p>
    <w:p w:rsidRPr="00463D4A" w:rsidR="00A41789" w:rsidP="00A41789" w:rsidRDefault="00A41789" w14:paraId="24417546" w14:textId="77777777">
      <w:pPr>
        <w:rPr>
          <w:lang w:val="en-US"/>
        </w:rPr>
      </w:pPr>
    </w:p>
    <w:p w:rsidRPr="00463D4A" w:rsidR="00A41789" w:rsidP="00A41789" w:rsidRDefault="00A41789" w14:paraId="7EA94797" w14:textId="77777777">
      <w:pPr>
        <w:rPr>
          <w:lang w:val="en-US"/>
        </w:rPr>
      </w:pPr>
    </w:p>
    <w:p w:rsidRPr="00463D4A" w:rsidR="00A41789" w:rsidP="00A41789" w:rsidRDefault="00A41789" w14:paraId="2468A226" w14:textId="77777777">
      <w:pPr>
        <w:rPr>
          <w:lang w:val="en-US"/>
        </w:rPr>
      </w:pPr>
    </w:p>
    <w:p w:rsidRPr="00463D4A" w:rsidR="00A41789" w:rsidP="00A41789" w:rsidRDefault="00A41789" w14:paraId="62CFB8EF" w14:textId="77777777">
      <w:pPr>
        <w:rPr>
          <w:lang w:val="en-US"/>
        </w:rPr>
      </w:pPr>
    </w:p>
    <w:p w:rsidRPr="00463D4A" w:rsidR="00A41789" w:rsidP="00A41789" w:rsidRDefault="00A41789" w14:paraId="6FF3836A" w14:textId="77777777">
      <w:pPr>
        <w:rPr>
          <w:lang w:val="en-US"/>
        </w:rPr>
      </w:pPr>
    </w:p>
    <w:p w:rsidRPr="00463D4A" w:rsidR="00A41789" w:rsidP="00A41789" w:rsidRDefault="00A41789" w14:paraId="2796FE40" w14:textId="77777777">
      <w:pPr>
        <w:rPr>
          <w:lang w:val="en-US"/>
        </w:rPr>
      </w:pPr>
    </w:p>
    <w:p w:rsidRPr="00463D4A" w:rsidR="00A41789" w:rsidP="00A41789" w:rsidRDefault="00A41789" w14:paraId="552560A7" w14:textId="77777777">
      <w:pPr>
        <w:rPr>
          <w:lang w:val="en-US"/>
        </w:rPr>
      </w:pPr>
    </w:p>
    <w:p w:rsidRPr="00463D4A" w:rsidR="008B5B19" w:rsidP="00A41789" w:rsidRDefault="008B5B19" w14:paraId="382834C5" w14:textId="77777777">
      <w:pPr>
        <w:rPr>
          <w:lang w:val="en-US"/>
        </w:rPr>
      </w:pPr>
    </w:p>
    <w:p w:rsidRPr="00463D4A" w:rsidR="008B5B19" w:rsidP="00A41789" w:rsidRDefault="008B5B19" w14:paraId="5ED2FA1C" w14:textId="77777777">
      <w:pPr>
        <w:rPr>
          <w:lang w:val="en-US"/>
        </w:rPr>
      </w:pPr>
    </w:p>
    <w:p w:rsidRPr="00463D4A" w:rsidR="008B5B19" w:rsidP="00A41789" w:rsidRDefault="008B5B19" w14:paraId="07E8D496" w14:textId="77777777">
      <w:pPr>
        <w:rPr>
          <w:lang w:val="en-US"/>
        </w:rPr>
      </w:pPr>
    </w:p>
    <w:p w:rsidRPr="00463D4A" w:rsidR="008B5B19" w:rsidP="00A41789" w:rsidRDefault="008B5B19" w14:paraId="1E2215C2" w14:textId="77777777">
      <w:pPr>
        <w:rPr>
          <w:lang w:val="en-US"/>
        </w:rPr>
      </w:pPr>
    </w:p>
    <w:p w:rsidRPr="00463D4A" w:rsidR="007D4370" w:rsidP="001B0B60" w:rsidRDefault="007D4370" w14:paraId="3DFC1763" w14:textId="77777777">
      <w:pPr>
        <w:rPr>
          <w:lang w:val="en-US"/>
        </w:rPr>
      </w:pPr>
    </w:p>
    <w:p w:rsidRPr="00463D4A" w:rsidR="00A755AA" w:rsidP="001B0B60" w:rsidRDefault="00A755AA" w14:paraId="2A17AA6C" w14:textId="77777777">
      <w:pPr>
        <w:rPr>
          <w:b/>
          <w:bCs/>
          <w:lang w:val="en-US"/>
        </w:rPr>
      </w:pPr>
    </w:p>
    <w:p w:rsidRPr="00463D4A" w:rsidR="00A755AA" w:rsidP="001B0B60" w:rsidRDefault="00A755AA" w14:paraId="3966DCE2" w14:textId="77777777">
      <w:pPr>
        <w:rPr>
          <w:b/>
          <w:bCs/>
          <w:lang w:val="en-US"/>
        </w:rPr>
      </w:pPr>
    </w:p>
    <w:p w:rsidRPr="00463D4A" w:rsidR="00A755AA" w:rsidP="001B0B60" w:rsidRDefault="00A755AA" w14:paraId="1412F510" w14:textId="77777777">
      <w:pPr>
        <w:rPr>
          <w:b/>
          <w:bCs/>
          <w:lang w:val="en-US"/>
        </w:rPr>
      </w:pPr>
    </w:p>
    <w:p w:rsidRPr="00463D4A" w:rsidR="00A755AA" w:rsidP="001B0B60" w:rsidRDefault="00A755AA" w14:paraId="021C89C6" w14:textId="77777777">
      <w:pPr>
        <w:rPr>
          <w:b/>
          <w:bCs/>
          <w:lang w:val="en-US"/>
        </w:rPr>
      </w:pPr>
    </w:p>
    <w:p w:rsidRPr="00463D4A" w:rsidR="00A755AA" w:rsidP="001B0B60" w:rsidRDefault="00A755AA" w14:paraId="235169FA" w14:textId="77777777">
      <w:pPr>
        <w:rPr>
          <w:b/>
          <w:bCs/>
          <w:lang w:val="en-US"/>
        </w:rPr>
      </w:pPr>
    </w:p>
    <w:p w:rsidRPr="00463D4A" w:rsidR="00A755AA" w:rsidP="001B0B60" w:rsidRDefault="00A755AA" w14:paraId="6BE51A8D" w14:textId="77777777">
      <w:pPr>
        <w:rPr>
          <w:b/>
          <w:bCs/>
          <w:lang w:val="en-US"/>
        </w:rPr>
      </w:pPr>
    </w:p>
    <w:p w:rsidRPr="00463D4A" w:rsidR="00A755AA" w:rsidP="001B0B60" w:rsidRDefault="00A755AA" w14:paraId="7AE1DF91" w14:textId="77777777">
      <w:pPr>
        <w:rPr>
          <w:b/>
          <w:bCs/>
          <w:lang w:val="en-US"/>
        </w:rPr>
      </w:pPr>
    </w:p>
    <w:p w:rsidR="001B0B60" w:rsidP="00463D4A" w:rsidRDefault="001B0B60" w14:paraId="792B8059" w14:textId="25BC8FD7">
      <w:pPr>
        <w:pBdr>
          <w:bottom w:val="single" w:color="auto" w:sz="4" w:space="1"/>
        </w:pBdr>
        <w:rPr>
          <w:b/>
          <w:bCs/>
        </w:rPr>
      </w:pPr>
      <w:r w:rsidRPr="002A62FE">
        <w:rPr>
          <w:b/>
          <w:bCs/>
        </w:rPr>
        <w:t xml:space="preserve">Vragen van de leden Inge van Dijk en </w:t>
      </w:r>
      <w:proofErr w:type="spellStart"/>
      <w:r w:rsidRPr="002A62FE">
        <w:rPr>
          <w:b/>
          <w:bCs/>
        </w:rPr>
        <w:t>Hamstra</w:t>
      </w:r>
      <w:proofErr w:type="spellEnd"/>
      <w:r w:rsidRPr="002A62FE">
        <w:rPr>
          <w:b/>
          <w:bCs/>
        </w:rPr>
        <w:t xml:space="preserve"> (beiden CDA) aan de ministers van Financiën en van Sociale Zaken en Werkgelegenheid over het bericht ‘Koop nu, baal later: hoe </w:t>
      </w:r>
      <w:proofErr w:type="spellStart"/>
      <w:r w:rsidRPr="002A62FE">
        <w:rPr>
          <w:b/>
          <w:bCs/>
        </w:rPr>
        <w:t>Klarna</w:t>
      </w:r>
      <w:proofErr w:type="spellEnd"/>
      <w:r w:rsidRPr="002A62FE">
        <w:rPr>
          <w:b/>
          <w:bCs/>
        </w:rPr>
        <w:t>-klanten vastlopen in dubieuze incassotrajecten</w:t>
      </w:r>
    </w:p>
    <w:p w:rsidRPr="002A62FE" w:rsidR="00463D4A" w:rsidP="00463D4A" w:rsidRDefault="00463D4A" w14:paraId="1FB80D8C" w14:textId="4912C075">
      <w:pPr>
        <w:pBdr>
          <w:bottom w:val="single" w:color="auto" w:sz="4" w:space="1"/>
        </w:pBdr>
        <w:rPr>
          <w:b/>
          <w:bCs/>
        </w:rPr>
      </w:pPr>
      <w:r w:rsidRPr="00463D4A">
        <w:rPr>
          <w:b/>
          <w:bCs/>
        </w:rPr>
        <w:t>(ingezonden 14 november 2025</w:t>
      </w:r>
      <w:r>
        <w:rPr>
          <w:b/>
          <w:bCs/>
        </w:rPr>
        <w:t>,</w:t>
      </w:r>
      <w:r w:rsidRPr="00463D4A">
        <w:t xml:space="preserve"> </w:t>
      </w:r>
      <w:r w:rsidRPr="00463D4A">
        <w:rPr>
          <w:b/>
          <w:bCs/>
        </w:rPr>
        <w:t>2025Z19857)</w:t>
      </w:r>
    </w:p>
    <w:p w:rsidR="001B0B60" w:rsidP="001B0B60" w:rsidRDefault="001B0B60" w14:paraId="14E7DFAE" w14:textId="77777777"/>
    <w:p w:rsidR="00463D4A" w:rsidP="001B0B60" w:rsidRDefault="00463D4A" w14:paraId="2F0C73BF" w14:textId="77777777"/>
    <w:p w:rsidRPr="002A62FE" w:rsidR="001B0B60" w:rsidP="001B0B60" w:rsidRDefault="001B0B60" w14:paraId="1E7CC7BE" w14:textId="77777777">
      <w:pPr>
        <w:rPr>
          <w:b/>
          <w:bCs/>
        </w:rPr>
      </w:pPr>
      <w:r w:rsidRPr="002A62FE">
        <w:rPr>
          <w:b/>
          <w:bCs/>
        </w:rPr>
        <w:t>Vraag 1</w:t>
      </w:r>
    </w:p>
    <w:p w:rsidRPr="002A62FE" w:rsidR="001B0B60" w:rsidP="001B0B60" w:rsidRDefault="001B0B60" w14:paraId="340779F9" w14:textId="77777777">
      <w:pPr>
        <w:rPr>
          <w:b/>
          <w:bCs/>
        </w:rPr>
      </w:pPr>
      <w:r w:rsidRPr="002A62FE">
        <w:rPr>
          <w:b/>
          <w:bCs/>
        </w:rPr>
        <w:t>In hoeverre gaat u de regels voor de '</w:t>
      </w:r>
      <w:proofErr w:type="spellStart"/>
      <w:r w:rsidRPr="002A62FE">
        <w:rPr>
          <w:b/>
          <w:bCs/>
        </w:rPr>
        <w:t>Buy</w:t>
      </w:r>
      <w:proofErr w:type="spellEnd"/>
      <w:r w:rsidRPr="002A62FE">
        <w:rPr>
          <w:b/>
          <w:bCs/>
        </w:rPr>
        <w:t xml:space="preserve"> </w:t>
      </w:r>
      <w:proofErr w:type="spellStart"/>
      <w:r w:rsidRPr="002A62FE">
        <w:rPr>
          <w:b/>
          <w:bCs/>
        </w:rPr>
        <w:t>now</w:t>
      </w:r>
      <w:proofErr w:type="spellEnd"/>
      <w:r w:rsidRPr="002A62FE">
        <w:rPr>
          <w:b/>
          <w:bCs/>
        </w:rPr>
        <w:t xml:space="preserve"> </w:t>
      </w:r>
      <w:proofErr w:type="spellStart"/>
      <w:r w:rsidRPr="002A62FE">
        <w:rPr>
          <w:b/>
          <w:bCs/>
        </w:rPr>
        <w:t>pay</w:t>
      </w:r>
      <w:proofErr w:type="spellEnd"/>
      <w:r w:rsidRPr="002A62FE">
        <w:rPr>
          <w:b/>
          <w:bCs/>
        </w:rPr>
        <w:t xml:space="preserve"> later'-bedrijven aanscherpen in het kader van consumentenbescherming?</w:t>
      </w:r>
    </w:p>
    <w:p w:rsidRPr="002A62FE" w:rsidR="001B0B60" w:rsidP="001B0B60" w:rsidRDefault="001B0B60" w14:paraId="1DDF16E8" w14:textId="77777777">
      <w:pPr>
        <w:rPr>
          <w:b/>
          <w:bCs/>
        </w:rPr>
      </w:pPr>
    </w:p>
    <w:p w:rsidRPr="002A62FE" w:rsidR="001B0B60" w:rsidP="001B0B60" w:rsidRDefault="001B0B60" w14:paraId="127E86C5" w14:textId="06F06605">
      <w:pPr>
        <w:rPr>
          <w:b/>
          <w:bCs/>
        </w:rPr>
      </w:pPr>
      <w:r w:rsidRPr="002A62FE">
        <w:rPr>
          <w:b/>
          <w:bCs/>
        </w:rPr>
        <w:t>Antwoord</w:t>
      </w:r>
      <w:r w:rsidR="00463D4A">
        <w:rPr>
          <w:b/>
          <w:bCs/>
        </w:rPr>
        <w:t xml:space="preserve"> op</w:t>
      </w:r>
      <w:r w:rsidRPr="002A62FE">
        <w:rPr>
          <w:b/>
          <w:bCs/>
        </w:rPr>
        <w:t xml:space="preserve"> vraag 1</w:t>
      </w:r>
    </w:p>
    <w:p w:rsidR="001B0B60" w:rsidP="001B0B60" w:rsidRDefault="001B0B60" w14:paraId="1B04E7CB" w14:textId="62016407">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(hierna: BNPL) is een krediet in de vorm van uitgestelde betaling. Deze kredietvorm is onder de Herziene richtlijn consumentenkrediet (de Consumer Credit Directive II, hierna: de CCDII) niet langer uitgezonderd van het toepassingsbereik van de richtlijn. Deze richtlijn wordt momenteel in Nederlandse wetgeving geïmplementeerd, waarna de regels vanaf november van dit jaar van toepassing moeten zijn.</w:t>
      </w:r>
    </w:p>
    <w:p w:rsidR="001B0B60" w:rsidP="001B0B60" w:rsidRDefault="001B0B60" w14:paraId="263D2160" w14:textId="77777777"/>
    <w:p w:rsidR="001B0B60" w:rsidP="001B0B60" w:rsidRDefault="001B0B60" w14:paraId="1236366C" w14:textId="2FD1D723">
      <w:r>
        <w:t xml:space="preserve">Zodra de nieuwe regels gelden, worden BNPL-aanbieders verplicht om een vergunning aan te vragen bij de Autoriteit Financiële Markten (AFM) voor het aanbieden van krediet. Naast de vergunningplicht worden de aanbieders onder meer verplicht om in alle gevallen een kredietwaardigheidstoets uit te voeren en krediet onder voorwaarden te registreren bij Bureau Krediet Registratie (BKR). Ook gaan er extra regels gelden over reclame en verplichte precontractuele informatie. BNPL-aanbieders zullen daarnaast consumenten die financiële problemen ondervinden moeten doorverwijzen naar schuldadviesdiensten (in de praktijk zal dit de schuldhulpverlening bij de gemeente zijn waar de consument woont). </w:t>
      </w:r>
      <w:r w:rsidR="000A4674">
        <w:t xml:space="preserve">Tevens </w:t>
      </w:r>
      <w:r w:rsidR="00FA03B3">
        <w:t>moeten</w:t>
      </w:r>
      <w:r w:rsidR="000A4674">
        <w:t xml:space="preserve"> kredietaanbieders, en vanaf november 2026 dus ook BNPL-</w:t>
      </w:r>
      <w:r>
        <w:t>aanbieders</w:t>
      </w:r>
      <w:r w:rsidR="000A4674">
        <w:t>,</w:t>
      </w:r>
      <w:r>
        <w:t xml:space="preserve"> </w:t>
      </w:r>
      <w:r w:rsidR="000A4674">
        <w:t xml:space="preserve">waar passend </w:t>
      </w:r>
      <w:r>
        <w:t xml:space="preserve">zogenoemde respijtmaatregelen nemen </w:t>
      </w:r>
      <w:r w:rsidR="000A4674">
        <w:t xml:space="preserve">voordat </w:t>
      </w:r>
      <w:r>
        <w:t>zij overgaan tot incasso of invordering van de schuld, zoals een betaalpauze</w:t>
      </w:r>
      <w:r w:rsidR="007D4370">
        <w:t xml:space="preserve"> of gedeeltelijke kwijtschelding</w:t>
      </w:r>
      <w:r>
        <w:t>.</w:t>
      </w:r>
      <w:r w:rsidR="00FA03B3">
        <w:rPr>
          <w:rStyle w:val="Voetnootmarkering"/>
        </w:rPr>
        <w:footnoteReference w:id="1"/>
      </w:r>
      <w:r>
        <w:t xml:space="preserve"> </w:t>
      </w:r>
      <w:r w:rsidR="000A4674">
        <w:t xml:space="preserve">Hierbij dient rekening te worden gehouden met de omstandigheden van de consument. </w:t>
      </w:r>
      <w:r>
        <w:t>De kosten die een BNPL-aanbieder in rekening mag brengen</w:t>
      </w:r>
      <w:r w:rsidR="00FA03B3">
        <w:t>, waaronder incassokosten,</w:t>
      </w:r>
      <w:r>
        <w:t xml:space="preserve"> worden gemaximeerd. Ten slotte mag BNPL niet worden verstrekt aan minderjarigen. </w:t>
      </w:r>
    </w:p>
    <w:p w:rsidR="001B0B60" w:rsidP="001B0B60" w:rsidRDefault="001B0B60" w14:paraId="44D278D8" w14:textId="77777777"/>
    <w:p w:rsidR="001B0B60" w:rsidP="001B0B60" w:rsidRDefault="001B0B60" w14:paraId="5972C55E" w14:textId="66B41E33">
      <w:r>
        <w:t xml:space="preserve">Een concept van de Implementatiewet herziene richtlijn consumentenkrediet is op dit moment </w:t>
      </w:r>
      <w:r w:rsidR="004F47B8">
        <w:t xml:space="preserve">voor advies </w:t>
      </w:r>
      <w:r>
        <w:t>aanhangig bij de Raad van Stat</w:t>
      </w:r>
      <w:r w:rsidR="000708B7">
        <w:t>e. H</w:t>
      </w:r>
      <w:r>
        <w:t>et Implementatiebesluit herziene richtlijn consumentenkrediet wordt van 22 december 2025 tot 2 februari 2026 publiek geconsulteerd. Het streven is om het wetsvoorstel begin april bij uw Kamer in te dienen.</w:t>
      </w:r>
    </w:p>
    <w:p w:rsidR="001B0B60" w:rsidP="001B0B60" w:rsidRDefault="001B0B60" w14:paraId="230A8B41" w14:textId="77777777"/>
    <w:p w:rsidR="00A755AA" w:rsidP="001B0B60" w:rsidRDefault="00A755AA" w14:paraId="330E3584" w14:textId="77777777">
      <w:pPr>
        <w:rPr>
          <w:b/>
          <w:bCs/>
        </w:rPr>
      </w:pPr>
    </w:p>
    <w:p w:rsidR="00A755AA" w:rsidP="001B0B60" w:rsidRDefault="00A755AA" w14:paraId="5195C32A" w14:textId="77777777">
      <w:pPr>
        <w:rPr>
          <w:b/>
          <w:bCs/>
        </w:rPr>
      </w:pPr>
    </w:p>
    <w:p w:rsidR="00A755AA" w:rsidP="001B0B60" w:rsidRDefault="00A755AA" w14:paraId="59008A70" w14:textId="77777777">
      <w:pPr>
        <w:rPr>
          <w:b/>
          <w:bCs/>
        </w:rPr>
      </w:pPr>
    </w:p>
    <w:p w:rsidR="00A755AA" w:rsidP="001B0B60" w:rsidRDefault="00A755AA" w14:paraId="72EAD6B2" w14:textId="77777777">
      <w:pPr>
        <w:rPr>
          <w:b/>
          <w:bCs/>
        </w:rPr>
      </w:pPr>
    </w:p>
    <w:p w:rsidR="00A755AA" w:rsidP="001B0B60" w:rsidRDefault="00A755AA" w14:paraId="667E1A72" w14:textId="77777777">
      <w:pPr>
        <w:rPr>
          <w:b/>
          <w:bCs/>
        </w:rPr>
      </w:pPr>
    </w:p>
    <w:p w:rsidRPr="002A62FE" w:rsidR="001B0B60" w:rsidP="001B0B60" w:rsidRDefault="001B0B60" w14:paraId="668D09DD" w14:textId="30C090C1">
      <w:pPr>
        <w:rPr>
          <w:b/>
          <w:bCs/>
        </w:rPr>
      </w:pPr>
      <w:r w:rsidRPr="002A62FE">
        <w:rPr>
          <w:b/>
          <w:bCs/>
        </w:rPr>
        <w:t>Vraag 2</w:t>
      </w:r>
    </w:p>
    <w:p w:rsidRPr="002A62FE" w:rsidR="001B0B60" w:rsidP="001B0B60" w:rsidRDefault="001B0B60" w14:paraId="4BC0478A" w14:textId="77777777">
      <w:pPr>
        <w:rPr>
          <w:b/>
          <w:bCs/>
        </w:rPr>
      </w:pPr>
      <w:r w:rsidRPr="002A62FE">
        <w:rPr>
          <w:b/>
          <w:bCs/>
        </w:rPr>
        <w:t>Klopt het dat hierbij geen rekening gehouden wordt met de praktijk van het doorverkopen van openstaande facturen en het nieuwe risico dat vervolgens ontstaat in het kader van consumentenbescherming?</w:t>
      </w:r>
    </w:p>
    <w:p w:rsidRPr="002A62FE" w:rsidR="001B0B60" w:rsidP="001B0B60" w:rsidRDefault="001B0B60" w14:paraId="2A855452" w14:textId="77777777">
      <w:pPr>
        <w:rPr>
          <w:b/>
          <w:bCs/>
        </w:rPr>
      </w:pPr>
    </w:p>
    <w:p w:rsidRPr="002A62FE" w:rsidR="001B0B60" w:rsidP="001B0B60" w:rsidRDefault="001B0B60" w14:paraId="5800A9CD" w14:textId="7244F7ED">
      <w:pPr>
        <w:rPr>
          <w:b/>
          <w:bCs/>
        </w:rPr>
      </w:pPr>
      <w:r w:rsidRPr="002A62FE">
        <w:rPr>
          <w:b/>
          <w:bCs/>
        </w:rPr>
        <w:t xml:space="preserve">Antwoord </w:t>
      </w:r>
      <w:r w:rsidR="00463D4A">
        <w:rPr>
          <w:b/>
          <w:bCs/>
        </w:rPr>
        <w:t xml:space="preserve">op </w:t>
      </w:r>
      <w:r w:rsidRPr="002A62FE">
        <w:rPr>
          <w:b/>
          <w:bCs/>
        </w:rPr>
        <w:t>vraag 2</w:t>
      </w:r>
    </w:p>
    <w:p w:rsidR="001B0B60" w:rsidP="001B0B60" w:rsidRDefault="00547624" w14:paraId="5514F557" w14:textId="57A69CB6">
      <w:r>
        <w:t xml:space="preserve">Dat klopt niet. </w:t>
      </w:r>
      <w:r w:rsidR="001B0B60">
        <w:t xml:space="preserve">Indien de BNPL-aanbieder bij uitblijvende betaling ervoor kiest om een vordering op een consument over te dragen aan een andere partij (ook wel ‘cessie’ genoemd), dan dient de consument daarvan op de hoogte te worden gesteld. Op grond van artikel 7:69 lid 1 BW kan de consument tegenover de nieuwe schuldeiser alle rechten en verweren inroepen die hij ook tegenover de oorspronkelijke kredietgever had. </w:t>
      </w:r>
      <w:r w:rsidR="004F47B8">
        <w:t>Ook als de overeenkomst wordt overgedragen</w:t>
      </w:r>
      <w:r>
        <w:t xml:space="preserve">, blijft er sprake van een kredietovereenkomst, waarvoor de wettelijke voorschriften </w:t>
      </w:r>
      <w:r w:rsidRPr="00A755AA" w:rsidR="001516A9">
        <w:t>gaan</w:t>
      </w:r>
      <w:r w:rsidR="001516A9">
        <w:t xml:space="preserve"> </w:t>
      </w:r>
      <w:r>
        <w:t xml:space="preserve">gelden zoals beschreven in het antwoord op vraag 1. </w:t>
      </w:r>
      <w:r w:rsidR="001B0B60">
        <w:t xml:space="preserve">Dit betekent bijvoorbeeld dat </w:t>
      </w:r>
      <w:r>
        <w:t xml:space="preserve">een nieuwe schuldeiser </w:t>
      </w:r>
      <w:r w:rsidR="001B0B60">
        <w:t>geen incassokosten in rekening mag brengen voor zover deze niet zijn toegelaten op grond van het Besluit kredietvergoeding</w:t>
      </w:r>
      <w:r>
        <w:t xml:space="preserve"> en waar </w:t>
      </w:r>
      <w:r w:rsidR="00FA03B3">
        <w:t>nodig en passend</w:t>
      </w:r>
      <w:r>
        <w:t xml:space="preserve"> respijtmaatregelen moet nemen. </w:t>
      </w:r>
    </w:p>
    <w:p w:rsidR="001B0B60" w:rsidP="001B0B60" w:rsidRDefault="001B0B60" w14:paraId="2014FB73" w14:textId="77777777"/>
    <w:p w:rsidRPr="00A755AA" w:rsidR="00A755AA" w:rsidP="00A755AA" w:rsidRDefault="001B0B60" w14:paraId="1AE3733C" w14:textId="77777777">
      <w:r>
        <w:t xml:space="preserve">Als sluitstuk van de bescherming voor de consument kent de Wet kwaliteit incassodienstverlening (hierna </w:t>
      </w:r>
      <w:proofErr w:type="spellStart"/>
      <w:r>
        <w:t>Wki</w:t>
      </w:r>
      <w:proofErr w:type="spellEnd"/>
      <w:r>
        <w:t xml:space="preserve">) een aantal verplichtingen voor de incassodienstverlener en rechten voor de schuldenaar. </w:t>
      </w:r>
      <w:r w:rsidRPr="00A755AA" w:rsidR="00A755AA">
        <w:t>Een voorbeeld is het recht op een correcte en professionele behandeling door een geregistreerde incassodienstverlener. Dat geldt ook voor de incassodienstverleners die dat doen nadat de vordering aan hen is overgedragen.</w:t>
      </w:r>
      <w:r w:rsidRPr="00A755AA" w:rsidR="00A755AA">
        <w:rPr>
          <w:vertAlign w:val="superscript"/>
        </w:rPr>
        <w:footnoteReference w:id="2"/>
      </w:r>
    </w:p>
    <w:p w:rsidR="001B0B60" w:rsidP="001B0B60" w:rsidRDefault="001B0B60" w14:paraId="5FFF3362" w14:textId="22C88E01"/>
    <w:p w:rsidRPr="002A62FE" w:rsidR="001B0B60" w:rsidP="001B0B60" w:rsidRDefault="001B0B60" w14:paraId="5F88F013" w14:textId="2341EE6E">
      <w:pPr>
        <w:rPr>
          <w:b/>
          <w:bCs/>
        </w:rPr>
      </w:pPr>
      <w:r w:rsidRPr="002A62FE">
        <w:rPr>
          <w:b/>
          <w:bCs/>
        </w:rPr>
        <w:t>Vraag 3</w:t>
      </w:r>
    </w:p>
    <w:p w:rsidRPr="002A62FE" w:rsidR="001B0B60" w:rsidP="001B0B60" w:rsidRDefault="001B0B60" w14:paraId="236EF40D" w14:textId="77777777">
      <w:pPr>
        <w:rPr>
          <w:b/>
          <w:bCs/>
        </w:rPr>
      </w:pPr>
      <w:r w:rsidRPr="002A62FE">
        <w:rPr>
          <w:b/>
          <w:bCs/>
        </w:rPr>
        <w:t>Waarom is hier niet integraal voor oplossingen gekozen, maar enkel voor het stukje dat de betaaldiensten direct raakt?</w:t>
      </w:r>
    </w:p>
    <w:p w:rsidRPr="002A62FE" w:rsidR="001B0B60" w:rsidP="001B0B60" w:rsidRDefault="001B0B60" w14:paraId="729566D1" w14:textId="77777777">
      <w:pPr>
        <w:rPr>
          <w:b/>
          <w:bCs/>
        </w:rPr>
      </w:pPr>
    </w:p>
    <w:p w:rsidRPr="002A62FE" w:rsidR="001B0B60" w:rsidP="001B0B60" w:rsidRDefault="001B0B60" w14:paraId="689666CB" w14:textId="62AB4D02">
      <w:pPr>
        <w:rPr>
          <w:b/>
          <w:bCs/>
        </w:rPr>
      </w:pPr>
      <w:r w:rsidRPr="002A62FE">
        <w:rPr>
          <w:b/>
          <w:bCs/>
        </w:rPr>
        <w:t xml:space="preserve">Antwoord </w:t>
      </w:r>
      <w:r w:rsidR="00463D4A">
        <w:rPr>
          <w:b/>
          <w:bCs/>
        </w:rPr>
        <w:t xml:space="preserve">op </w:t>
      </w:r>
      <w:r w:rsidRPr="002A62FE">
        <w:rPr>
          <w:b/>
          <w:bCs/>
        </w:rPr>
        <w:t>vraag 3</w:t>
      </w:r>
    </w:p>
    <w:p w:rsidR="001B0B60" w:rsidP="001B0B60" w:rsidRDefault="00547624" w14:paraId="6CF27826" w14:textId="29F8F32F">
      <w:r>
        <w:t xml:space="preserve">Zoals in mijn vorige antwoord aangegeven, </w:t>
      </w:r>
      <w:r w:rsidR="009A4007">
        <w:t>kunnen consumenten</w:t>
      </w:r>
      <w:r w:rsidR="004F47B8">
        <w:t xml:space="preserve"> tegen een nieuwe schuldeiser (aan wie een vordering is overgedragen) alle verweren inroepen die zij ook hadden tegen de oorspronkelijke kredietgever.</w:t>
      </w:r>
    </w:p>
    <w:p w:rsidR="001B0B60" w:rsidP="001B0B60" w:rsidRDefault="001B0B60" w14:paraId="2CF8340E" w14:textId="77777777"/>
    <w:p w:rsidR="001B0B60" w:rsidP="001B0B60" w:rsidRDefault="001B0B60" w14:paraId="48F1C671" w14:textId="6E0EF07E">
      <w:r>
        <w:t xml:space="preserve">Daarnaast wordt </w:t>
      </w:r>
      <w:r w:rsidR="00840C24">
        <w:t xml:space="preserve">uitwerking gegeven aan de aanpak </w:t>
      </w:r>
      <w:r>
        <w:t>van het civiele invorderingsstelsel</w:t>
      </w:r>
      <w:r w:rsidR="00840C24">
        <w:t>.</w:t>
      </w:r>
      <w:r w:rsidR="00840C24">
        <w:rPr>
          <w:rStyle w:val="Voetnootmarkering"/>
        </w:rPr>
        <w:footnoteReference w:id="3"/>
      </w:r>
      <w:r w:rsidR="00840C24">
        <w:t xml:space="preserve"> Er wordt</w:t>
      </w:r>
      <w:r>
        <w:t xml:space="preserve"> gewerkt aan structurele maatregelen om kostenoploop, onwenselijke verdienprikkels en escalatie in incassotrajecten tegen te gaan.</w:t>
      </w:r>
      <w:r w:rsidR="00050C60">
        <w:t xml:space="preserve"> </w:t>
      </w:r>
      <w:r>
        <w:t>Deze maatregelen richten zich op de fase na het ontstaan van schulden</w:t>
      </w:r>
      <w:r w:rsidR="00840C24">
        <w:t xml:space="preserve">, ook wanneer deze zijn doorverkocht. </w:t>
      </w:r>
      <w:r>
        <w:t xml:space="preserve"> </w:t>
      </w:r>
    </w:p>
    <w:p w:rsidR="001B0B60" w:rsidP="001B0B60" w:rsidRDefault="001B0B60" w14:paraId="7E56B038" w14:textId="77777777"/>
    <w:p w:rsidR="001B0B60" w:rsidP="001B0B60" w:rsidRDefault="001B0B60" w14:paraId="5EB34602" w14:textId="77777777">
      <w:r>
        <w:t xml:space="preserve">Ik acht het van belang dat beide trajecten elkaar aanvullen: waar het Europese spoor ziet op verantwoord kredietgebruik en consumentenbescherming, richt de nationale herziening van het civiele invorderingsstelsel zich op het beperken van kostenoploop en het wegnemen van onwenselijke prikkels in het gehele civiele invorderingsproces. Samen moeten deze trajecten leiden tot een evenwichtiger en meer consumentvriendelijk stelsel. </w:t>
      </w:r>
    </w:p>
    <w:p w:rsidR="001B0B60" w:rsidP="001B0B60" w:rsidRDefault="001B0B60" w14:paraId="1E91A9B3" w14:textId="77777777"/>
    <w:p w:rsidR="001B0B60" w:rsidP="001B0B60" w:rsidRDefault="001B0B60" w14:paraId="7790E4E3" w14:textId="77777777"/>
    <w:p w:rsidRPr="002A62FE" w:rsidR="001B0B60" w:rsidP="001B0B60" w:rsidRDefault="001B0B60" w14:paraId="0CA9C39E" w14:textId="77777777">
      <w:pPr>
        <w:rPr>
          <w:b/>
          <w:bCs/>
        </w:rPr>
      </w:pPr>
      <w:r w:rsidRPr="002A62FE">
        <w:rPr>
          <w:b/>
          <w:bCs/>
        </w:rPr>
        <w:t>Vraag 4</w:t>
      </w:r>
    </w:p>
    <w:p w:rsidR="001B0B60" w:rsidP="001B0B60" w:rsidRDefault="001B0B60" w14:paraId="67C22E48" w14:textId="77777777">
      <w:pPr>
        <w:rPr>
          <w:b/>
          <w:bCs/>
        </w:rPr>
      </w:pPr>
      <w:r w:rsidRPr="002A62FE">
        <w:rPr>
          <w:b/>
          <w:bCs/>
        </w:rPr>
        <w:t xml:space="preserve">Herkent u de strategie van bedrijven als </w:t>
      </w:r>
      <w:proofErr w:type="spellStart"/>
      <w:r w:rsidRPr="002A62FE">
        <w:rPr>
          <w:b/>
          <w:bCs/>
        </w:rPr>
        <w:t>Alektum</w:t>
      </w:r>
      <w:proofErr w:type="spellEnd"/>
      <w:r w:rsidRPr="002A62FE">
        <w:rPr>
          <w:b/>
          <w:bCs/>
        </w:rPr>
        <w:t>, namelijk zo veel mogelijk niet-betalende klanten opzadelen met juridische procedures nadat hun facturen vermeerderd zijn met rente en incassokosten? Oftewel: hoe meer bulk het bedrijf verstuurt, hoe groter de kans dat er wel iemand betaalt?</w:t>
      </w:r>
    </w:p>
    <w:p w:rsidRPr="002A62FE" w:rsidR="00FB1B6F" w:rsidP="001B0B60" w:rsidRDefault="00FB1B6F" w14:paraId="76968413" w14:textId="77777777">
      <w:pPr>
        <w:rPr>
          <w:b/>
          <w:bCs/>
        </w:rPr>
      </w:pPr>
    </w:p>
    <w:p w:rsidR="001B0B60" w:rsidP="001B0B60" w:rsidRDefault="001B0B60" w14:paraId="1D7DD9BF" w14:textId="23ADB8C4">
      <w:pPr>
        <w:rPr>
          <w:b/>
          <w:bCs/>
        </w:rPr>
      </w:pPr>
      <w:r w:rsidRPr="002A62FE">
        <w:rPr>
          <w:b/>
          <w:bCs/>
        </w:rPr>
        <w:t xml:space="preserve">Antwoord </w:t>
      </w:r>
      <w:r w:rsidR="00463D4A">
        <w:rPr>
          <w:b/>
          <w:bCs/>
        </w:rPr>
        <w:t xml:space="preserve">op </w:t>
      </w:r>
      <w:r w:rsidRPr="002A62FE">
        <w:rPr>
          <w:b/>
          <w:bCs/>
        </w:rPr>
        <w:t>vraag 4</w:t>
      </w:r>
      <w:r w:rsidR="00FB1B6F">
        <w:rPr>
          <w:b/>
          <w:bCs/>
        </w:rPr>
        <w:t xml:space="preserve"> </w:t>
      </w:r>
    </w:p>
    <w:p w:rsidRPr="003B5FA1" w:rsidR="001B0B60" w:rsidP="003B5FA1" w:rsidRDefault="003C06D0" w14:paraId="00173906" w14:textId="4E2D0D2E">
      <w:pPr>
        <w:autoSpaceDN/>
        <w:spacing w:after="160" w:line="259" w:lineRule="auto"/>
        <w:textAlignment w:val="auto"/>
        <w:rPr>
          <w:rFonts w:cs="Calibri" w:eastAsiaTheme="minorHAnsi"/>
          <w:b/>
          <w:bCs/>
          <w:color w:val="auto"/>
          <w:lang w:eastAsia="en-US"/>
        </w:rPr>
      </w:pPr>
      <w:r w:rsidRPr="003C06D0">
        <w:t xml:space="preserve">Ik heb kennisgenomen van het artikel van Follow </w:t>
      </w:r>
      <w:proofErr w:type="spellStart"/>
      <w:r w:rsidRPr="003C06D0">
        <w:t>the</w:t>
      </w:r>
      <w:proofErr w:type="spellEnd"/>
      <w:r w:rsidRPr="003C06D0">
        <w:t xml:space="preserve"> Money</w:t>
      </w:r>
      <w:r w:rsidR="005B0E09">
        <w:t xml:space="preserve"> </w:t>
      </w:r>
      <w:r w:rsidRPr="00C54060" w:rsidR="005B0E09">
        <w:rPr>
          <w:rFonts w:cs="Calibri" w:eastAsiaTheme="minorHAnsi"/>
          <w:color w:val="auto"/>
          <w:lang w:eastAsia="en-US"/>
        </w:rPr>
        <w:t xml:space="preserve">van 8 november 2025. </w:t>
      </w:r>
      <w:r w:rsidR="005B0E09">
        <w:rPr>
          <w:rFonts w:cs="Calibri" w:eastAsiaTheme="minorHAnsi"/>
          <w:color w:val="auto"/>
          <w:lang w:eastAsia="en-US"/>
        </w:rPr>
        <w:t xml:space="preserve">Dit beeld is ook terug te zien in verschillende rechterlijke uitspraken, zoals gepubliceerd op rechtspraak.nl. </w:t>
      </w:r>
    </w:p>
    <w:p w:rsidRPr="002A62FE" w:rsidR="001B0B60" w:rsidP="001B0B60" w:rsidRDefault="001B0B60" w14:paraId="3450BB5C" w14:textId="77777777">
      <w:pPr>
        <w:rPr>
          <w:b/>
          <w:bCs/>
        </w:rPr>
      </w:pPr>
      <w:r w:rsidRPr="002A62FE">
        <w:rPr>
          <w:b/>
          <w:bCs/>
        </w:rPr>
        <w:t>Vraag 5</w:t>
      </w:r>
    </w:p>
    <w:p w:rsidRPr="002A62FE" w:rsidR="001B0B60" w:rsidP="001B0B60" w:rsidRDefault="001B0B60" w14:paraId="18307702" w14:textId="77777777">
      <w:pPr>
        <w:rPr>
          <w:b/>
          <w:bCs/>
        </w:rPr>
      </w:pPr>
      <w:r w:rsidRPr="002A62FE">
        <w:rPr>
          <w:b/>
          <w:bCs/>
        </w:rPr>
        <w:t xml:space="preserve">Bent u bekend met de grote hoeveelheid zaken die </w:t>
      </w:r>
      <w:proofErr w:type="spellStart"/>
      <w:r w:rsidRPr="002A62FE">
        <w:rPr>
          <w:b/>
          <w:bCs/>
        </w:rPr>
        <w:t>Alektum</w:t>
      </w:r>
      <w:proofErr w:type="spellEnd"/>
      <w:r w:rsidRPr="002A62FE">
        <w:rPr>
          <w:b/>
          <w:bCs/>
        </w:rPr>
        <w:t xml:space="preserve"> aanhangig heeft gemaakt enerzijds versus de uitspraken die een aaneenschakeling tonen van fouten, slordigheden en zelfs misbruik van procesrecht en het feit dat </w:t>
      </w:r>
      <w:proofErr w:type="spellStart"/>
      <w:r w:rsidRPr="002A62FE">
        <w:rPr>
          <w:b/>
          <w:bCs/>
        </w:rPr>
        <w:t>Alektum</w:t>
      </w:r>
      <w:proofErr w:type="spellEnd"/>
      <w:r w:rsidRPr="002A62FE">
        <w:rPr>
          <w:b/>
          <w:bCs/>
        </w:rPr>
        <w:t xml:space="preserve"> opvallend vaak juridische procedures verliest anderzijds?</w:t>
      </w:r>
    </w:p>
    <w:p w:rsidRPr="002A62FE" w:rsidR="001B0B60" w:rsidP="001B0B60" w:rsidRDefault="001B0B60" w14:paraId="16524D0A" w14:textId="77777777">
      <w:pPr>
        <w:rPr>
          <w:b/>
          <w:bCs/>
        </w:rPr>
      </w:pPr>
    </w:p>
    <w:p w:rsidRPr="002A62FE" w:rsidR="001B0B60" w:rsidP="001B0B60" w:rsidRDefault="001B0B60" w14:paraId="6E622CC8" w14:textId="6827469B">
      <w:pPr>
        <w:rPr>
          <w:b/>
          <w:bCs/>
        </w:rPr>
      </w:pPr>
      <w:r w:rsidRPr="002A62FE">
        <w:rPr>
          <w:b/>
          <w:bCs/>
        </w:rPr>
        <w:t xml:space="preserve">Antwoord </w:t>
      </w:r>
      <w:r w:rsidR="00463D4A">
        <w:rPr>
          <w:b/>
          <w:bCs/>
        </w:rPr>
        <w:t xml:space="preserve">op </w:t>
      </w:r>
      <w:r w:rsidRPr="002A62FE">
        <w:rPr>
          <w:b/>
          <w:bCs/>
        </w:rPr>
        <w:t>vraag 5</w:t>
      </w:r>
    </w:p>
    <w:p w:rsidR="001B0B60" w:rsidP="001B0B60" w:rsidRDefault="00FB1B6F" w14:paraId="475CDEAE" w14:textId="376BA308">
      <w:r>
        <w:t>Ja,</w:t>
      </w:r>
      <w:r w:rsidR="005B0E09">
        <w:t xml:space="preserve"> ik ben daarmee bekend.</w:t>
      </w:r>
      <w:r>
        <w:t xml:space="preserve"> </w:t>
      </w:r>
      <w:r w:rsidR="001B0B60">
        <w:t xml:space="preserve">Voor een nadere toelichting naar de mogelijkheden van de rechter om in te grijpen als er misbruik wordt gemaakt van het procesrecht verwijs ik u naar de beantwoording van de Kamervragen van het lid Ceder (ChristenUnie) over hetzelfde bericht die heden door mij naar uw Kamer zijn gestuurd. </w:t>
      </w:r>
    </w:p>
    <w:p w:rsidR="00A755AA" w:rsidP="001B0B60" w:rsidRDefault="00A755AA" w14:paraId="270BCCD7" w14:textId="77777777"/>
    <w:p w:rsidRPr="002A62FE" w:rsidR="001B0B60" w:rsidP="001B0B60" w:rsidRDefault="001B0B60" w14:paraId="7953A9D7" w14:textId="2E2D9DCF">
      <w:pPr>
        <w:rPr>
          <w:b/>
          <w:bCs/>
        </w:rPr>
      </w:pPr>
      <w:r w:rsidRPr="002A62FE">
        <w:rPr>
          <w:b/>
          <w:bCs/>
        </w:rPr>
        <w:t>Vraag 6</w:t>
      </w:r>
    </w:p>
    <w:p w:rsidRPr="002A62FE" w:rsidR="001B0B60" w:rsidP="001B0B60" w:rsidRDefault="001B0B60" w14:paraId="19A791C6" w14:textId="77777777">
      <w:pPr>
        <w:rPr>
          <w:b/>
          <w:bCs/>
        </w:rPr>
      </w:pPr>
      <w:proofErr w:type="spellStart"/>
      <w:r w:rsidRPr="002A62FE">
        <w:rPr>
          <w:b/>
          <w:bCs/>
        </w:rPr>
        <w:t>Alektum</w:t>
      </w:r>
      <w:proofErr w:type="spellEnd"/>
      <w:r w:rsidRPr="002A62FE">
        <w:rPr>
          <w:b/>
          <w:bCs/>
        </w:rPr>
        <w:t xml:space="preserve"> is lid van de Nederlandse Vereniging van gecertificeerde incasso-ondernemingen (NVI) en draagt ook dat kwaliteitskeurmerk. Wat gaat de NVI doen met deze signalen en wanneer is “de maat vol” en wordt een keurmerk ingetrokken zodat een keurmerk ook waarde blijft houden?</w:t>
      </w:r>
    </w:p>
    <w:p w:rsidRPr="002A62FE" w:rsidR="001B0B60" w:rsidP="001B0B60" w:rsidRDefault="001B0B60" w14:paraId="4C90055D" w14:textId="77777777">
      <w:pPr>
        <w:rPr>
          <w:b/>
          <w:bCs/>
        </w:rPr>
      </w:pPr>
    </w:p>
    <w:p w:rsidRPr="002A62FE" w:rsidR="001B0B60" w:rsidP="001B0B60" w:rsidRDefault="001B0B60" w14:paraId="4C2A8F9C" w14:textId="070DEB39">
      <w:pPr>
        <w:rPr>
          <w:b/>
          <w:bCs/>
        </w:rPr>
      </w:pPr>
      <w:r w:rsidRPr="002A62FE">
        <w:rPr>
          <w:b/>
          <w:bCs/>
        </w:rPr>
        <w:t xml:space="preserve">Antwoord </w:t>
      </w:r>
      <w:r w:rsidR="00463D4A">
        <w:rPr>
          <w:b/>
          <w:bCs/>
        </w:rPr>
        <w:t xml:space="preserve">op </w:t>
      </w:r>
      <w:r w:rsidRPr="002A62FE">
        <w:rPr>
          <w:b/>
          <w:bCs/>
        </w:rPr>
        <w:t>vraag 6</w:t>
      </w:r>
    </w:p>
    <w:p w:rsidR="001B0B60" w:rsidP="001B0B60" w:rsidRDefault="001B0B60" w14:paraId="17D430CF" w14:textId="6A585223">
      <w:r>
        <w:t>De Nederlandse Vereniging van gecertificeerde Incasso-ondernemingen (hierna: NVI) is een brancheorganisatie die zelf verantwoordelijk is voor het toezicht op en de handhaving van de eigen gedragsregels en het bijbehorende keurmerk.</w:t>
      </w:r>
      <w:r w:rsidR="005B0E09">
        <w:t xml:space="preserve"> Het gaat hier om een privaat kwaliteitskeurmerk waarbij de overheid niet betrokken is.</w:t>
      </w:r>
      <w:r>
        <w:t xml:space="preserve"> </w:t>
      </w:r>
      <w:r w:rsidR="005B0E09">
        <w:t xml:space="preserve">Het is aan de </w:t>
      </w:r>
      <w:r w:rsidR="00302715">
        <w:t>NVI zelf om naar aanleiding van signalen over het handelen van een aangesloten partij in te grijpen conform het</w:t>
      </w:r>
      <w:r>
        <w:t xml:space="preserve"> eigen kader.</w:t>
      </w:r>
      <w:r w:rsidR="005B0E09">
        <w:t xml:space="preserve"> Wanneer iemand niet tevreden is met de afhandeling van de klacht door het incassobureau kan die deze voorleggen aan het </w:t>
      </w:r>
      <w:proofErr w:type="spellStart"/>
      <w:r w:rsidR="005B0E09">
        <w:t>Kifid</w:t>
      </w:r>
      <w:proofErr w:type="spellEnd"/>
      <w:r w:rsidR="005B0E09">
        <w:t>.</w:t>
      </w:r>
    </w:p>
    <w:p w:rsidR="001B0B60" w:rsidP="005B0E09" w:rsidRDefault="001B0B60" w14:paraId="48F74015" w14:textId="77777777"/>
    <w:p w:rsidRPr="002A62FE" w:rsidR="001B0B60" w:rsidP="001B0B60" w:rsidRDefault="001B0B60" w14:paraId="50622FE2" w14:textId="77777777">
      <w:pPr>
        <w:rPr>
          <w:b/>
          <w:bCs/>
        </w:rPr>
      </w:pPr>
      <w:r w:rsidRPr="002A62FE">
        <w:rPr>
          <w:b/>
          <w:bCs/>
        </w:rPr>
        <w:t>Vraag 7</w:t>
      </w:r>
    </w:p>
    <w:p w:rsidRPr="002A62FE" w:rsidR="001B0B60" w:rsidP="001B0B60" w:rsidRDefault="001B0B60" w14:paraId="61D3CB2A" w14:textId="77777777">
      <w:pPr>
        <w:rPr>
          <w:b/>
          <w:bCs/>
        </w:rPr>
      </w:pPr>
      <w:r w:rsidRPr="002A62FE">
        <w:rPr>
          <w:b/>
          <w:bCs/>
        </w:rPr>
        <w:t>Wie controleert of de NVI kritisch genoeg is richting haar deelnemers?</w:t>
      </w:r>
    </w:p>
    <w:p w:rsidRPr="002A62FE" w:rsidR="001B0B60" w:rsidP="001B0B60" w:rsidRDefault="001B0B60" w14:paraId="1525F0D6" w14:textId="77777777">
      <w:pPr>
        <w:rPr>
          <w:b/>
          <w:bCs/>
        </w:rPr>
      </w:pPr>
    </w:p>
    <w:p w:rsidRPr="002A62FE" w:rsidR="001B0B60" w:rsidP="001B0B60" w:rsidRDefault="001B0B60" w14:paraId="6B950EC4" w14:textId="3A239F3D">
      <w:pPr>
        <w:rPr>
          <w:b/>
          <w:bCs/>
        </w:rPr>
      </w:pPr>
      <w:r w:rsidRPr="002A62FE">
        <w:rPr>
          <w:b/>
          <w:bCs/>
        </w:rPr>
        <w:t xml:space="preserve">Antwoord </w:t>
      </w:r>
      <w:r w:rsidR="00463D4A">
        <w:rPr>
          <w:b/>
          <w:bCs/>
        </w:rPr>
        <w:t xml:space="preserve">op </w:t>
      </w:r>
      <w:r w:rsidRPr="002A62FE">
        <w:rPr>
          <w:b/>
          <w:bCs/>
        </w:rPr>
        <w:t>vraag 7</w:t>
      </w:r>
    </w:p>
    <w:p w:rsidR="001B0B60" w:rsidP="001B0B60" w:rsidRDefault="001B0B60" w14:paraId="50646AEA" w14:textId="1ED8CD90">
      <w:r>
        <w:t xml:space="preserve">Het NVI-keurmerk is een vorm van zelfregulering, daarom is het aan de NVI zelf om de kwaliteit en de handhaving van dat keurmerk te borgen. </w:t>
      </w:r>
    </w:p>
    <w:p w:rsidR="001B0B60" w:rsidP="001B0B60" w:rsidRDefault="001B0B60" w14:paraId="291F5423" w14:textId="77777777"/>
    <w:p w:rsidR="00130D31" w:rsidP="001B0B60" w:rsidRDefault="00130D31" w14:paraId="038CBB95" w14:textId="77777777">
      <w:pPr>
        <w:rPr>
          <w:b/>
          <w:bCs/>
        </w:rPr>
      </w:pPr>
    </w:p>
    <w:p w:rsidRPr="002A62FE" w:rsidR="001B0B60" w:rsidP="001B0B60" w:rsidRDefault="001B0B60" w14:paraId="31EB8939" w14:textId="2DF74E89">
      <w:pPr>
        <w:rPr>
          <w:b/>
          <w:bCs/>
        </w:rPr>
      </w:pPr>
      <w:r w:rsidRPr="002A62FE">
        <w:rPr>
          <w:b/>
          <w:bCs/>
        </w:rPr>
        <w:t>Vraag 8</w:t>
      </w:r>
    </w:p>
    <w:p w:rsidRPr="002A62FE" w:rsidR="001B0B60" w:rsidP="001B0B60" w:rsidRDefault="001B0B60" w14:paraId="33FC26A0" w14:textId="77777777">
      <w:pPr>
        <w:rPr>
          <w:b/>
          <w:bCs/>
        </w:rPr>
      </w:pPr>
      <w:r w:rsidRPr="002A62FE">
        <w:rPr>
          <w:b/>
          <w:bCs/>
        </w:rPr>
        <w:t>Hoe kijkt u naar het verbieden van het gebruikmaken door betaaldiensten van incassobedrijven die dit keurmerk niet hebben?</w:t>
      </w:r>
    </w:p>
    <w:p w:rsidRPr="002A62FE" w:rsidR="001B0B60" w:rsidP="001B0B60" w:rsidRDefault="001B0B60" w14:paraId="6B629693" w14:textId="77777777">
      <w:pPr>
        <w:rPr>
          <w:b/>
          <w:bCs/>
        </w:rPr>
      </w:pPr>
    </w:p>
    <w:p w:rsidRPr="002A62FE" w:rsidR="001B0B60" w:rsidP="001B0B60" w:rsidRDefault="001B0B60" w14:paraId="4037660F" w14:textId="23313419">
      <w:pPr>
        <w:rPr>
          <w:b/>
          <w:bCs/>
        </w:rPr>
      </w:pPr>
      <w:r w:rsidRPr="002A62FE">
        <w:rPr>
          <w:b/>
          <w:bCs/>
        </w:rPr>
        <w:t xml:space="preserve">Antwoord </w:t>
      </w:r>
      <w:r w:rsidR="00463D4A">
        <w:rPr>
          <w:b/>
          <w:bCs/>
        </w:rPr>
        <w:t xml:space="preserve">op </w:t>
      </w:r>
      <w:r w:rsidRPr="002A62FE">
        <w:rPr>
          <w:b/>
          <w:bCs/>
        </w:rPr>
        <w:t>vraag 8</w:t>
      </w:r>
    </w:p>
    <w:p w:rsidR="00F37421" w:rsidRDefault="001B0B60" w14:paraId="6A8E5DD2" w14:textId="7BE35F85">
      <w:r>
        <w:t xml:space="preserve">Ik zie op dit moment geen aanleiding om een verbod in te stellen dat betaaldiensten zou beperken in hun keuze van incassodienstverleners op basis van het wel of niet bezitten van een privaat keurmerk. Sinds 1 april 2024 is de incassosector gereguleerd met de </w:t>
      </w:r>
      <w:proofErr w:type="spellStart"/>
      <w:r>
        <w:t>Wki</w:t>
      </w:r>
      <w:proofErr w:type="spellEnd"/>
      <w:r>
        <w:t>.</w:t>
      </w:r>
      <w:r w:rsidR="00840C24">
        <w:t xml:space="preserve"> </w:t>
      </w:r>
      <w:r>
        <w:t xml:space="preserve">Alle partijen die onder de reikwijdte van de </w:t>
      </w:r>
      <w:proofErr w:type="spellStart"/>
      <w:r>
        <w:t>Wki</w:t>
      </w:r>
      <w:proofErr w:type="spellEnd"/>
      <w:r>
        <w:t xml:space="preserve"> vallen</w:t>
      </w:r>
      <w:r w:rsidR="00840C24">
        <w:t>,</w:t>
      </w:r>
      <w:r>
        <w:t xml:space="preserve"> dienen te voldoen aan dit wettelijke kader. Wanneer partijen zich niet houden aan de registratieplicht van de </w:t>
      </w:r>
      <w:proofErr w:type="spellStart"/>
      <w:r>
        <w:t>Wki</w:t>
      </w:r>
      <w:proofErr w:type="spellEnd"/>
      <w:r>
        <w:t xml:space="preserve"> is er onder andere sprake van een economisch delict waar tegen opgetreden kan worden. Voor een verdere uitleg verwijs ik u naar de beantwoording van de vragen van het lid Ceder over hetzelfde bericht, die heden door mij naar uw Kamer zijn gestuurd.</w:t>
      </w:r>
    </w:p>
    <w:sectPr w:rsidR="00F37421">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5C83E5" w14:textId="77777777" w:rsidR="005015C3" w:rsidRDefault="005015C3">
      <w:pPr>
        <w:spacing w:line="240" w:lineRule="auto"/>
      </w:pPr>
      <w:r>
        <w:separator/>
      </w:r>
    </w:p>
  </w:endnote>
  <w:endnote w:type="continuationSeparator" w:id="0">
    <w:p w14:paraId="6BBED7AA" w14:textId="77777777" w:rsidR="005015C3" w:rsidRDefault="00501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FE44" w14:textId="77777777" w:rsidR="00DE2CBD" w:rsidRDefault="00DE2CB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3DC" w14:textId="77777777" w:rsidR="00DE2CBD" w:rsidRDefault="00DE2CB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250F" w14:textId="77777777" w:rsidR="00DE2CBD" w:rsidRDefault="00DE2CB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71A5" w14:textId="77777777" w:rsidR="005015C3" w:rsidRDefault="005015C3">
      <w:pPr>
        <w:spacing w:line="240" w:lineRule="auto"/>
      </w:pPr>
      <w:r>
        <w:separator/>
      </w:r>
    </w:p>
  </w:footnote>
  <w:footnote w:type="continuationSeparator" w:id="0">
    <w:p w14:paraId="5453D059" w14:textId="77777777" w:rsidR="005015C3" w:rsidRDefault="005015C3">
      <w:pPr>
        <w:spacing w:line="240" w:lineRule="auto"/>
      </w:pPr>
      <w:r>
        <w:continuationSeparator/>
      </w:r>
    </w:p>
  </w:footnote>
  <w:footnote w:id="1">
    <w:p w14:paraId="1C2901D1" w14:textId="02F85457" w:rsidR="00FA03B3" w:rsidRDefault="00FA03B3">
      <w:pPr>
        <w:pStyle w:val="Voetnoottekst"/>
      </w:pPr>
      <w:r>
        <w:rPr>
          <w:rStyle w:val="Voetnootmarkering"/>
        </w:rPr>
        <w:footnoteRef/>
      </w:r>
      <w:r>
        <w:t xml:space="preserve"> </w:t>
      </w:r>
      <w:r w:rsidRPr="00130D31">
        <w:rPr>
          <w:rFonts w:ascii="Verdana" w:hAnsi="Verdana"/>
          <w:sz w:val="16"/>
          <w:szCs w:val="16"/>
        </w:rPr>
        <w:t>Art. 7:70a BW.</w:t>
      </w:r>
    </w:p>
  </w:footnote>
  <w:footnote w:id="2">
    <w:p w14:paraId="02FC819A" w14:textId="77777777" w:rsidR="00A755AA" w:rsidRPr="00130D31" w:rsidRDefault="00A755AA" w:rsidP="00A755AA">
      <w:pPr>
        <w:pStyle w:val="Voetnoottekst"/>
        <w:rPr>
          <w:rFonts w:ascii="Verdana" w:hAnsi="Verdana"/>
          <w:sz w:val="16"/>
          <w:szCs w:val="16"/>
        </w:rPr>
      </w:pPr>
      <w:r w:rsidRPr="0066699F">
        <w:rPr>
          <w:rStyle w:val="Voetnootmarkering"/>
          <w:rFonts w:ascii="Verdana" w:hAnsi="Verdana"/>
          <w:sz w:val="16"/>
          <w:szCs w:val="16"/>
        </w:rPr>
        <w:footnoteRef/>
      </w:r>
      <w:r w:rsidRPr="0066699F">
        <w:rPr>
          <w:rFonts w:ascii="Verdana" w:hAnsi="Verdana"/>
          <w:sz w:val="16"/>
          <w:szCs w:val="16"/>
        </w:rPr>
        <w:t xml:space="preserve"> </w:t>
      </w:r>
      <w:r w:rsidRPr="00130D31">
        <w:rPr>
          <w:rFonts w:ascii="Verdana" w:hAnsi="Verdana"/>
          <w:sz w:val="16"/>
          <w:szCs w:val="16"/>
        </w:rPr>
        <w:t>Artikel 2 Wki.</w:t>
      </w:r>
    </w:p>
  </w:footnote>
  <w:footnote w:id="3">
    <w:p w14:paraId="00DC9878" w14:textId="5D78689C" w:rsidR="00840C24" w:rsidRPr="00277B90" w:rsidRDefault="00840C24">
      <w:pPr>
        <w:pStyle w:val="Voetnoottekst"/>
      </w:pPr>
      <w:r w:rsidRPr="00130D31">
        <w:rPr>
          <w:rStyle w:val="Voetnootmarkering"/>
          <w:rFonts w:ascii="Verdana" w:hAnsi="Verdana"/>
          <w:sz w:val="16"/>
          <w:szCs w:val="16"/>
        </w:rPr>
        <w:footnoteRef/>
      </w:r>
      <w:r w:rsidRPr="00130D31">
        <w:rPr>
          <w:rFonts w:ascii="Verdana" w:hAnsi="Verdana"/>
          <w:sz w:val="16"/>
          <w:szCs w:val="16"/>
        </w:rPr>
        <w:t xml:space="preserve"> </w:t>
      </w:r>
      <w:r w:rsidR="00277B90" w:rsidRPr="003B5FA1">
        <w:rPr>
          <w:rFonts w:ascii="Verdana" w:hAnsi="Verdana"/>
          <w:sz w:val="16"/>
          <w:szCs w:val="16"/>
        </w:rPr>
        <w:t>Kamerstukken II</w:t>
      </w:r>
      <w:r w:rsidR="00277B90" w:rsidRPr="00130D31">
        <w:rPr>
          <w:rFonts w:ascii="Verdana" w:hAnsi="Verdana"/>
          <w:i/>
          <w:iCs/>
          <w:sz w:val="16"/>
          <w:szCs w:val="16"/>
        </w:rPr>
        <w:t xml:space="preserve">, </w:t>
      </w:r>
      <w:r w:rsidR="00277B90" w:rsidRPr="003B5FA1">
        <w:rPr>
          <w:rFonts w:ascii="Verdana" w:hAnsi="Verdana"/>
          <w:sz w:val="16"/>
          <w:szCs w:val="16"/>
        </w:rPr>
        <w:t>2024/25</w:t>
      </w:r>
      <w:r w:rsidR="00277B90" w:rsidRPr="00130D31">
        <w:rPr>
          <w:rFonts w:ascii="Verdana" w:hAnsi="Verdana"/>
          <w:i/>
          <w:iCs/>
          <w:sz w:val="16"/>
          <w:szCs w:val="16"/>
        </w:rPr>
        <w:t xml:space="preserve">, </w:t>
      </w:r>
      <w:r w:rsidR="00277B90" w:rsidRPr="00130D31">
        <w:rPr>
          <w:rFonts w:ascii="Verdana" w:hAnsi="Verdana"/>
          <w:sz w:val="16"/>
          <w:szCs w:val="16"/>
        </w:rPr>
        <w:t>24 515, nr. 798.</w:t>
      </w:r>
      <w:r w:rsidR="00277B9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6385" w14:textId="77777777" w:rsidR="00DE2CBD" w:rsidRDefault="00DE2C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EC21" w14:textId="77777777" w:rsidR="00F37421" w:rsidRDefault="009B5922">
    <w:r>
      <w:rPr>
        <w:noProof/>
      </w:rPr>
      <mc:AlternateContent>
        <mc:Choice Requires="wps">
          <w:drawing>
            <wp:anchor distT="0" distB="0" distL="0" distR="0" simplePos="0" relativeHeight="251652096" behindDoc="0" locked="1" layoutInCell="1" allowOverlap="1" wp14:anchorId="7829B345" wp14:editId="72CF5C78">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826817F" w14:textId="77777777" w:rsidR="007C7AD8" w:rsidRDefault="007C7AD8"/>
                      </w:txbxContent>
                    </wps:txbx>
                    <wps:bodyPr vert="horz" wrap="square" lIns="0" tIns="0" rIns="0" bIns="0" anchor="t" anchorCtr="0"/>
                  </wps:wsp>
                </a:graphicData>
              </a:graphic>
            </wp:anchor>
          </w:drawing>
        </mc:Choice>
        <mc:Fallback>
          <w:pict>
            <v:shapetype w14:anchorId="7829B345"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826817F" w14:textId="77777777" w:rsidR="007C7AD8" w:rsidRDefault="007C7AD8"/>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81B51EB" wp14:editId="6B22749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B150782" w14:textId="77777777" w:rsidR="00C45208" w:rsidRDefault="00C45208" w:rsidP="00C45208">
                          <w:pPr>
                            <w:pStyle w:val="Referentiegegevensbold"/>
                          </w:pPr>
                          <w:r>
                            <w:t>Directoraat-Generaal Rechtspleging en Rechtshandhaving</w:t>
                          </w:r>
                        </w:p>
                        <w:p w14:paraId="50CDF199" w14:textId="77777777" w:rsidR="00C45208" w:rsidRDefault="00C45208" w:rsidP="00C45208">
                          <w:pPr>
                            <w:pStyle w:val="Referentiegegevens"/>
                          </w:pPr>
                          <w:r>
                            <w:t>Directie Rechtshandhaving en Criminaliteitsbestrijding</w:t>
                          </w:r>
                        </w:p>
                        <w:p w14:paraId="158DF882" w14:textId="08BD23DA" w:rsidR="00F37421" w:rsidRDefault="00F37421">
                          <w:pPr>
                            <w:pStyle w:val="Referentiegegevensbold"/>
                          </w:pPr>
                        </w:p>
                        <w:p w14:paraId="02836294" w14:textId="77777777" w:rsidR="00F37421" w:rsidRDefault="00F37421">
                          <w:pPr>
                            <w:pStyle w:val="WitregelW2"/>
                          </w:pPr>
                        </w:p>
                        <w:p w14:paraId="056988F5" w14:textId="77777777" w:rsidR="00F37421" w:rsidRDefault="009B5922">
                          <w:pPr>
                            <w:pStyle w:val="Referentiegegevensbold"/>
                          </w:pPr>
                          <w:r>
                            <w:t>Datum</w:t>
                          </w:r>
                        </w:p>
                        <w:p w14:paraId="3CB7D388" w14:textId="110A52E7" w:rsidR="00F37421" w:rsidRDefault="005015C3">
                          <w:pPr>
                            <w:pStyle w:val="Referentiegegevens"/>
                          </w:pPr>
                          <w:sdt>
                            <w:sdtPr>
                              <w:id w:val="100160145"/>
                              <w:date w:fullDate="2026-02-03T00:00:00Z">
                                <w:dateFormat w:val="d MMMM yyyy"/>
                                <w:lid w:val="nl"/>
                                <w:storeMappedDataAs w:val="dateTime"/>
                                <w:calendar w:val="gregorian"/>
                              </w:date>
                            </w:sdtPr>
                            <w:sdtEndPr/>
                            <w:sdtContent>
                              <w:r w:rsidR="00463D4A">
                                <w:rPr>
                                  <w:lang w:val="nl"/>
                                </w:rPr>
                                <w:t>3 februari 2026</w:t>
                              </w:r>
                            </w:sdtContent>
                          </w:sdt>
                        </w:p>
                        <w:p w14:paraId="733ADF89" w14:textId="77777777" w:rsidR="00F37421" w:rsidRDefault="00F37421">
                          <w:pPr>
                            <w:pStyle w:val="WitregelW1"/>
                          </w:pPr>
                        </w:p>
                        <w:p w14:paraId="349E8534" w14:textId="77777777" w:rsidR="00F37421" w:rsidRDefault="009B5922">
                          <w:pPr>
                            <w:pStyle w:val="Referentiegegevensbold"/>
                          </w:pPr>
                          <w:r>
                            <w:t>Onze referentie</w:t>
                          </w:r>
                        </w:p>
                        <w:p w14:paraId="4068EE3D" w14:textId="77777777" w:rsidR="00F37421" w:rsidRDefault="009B5922">
                          <w:pPr>
                            <w:pStyle w:val="Referentiegegevens"/>
                          </w:pPr>
                          <w:r>
                            <w:t>7089417</w:t>
                          </w:r>
                        </w:p>
                      </w:txbxContent>
                    </wps:txbx>
                    <wps:bodyPr vert="horz" wrap="square" lIns="0" tIns="0" rIns="0" bIns="0" anchor="t" anchorCtr="0"/>
                  </wps:wsp>
                </a:graphicData>
              </a:graphic>
            </wp:anchor>
          </w:drawing>
        </mc:Choice>
        <mc:Fallback>
          <w:pict>
            <v:shape w14:anchorId="181B51EB"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B150782" w14:textId="77777777" w:rsidR="00C45208" w:rsidRDefault="00C45208" w:rsidP="00C45208">
                    <w:pPr>
                      <w:pStyle w:val="Referentiegegevensbold"/>
                    </w:pPr>
                    <w:r>
                      <w:t>Directoraat-Generaal Rechtspleging en Rechtshandhaving</w:t>
                    </w:r>
                  </w:p>
                  <w:p w14:paraId="50CDF199" w14:textId="77777777" w:rsidR="00C45208" w:rsidRDefault="00C45208" w:rsidP="00C45208">
                    <w:pPr>
                      <w:pStyle w:val="Referentiegegevens"/>
                    </w:pPr>
                    <w:r>
                      <w:t>Directie Rechtshandhaving en Criminaliteitsbestrijding</w:t>
                    </w:r>
                  </w:p>
                  <w:p w14:paraId="158DF882" w14:textId="08BD23DA" w:rsidR="00F37421" w:rsidRDefault="00F37421">
                    <w:pPr>
                      <w:pStyle w:val="Referentiegegevensbold"/>
                    </w:pPr>
                  </w:p>
                  <w:p w14:paraId="02836294" w14:textId="77777777" w:rsidR="00F37421" w:rsidRDefault="00F37421">
                    <w:pPr>
                      <w:pStyle w:val="WitregelW2"/>
                    </w:pPr>
                  </w:p>
                  <w:p w14:paraId="056988F5" w14:textId="77777777" w:rsidR="00F37421" w:rsidRDefault="009B5922">
                    <w:pPr>
                      <w:pStyle w:val="Referentiegegevensbold"/>
                    </w:pPr>
                    <w:r>
                      <w:t>Datum</w:t>
                    </w:r>
                  </w:p>
                  <w:p w14:paraId="3CB7D388" w14:textId="110A52E7" w:rsidR="00F37421" w:rsidRDefault="005015C3">
                    <w:pPr>
                      <w:pStyle w:val="Referentiegegevens"/>
                    </w:pPr>
                    <w:sdt>
                      <w:sdtPr>
                        <w:id w:val="100160145"/>
                        <w:date w:fullDate="2026-02-03T00:00:00Z">
                          <w:dateFormat w:val="d MMMM yyyy"/>
                          <w:lid w:val="nl"/>
                          <w:storeMappedDataAs w:val="dateTime"/>
                          <w:calendar w:val="gregorian"/>
                        </w:date>
                      </w:sdtPr>
                      <w:sdtEndPr/>
                      <w:sdtContent>
                        <w:r w:rsidR="00463D4A">
                          <w:rPr>
                            <w:lang w:val="nl"/>
                          </w:rPr>
                          <w:t>3 februari 2026</w:t>
                        </w:r>
                      </w:sdtContent>
                    </w:sdt>
                  </w:p>
                  <w:p w14:paraId="733ADF89" w14:textId="77777777" w:rsidR="00F37421" w:rsidRDefault="00F37421">
                    <w:pPr>
                      <w:pStyle w:val="WitregelW1"/>
                    </w:pPr>
                  </w:p>
                  <w:p w14:paraId="349E8534" w14:textId="77777777" w:rsidR="00F37421" w:rsidRDefault="009B5922">
                    <w:pPr>
                      <w:pStyle w:val="Referentiegegevensbold"/>
                    </w:pPr>
                    <w:r>
                      <w:t>Onze referentie</w:t>
                    </w:r>
                  </w:p>
                  <w:p w14:paraId="4068EE3D" w14:textId="77777777" w:rsidR="00F37421" w:rsidRDefault="009B5922">
                    <w:pPr>
                      <w:pStyle w:val="Referentiegegevens"/>
                    </w:pPr>
                    <w:r>
                      <w:t>7089417</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3E0BFD8" wp14:editId="73D9AAF8">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AC2EA2" w14:textId="77777777" w:rsidR="007C7AD8" w:rsidRDefault="007C7AD8"/>
                      </w:txbxContent>
                    </wps:txbx>
                    <wps:bodyPr vert="horz" wrap="square" lIns="0" tIns="0" rIns="0" bIns="0" anchor="t" anchorCtr="0"/>
                  </wps:wsp>
                </a:graphicData>
              </a:graphic>
            </wp:anchor>
          </w:drawing>
        </mc:Choice>
        <mc:Fallback>
          <w:pict>
            <v:shape w14:anchorId="23E0BFD8"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FAC2EA2" w14:textId="77777777" w:rsidR="007C7AD8" w:rsidRDefault="007C7AD8"/>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48D38871" wp14:editId="76263755">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6EF0877" w14:textId="4801BD9B" w:rsidR="00F37421" w:rsidRDefault="009B5922">
                          <w:pPr>
                            <w:pStyle w:val="Referentiegegevens"/>
                          </w:pPr>
                          <w:r>
                            <w:t xml:space="preserve">Pagina </w:t>
                          </w:r>
                          <w:r>
                            <w:fldChar w:fldCharType="begin"/>
                          </w:r>
                          <w:r>
                            <w:instrText>PAGE</w:instrText>
                          </w:r>
                          <w:r>
                            <w:fldChar w:fldCharType="separate"/>
                          </w:r>
                          <w:r w:rsidR="00A7552A">
                            <w:rPr>
                              <w:noProof/>
                            </w:rPr>
                            <w:t>2</w:t>
                          </w:r>
                          <w:r>
                            <w:fldChar w:fldCharType="end"/>
                          </w:r>
                          <w:r>
                            <w:t xml:space="preserve"> van </w:t>
                          </w:r>
                          <w:r>
                            <w:fldChar w:fldCharType="begin"/>
                          </w:r>
                          <w:r>
                            <w:instrText>NUMPAGES</w:instrText>
                          </w:r>
                          <w:r>
                            <w:fldChar w:fldCharType="separate"/>
                          </w:r>
                          <w:r w:rsidR="00A7552A">
                            <w:rPr>
                              <w:noProof/>
                            </w:rPr>
                            <w:t>1</w:t>
                          </w:r>
                          <w:r>
                            <w:fldChar w:fldCharType="end"/>
                          </w:r>
                        </w:p>
                      </w:txbxContent>
                    </wps:txbx>
                    <wps:bodyPr vert="horz" wrap="square" lIns="0" tIns="0" rIns="0" bIns="0" anchor="t" anchorCtr="0"/>
                  </wps:wsp>
                </a:graphicData>
              </a:graphic>
            </wp:anchor>
          </w:drawing>
        </mc:Choice>
        <mc:Fallback>
          <w:pict>
            <v:shape w14:anchorId="48D38871"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76EF0877" w14:textId="4801BD9B" w:rsidR="00F37421" w:rsidRDefault="009B5922">
                    <w:pPr>
                      <w:pStyle w:val="Referentiegegevens"/>
                    </w:pPr>
                    <w:r>
                      <w:t xml:space="preserve">Pagina </w:t>
                    </w:r>
                    <w:r>
                      <w:fldChar w:fldCharType="begin"/>
                    </w:r>
                    <w:r>
                      <w:instrText>PAGE</w:instrText>
                    </w:r>
                    <w:r>
                      <w:fldChar w:fldCharType="separate"/>
                    </w:r>
                    <w:r w:rsidR="00A7552A">
                      <w:rPr>
                        <w:noProof/>
                      </w:rPr>
                      <w:t>2</w:t>
                    </w:r>
                    <w:r>
                      <w:fldChar w:fldCharType="end"/>
                    </w:r>
                    <w:r>
                      <w:t xml:space="preserve"> van </w:t>
                    </w:r>
                    <w:r>
                      <w:fldChar w:fldCharType="begin"/>
                    </w:r>
                    <w:r>
                      <w:instrText>NUMPAGES</w:instrText>
                    </w:r>
                    <w:r>
                      <w:fldChar w:fldCharType="separate"/>
                    </w:r>
                    <w:r w:rsidR="00A7552A">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0BAA5" w14:textId="77777777" w:rsidR="00F37421" w:rsidRDefault="009B5922">
    <w:pPr>
      <w:spacing w:after="6377" w:line="14" w:lineRule="exact"/>
    </w:pPr>
    <w:r>
      <w:rPr>
        <w:noProof/>
      </w:rPr>
      <mc:AlternateContent>
        <mc:Choice Requires="wps">
          <w:drawing>
            <wp:anchor distT="0" distB="0" distL="0" distR="0" simplePos="0" relativeHeight="251656192" behindDoc="0" locked="1" layoutInCell="1" allowOverlap="1" wp14:anchorId="3325AFC4" wp14:editId="47D4BDA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7C6E836" w14:textId="77777777" w:rsidR="00F37421" w:rsidRDefault="009B5922">
                          <w:pPr>
                            <w:spacing w:line="240" w:lineRule="auto"/>
                          </w:pPr>
                          <w:r>
                            <w:rPr>
                              <w:noProof/>
                            </w:rPr>
                            <w:drawing>
                              <wp:inline distT="0" distB="0" distL="0" distR="0" wp14:anchorId="62F93D87" wp14:editId="0EBA4B9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25AFC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57C6E836" w14:textId="77777777" w:rsidR="00F37421" w:rsidRDefault="009B5922">
                    <w:pPr>
                      <w:spacing w:line="240" w:lineRule="auto"/>
                    </w:pPr>
                    <w:r>
                      <w:rPr>
                        <w:noProof/>
                      </w:rPr>
                      <w:drawing>
                        <wp:inline distT="0" distB="0" distL="0" distR="0" wp14:anchorId="62F93D87" wp14:editId="0EBA4B99">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77CAC80" wp14:editId="14F2758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AA92707" w14:textId="77777777" w:rsidR="00F37421" w:rsidRDefault="009B5922">
                          <w:pPr>
                            <w:spacing w:line="240" w:lineRule="auto"/>
                          </w:pPr>
                          <w:r>
                            <w:rPr>
                              <w:noProof/>
                            </w:rPr>
                            <w:drawing>
                              <wp:inline distT="0" distB="0" distL="0" distR="0" wp14:anchorId="1BF2E11C" wp14:editId="4FB2AF4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7CAC80"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6AA92707" w14:textId="77777777" w:rsidR="00F37421" w:rsidRDefault="009B5922">
                    <w:pPr>
                      <w:spacing w:line="240" w:lineRule="auto"/>
                    </w:pPr>
                    <w:r>
                      <w:rPr>
                        <w:noProof/>
                      </w:rPr>
                      <w:drawing>
                        <wp:inline distT="0" distB="0" distL="0" distR="0" wp14:anchorId="1BF2E11C" wp14:editId="4FB2AF4F">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492A8E3" wp14:editId="7965C9D4">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2B7FA9" w14:textId="7DFDAFB1" w:rsidR="00F37421" w:rsidRDefault="00463D4A">
                          <w:pPr>
                            <w:pStyle w:val="Referentiegegevens"/>
                          </w:pPr>
                          <w:r w:rsidRPr="00463D4A">
                            <w:t>&gt; Retouradres Postbus 20011 2500 EH  Den Haag</w:t>
                          </w:r>
                        </w:p>
                      </w:txbxContent>
                    </wps:txbx>
                    <wps:bodyPr vert="horz" wrap="square" lIns="0" tIns="0" rIns="0" bIns="0" anchor="t" anchorCtr="0"/>
                  </wps:wsp>
                </a:graphicData>
              </a:graphic>
            </wp:anchor>
          </w:drawing>
        </mc:Choice>
        <mc:Fallback>
          <w:pict>
            <v:shape w14:anchorId="3492A8E3"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A2B7FA9" w14:textId="7DFDAFB1" w:rsidR="00F37421" w:rsidRDefault="00463D4A">
                    <w:pPr>
                      <w:pStyle w:val="Referentiegegevens"/>
                    </w:pPr>
                    <w:r w:rsidRPr="00463D4A">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50FCC127" wp14:editId="0B8AC7D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6A6B72" w14:textId="77777777" w:rsidR="00A7552A" w:rsidRDefault="00A7552A" w:rsidP="00A7552A">
                          <w:r>
                            <w:t xml:space="preserve">Aan de Voorzitter van de Tweede Kamer </w:t>
                          </w:r>
                        </w:p>
                        <w:p w14:paraId="65A8D119" w14:textId="77777777" w:rsidR="00A7552A" w:rsidRDefault="00A7552A" w:rsidP="00A7552A">
                          <w:r>
                            <w:t>der Staten-Generaal</w:t>
                          </w:r>
                        </w:p>
                        <w:p w14:paraId="186AA060" w14:textId="77777777" w:rsidR="00A7552A" w:rsidRDefault="00A7552A" w:rsidP="00A7552A">
                          <w:r>
                            <w:t xml:space="preserve">Postbus 20018 </w:t>
                          </w:r>
                        </w:p>
                        <w:p w14:paraId="4D9732C1" w14:textId="77777777" w:rsidR="00A7552A" w:rsidRDefault="00A7552A" w:rsidP="00A7552A">
                          <w:r>
                            <w:t>2500 EA  DEN HAAG</w:t>
                          </w:r>
                        </w:p>
                        <w:p w14:paraId="2CAADD5D" w14:textId="4C8F8191" w:rsidR="00F37421" w:rsidRDefault="00F37421"/>
                      </w:txbxContent>
                    </wps:txbx>
                    <wps:bodyPr vert="horz" wrap="square" lIns="0" tIns="0" rIns="0" bIns="0" anchor="t" anchorCtr="0"/>
                  </wps:wsp>
                </a:graphicData>
              </a:graphic>
            </wp:anchor>
          </w:drawing>
        </mc:Choice>
        <mc:Fallback>
          <w:pict>
            <v:shape w14:anchorId="50FCC127"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86A6B72" w14:textId="77777777" w:rsidR="00A7552A" w:rsidRDefault="00A7552A" w:rsidP="00A7552A">
                    <w:r>
                      <w:t xml:space="preserve">Aan de Voorzitter van de Tweede Kamer </w:t>
                    </w:r>
                  </w:p>
                  <w:p w14:paraId="65A8D119" w14:textId="77777777" w:rsidR="00A7552A" w:rsidRDefault="00A7552A" w:rsidP="00A7552A">
                    <w:r>
                      <w:t>der Staten-Generaal</w:t>
                    </w:r>
                  </w:p>
                  <w:p w14:paraId="186AA060" w14:textId="77777777" w:rsidR="00A7552A" w:rsidRDefault="00A7552A" w:rsidP="00A7552A">
                    <w:r>
                      <w:t xml:space="preserve">Postbus 20018 </w:t>
                    </w:r>
                  </w:p>
                  <w:p w14:paraId="4D9732C1" w14:textId="77777777" w:rsidR="00A7552A" w:rsidRDefault="00A7552A" w:rsidP="00A7552A">
                    <w:r>
                      <w:t>2500 EA  DEN HAAG</w:t>
                    </w:r>
                  </w:p>
                  <w:p w14:paraId="2CAADD5D" w14:textId="4C8F8191" w:rsidR="00F37421" w:rsidRDefault="00F37421"/>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6205DD0" wp14:editId="377F2304">
              <wp:simplePos x="0" y="0"/>
              <wp:positionH relativeFrom="margin">
                <wp:align>right</wp:align>
              </wp:positionH>
              <wp:positionV relativeFrom="page">
                <wp:posOffset>3355340</wp:posOffset>
              </wp:positionV>
              <wp:extent cx="4787900" cy="6096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09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37421" w14:paraId="3CE2F02C" w14:textId="77777777">
                            <w:trPr>
                              <w:trHeight w:val="240"/>
                            </w:trPr>
                            <w:tc>
                              <w:tcPr>
                                <w:tcW w:w="1140" w:type="dxa"/>
                              </w:tcPr>
                              <w:p w14:paraId="05C76FAA" w14:textId="77777777" w:rsidR="00F37421" w:rsidRDefault="009B5922">
                                <w:r>
                                  <w:t>Datum</w:t>
                                </w:r>
                              </w:p>
                            </w:tc>
                            <w:tc>
                              <w:tcPr>
                                <w:tcW w:w="5918" w:type="dxa"/>
                              </w:tcPr>
                              <w:p w14:paraId="4F13925E" w14:textId="759ADC95" w:rsidR="00F37421" w:rsidRDefault="005015C3">
                                <w:sdt>
                                  <w:sdtPr>
                                    <w:id w:val="168601535"/>
                                    <w:date w:fullDate="2026-02-03T00:00:00Z">
                                      <w:dateFormat w:val="d MMMM yyyy"/>
                                      <w:lid w:val="nl"/>
                                      <w:storeMappedDataAs w:val="dateTime"/>
                                      <w:calendar w:val="gregorian"/>
                                    </w:date>
                                  </w:sdtPr>
                                  <w:sdtEndPr/>
                                  <w:sdtContent>
                                    <w:r w:rsidR="00463D4A">
                                      <w:rPr>
                                        <w:lang w:val="nl"/>
                                      </w:rPr>
                                      <w:t>3 februari 2026</w:t>
                                    </w:r>
                                  </w:sdtContent>
                                </w:sdt>
                              </w:p>
                            </w:tc>
                          </w:tr>
                          <w:tr w:rsidR="00F37421" w14:paraId="1163BAFB" w14:textId="77777777">
                            <w:trPr>
                              <w:trHeight w:val="240"/>
                            </w:trPr>
                            <w:tc>
                              <w:tcPr>
                                <w:tcW w:w="1140" w:type="dxa"/>
                              </w:tcPr>
                              <w:p w14:paraId="6924A186" w14:textId="77777777" w:rsidR="00F37421" w:rsidRDefault="009B5922">
                                <w:r>
                                  <w:t>Betreft</w:t>
                                </w:r>
                              </w:p>
                            </w:tc>
                            <w:tc>
                              <w:tcPr>
                                <w:tcW w:w="5918" w:type="dxa"/>
                              </w:tcPr>
                              <w:tbl>
                                <w:tblPr>
                                  <w:tblW w:w="7814" w:type="dxa"/>
                                  <w:tblCellMar>
                                    <w:left w:w="0" w:type="dxa"/>
                                    <w:right w:w="0" w:type="dxa"/>
                                  </w:tblCellMar>
                                  <w:tblLook w:val="04A0" w:firstRow="1" w:lastRow="0" w:firstColumn="1" w:lastColumn="0" w:noHBand="0" w:noVBand="1"/>
                                </w:tblPr>
                                <w:tblGrid>
                                  <w:gridCol w:w="7814"/>
                                </w:tblGrid>
                                <w:tr w:rsidR="00A7552A" w:rsidRPr="00A7552A" w14:paraId="08A04FC7" w14:textId="77777777" w:rsidTr="00A7552A">
                                  <w:tc>
                                    <w:tcPr>
                                      <w:tcW w:w="7814" w:type="dxa"/>
                                      <w:vAlign w:val="center"/>
                                      <w:hideMark/>
                                    </w:tcPr>
                                    <w:tbl>
                                      <w:tblPr>
                                        <w:tblW w:w="0" w:type="auto"/>
                                        <w:tblCellMar>
                                          <w:left w:w="0" w:type="dxa"/>
                                          <w:right w:w="0" w:type="dxa"/>
                                        </w:tblCellMar>
                                        <w:tblLook w:val="04A0" w:firstRow="1" w:lastRow="0" w:firstColumn="1" w:lastColumn="0" w:noHBand="0" w:noVBand="1"/>
                                      </w:tblPr>
                                      <w:tblGrid>
                                        <w:gridCol w:w="7814"/>
                                      </w:tblGrid>
                                      <w:tr w:rsidR="00A7552A" w:rsidRPr="00A7552A" w14:paraId="5DAC40BC" w14:textId="77777777">
                                        <w:tc>
                                          <w:tcPr>
                                            <w:tcW w:w="7814" w:type="dxa"/>
                                            <w:vAlign w:val="center"/>
                                            <w:hideMark/>
                                          </w:tcPr>
                                          <w:tbl>
                                            <w:tblPr>
                                              <w:tblW w:w="7850" w:type="dxa"/>
                                              <w:tblCellMar>
                                                <w:left w:w="0" w:type="dxa"/>
                                                <w:right w:w="0" w:type="dxa"/>
                                              </w:tblCellMar>
                                              <w:tblLook w:val="04A0" w:firstRow="1" w:lastRow="0" w:firstColumn="1" w:lastColumn="0" w:noHBand="0" w:noVBand="1"/>
                                            </w:tblPr>
                                            <w:tblGrid>
                                              <w:gridCol w:w="7850"/>
                                            </w:tblGrid>
                                            <w:tr w:rsidR="00A41789" w:rsidRPr="00A41789" w14:paraId="63AB0AB5" w14:textId="77777777" w:rsidTr="00A41789">
                                              <w:tc>
                                                <w:tcPr>
                                                  <w:tcW w:w="7850" w:type="dxa"/>
                                                  <w:vAlign w:val="center"/>
                                                  <w:hideMark/>
                                                </w:tcPr>
                                                <w:tbl>
                                                  <w:tblPr>
                                                    <w:tblW w:w="0" w:type="auto"/>
                                                    <w:tblCellMar>
                                                      <w:left w:w="0" w:type="dxa"/>
                                                      <w:right w:w="0" w:type="dxa"/>
                                                    </w:tblCellMar>
                                                    <w:tblLook w:val="04A0" w:firstRow="1" w:lastRow="0" w:firstColumn="1" w:lastColumn="0" w:noHBand="0" w:noVBand="1"/>
                                                  </w:tblPr>
                                                  <w:tblGrid>
                                                    <w:gridCol w:w="7850"/>
                                                  </w:tblGrid>
                                                  <w:tr w:rsidR="00A41789" w:rsidRPr="00A41789" w14:paraId="0D73CE7D" w14:textId="77777777" w:rsidTr="002434C5">
                                                    <w:trPr>
                                                      <w:trHeight w:val="334"/>
                                                    </w:trPr>
                                                    <w:tc>
                                                      <w:tcPr>
                                                        <w:tcW w:w="7850" w:type="dxa"/>
                                                        <w:vAlign w:val="center"/>
                                                        <w:hideMark/>
                                                      </w:tcPr>
                                                      <w:p w14:paraId="280F1B44" w14:textId="0AB019B7" w:rsidR="00A41789" w:rsidRPr="002434C5" w:rsidRDefault="00A7552A" w:rsidP="00A41789">
                                                        <w:pPr>
                                                          <w:autoSpaceDN/>
                                                          <w:spacing w:line="240" w:lineRule="auto"/>
                                                          <w:textAlignment w:val="auto"/>
                                                          <w:rPr>
                                                            <w:rFonts w:eastAsia="Times New Roman" w:cs="Times New Roman"/>
                                                            <w:color w:val="auto"/>
                                                          </w:rPr>
                                                        </w:pPr>
                                                        <w:r>
                                                          <w:t xml:space="preserve">  </w:t>
                                                        </w:r>
                                                        <w:r w:rsidR="00463D4A">
                                                          <w:t>Antwoorden</w:t>
                                                        </w:r>
                                                        <w:r w:rsidRPr="002434C5">
                                                          <w:t xml:space="preserve"> Kamervragen over</w:t>
                                                        </w:r>
                                                        <w:r w:rsidR="00A41789" w:rsidRPr="002434C5">
                                                          <w:t xml:space="preserve"> </w:t>
                                                        </w:r>
                                                        <w:r w:rsidR="00A41789" w:rsidRPr="002434C5">
                                                          <w:rPr>
                                                            <w:rFonts w:eastAsia="Times New Roman" w:cs="Times New Roman"/>
                                                            <w:color w:val="auto"/>
                                                          </w:rPr>
                                                          <w:t>het bericht ‘Koop nu, baal later:</w:t>
                                                        </w:r>
                                                      </w:p>
                                                      <w:p w14:paraId="3B6ADB82" w14:textId="29F0E640" w:rsidR="00A41789" w:rsidRPr="00A41789" w:rsidRDefault="00A41789" w:rsidP="00A41789">
                                                        <w:pPr>
                                                          <w:autoSpaceDN/>
                                                          <w:spacing w:line="240" w:lineRule="auto"/>
                                                          <w:textAlignment w:val="auto"/>
                                                          <w:rPr>
                                                            <w:rFonts w:eastAsia="Times New Roman" w:cs="Times New Roman"/>
                                                            <w:color w:val="auto"/>
                                                            <w:sz w:val="17"/>
                                                            <w:szCs w:val="17"/>
                                                          </w:rPr>
                                                        </w:pPr>
                                                        <w:r w:rsidRPr="002434C5">
                                                          <w:rPr>
                                                            <w:rFonts w:eastAsia="Times New Roman" w:cs="Times New Roman"/>
                                                            <w:color w:val="auto"/>
                                                          </w:rPr>
                                                          <w:t xml:space="preserve">  hoe </w:t>
                                                        </w:r>
                                                        <w:proofErr w:type="spellStart"/>
                                                        <w:r w:rsidRPr="002434C5">
                                                          <w:rPr>
                                                            <w:rFonts w:eastAsia="Times New Roman" w:cs="Times New Roman"/>
                                                            <w:color w:val="auto"/>
                                                          </w:rPr>
                                                          <w:t>Klarna</w:t>
                                                        </w:r>
                                                        <w:proofErr w:type="spellEnd"/>
                                                        <w:r w:rsidRPr="002434C5">
                                                          <w:rPr>
                                                            <w:rFonts w:eastAsia="Times New Roman" w:cs="Times New Roman"/>
                                                            <w:color w:val="auto"/>
                                                          </w:rPr>
                                                          <w:t>-klanten vastlopen in dubieuze incasso</w:t>
                                                        </w:r>
                                                        <w:r w:rsidRPr="002434C5">
                                                          <w:rPr>
                                                            <w:rFonts w:eastAsia="Times New Roman" w:cs="Times New Roman"/>
                                                            <w:color w:val="auto"/>
                                                          </w:rPr>
                                                          <w:softHyphen/>
                                                          <w:t>trajecten’</w:t>
                                                        </w:r>
                                                      </w:p>
                                                    </w:tc>
                                                  </w:tr>
                                                </w:tbl>
                                                <w:p w14:paraId="2EC55718" w14:textId="77777777" w:rsidR="00A41789" w:rsidRPr="00A41789" w:rsidRDefault="00A41789" w:rsidP="00A41789">
                                                  <w:pPr>
                                                    <w:autoSpaceDN/>
                                                    <w:spacing w:line="240" w:lineRule="auto"/>
                                                    <w:textAlignment w:val="auto"/>
                                                    <w:rPr>
                                                      <w:rFonts w:eastAsia="Times New Roman" w:cs="Times New Roman"/>
                                                      <w:sz w:val="17"/>
                                                      <w:szCs w:val="17"/>
                                                    </w:rPr>
                                                  </w:pPr>
                                                </w:p>
                                              </w:tc>
                                            </w:tr>
                                          </w:tbl>
                                          <w:p w14:paraId="0B051967" w14:textId="4C614345" w:rsidR="00A7552A" w:rsidRPr="00A7552A" w:rsidRDefault="00A7552A" w:rsidP="00A7552A">
                                            <w:pPr>
                                              <w:autoSpaceDN/>
                                              <w:spacing w:line="240" w:lineRule="auto"/>
                                              <w:textAlignment w:val="auto"/>
                                              <w:rPr>
                                                <w:rFonts w:eastAsia="Times New Roman" w:cs="Times New Roman"/>
                                                <w:color w:val="auto"/>
                                                <w:sz w:val="17"/>
                                                <w:szCs w:val="17"/>
                                              </w:rPr>
                                            </w:pPr>
                                          </w:p>
                                        </w:tc>
                                      </w:tr>
                                    </w:tbl>
                                    <w:p w14:paraId="343C4E9B" w14:textId="77777777" w:rsidR="00A7552A" w:rsidRPr="00A7552A" w:rsidRDefault="00A7552A" w:rsidP="00A7552A">
                                      <w:pPr>
                                        <w:autoSpaceDN/>
                                        <w:spacing w:line="240" w:lineRule="auto"/>
                                        <w:textAlignment w:val="auto"/>
                                        <w:rPr>
                                          <w:rFonts w:eastAsia="Times New Roman" w:cs="Times New Roman"/>
                                          <w:sz w:val="17"/>
                                          <w:szCs w:val="17"/>
                                        </w:rPr>
                                      </w:pPr>
                                    </w:p>
                                  </w:tc>
                                </w:tr>
                              </w:tbl>
                              <w:p w14:paraId="3D556DD8" w14:textId="77C8391C" w:rsidR="00F37421" w:rsidRDefault="00F37421"/>
                            </w:tc>
                          </w:tr>
                        </w:tbl>
                        <w:p w14:paraId="3A08FBE9" w14:textId="77777777" w:rsidR="007C7AD8" w:rsidRDefault="007C7AD8"/>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6205DD0" id="1670fa0c-13cb-45ec-92be-ef1f34d237c5" o:spid="_x0000_s1034" type="#_x0000_t202" style="position:absolute;margin-left:325.8pt;margin-top:264.2pt;width:377pt;height:48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37421" w14:paraId="3CE2F02C" w14:textId="77777777">
                      <w:trPr>
                        <w:trHeight w:val="240"/>
                      </w:trPr>
                      <w:tc>
                        <w:tcPr>
                          <w:tcW w:w="1140" w:type="dxa"/>
                        </w:tcPr>
                        <w:p w14:paraId="05C76FAA" w14:textId="77777777" w:rsidR="00F37421" w:rsidRDefault="009B5922">
                          <w:r>
                            <w:t>Datum</w:t>
                          </w:r>
                        </w:p>
                      </w:tc>
                      <w:tc>
                        <w:tcPr>
                          <w:tcW w:w="5918" w:type="dxa"/>
                        </w:tcPr>
                        <w:p w14:paraId="4F13925E" w14:textId="759ADC95" w:rsidR="00F37421" w:rsidRDefault="005015C3">
                          <w:sdt>
                            <w:sdtPr>
                              <w:id w:val="168601535"/>
                              <w:date w:fullDate="2026-02-03T00:00:00Z">
                                <w:dateFormat w:val="d MMMM yyyy"/>
                                <w:lid w:val="nl"/>
                                <w:storeMappedDataAs w:val="dateTime"/>
                                <w:calendar w:val="gregorian"/>
                              </w:date>
                            </w:sdtPr>
                            <w:sdtEndPr/>
                            <w:sdtContent>
                              <w:r w:rsidR="00463D4A">
                                <w:rPr>
                                  <w:lang w:val="nl"/>
                                </w:rPr>
                                <w:t>3 februari 2026</w:t>
                              </w:r>
                            </w:sdtContent>
                          </w:sdt>
                        </w:p>
                      </w:tc>
                    </w:tr>
                    <w:tr w:rsidR="00F37421" w14:paraId="1163BAFB" w14:textId="77777777">
                      <w:trPr>
                        <w:trHeight w:val="240"/>
                      </w:trPr>
                      <w:tc>
                        <w:tcPr>
                          <w:tcW w:w="1140" w:type="dxa"/>
                        </w:tcPr>
                        <w:p w14:paraId="6924A186" w14:textId="77777777" w:rsidR="00F37421" w:rsidRDefault="009B5922">
                          <w:r>
                            <w:t>Betreft</w:t>
                          </w:r>
                        </w:p>
                      </w:tc>
                      <w:tc>
                        <w:tcPr>
                          <w:tcW w:w="5918" w:type="dxa"/>
                        </w:tcPr>
                        <w:tbl>
                          <w:tblPr>
                            <w:tblW w:w="7814" w:type="dxa"/>
                            <w:tblCellMar>
                              <w:left w:w="0" w:type="dxa"/>
                              <w:right w:w="0" w:type="dxa"/>
                            </w:tblCellMar>
                            <w:tblLook w:val="04A0" w:firstRow="1" w:lastRow="0" w:firstColumn="1" w:lastColumn="0" w:noHBand="0" w:noVBand="1"/>
                          </w:tblPr>
                          <w:tblGrid>
                            <w:gridCol w:w="7814"/>
                          </w:tblGrid>
                          <w:tr w:rsidR="00A7552A" w:rsidRPr="00A7552A" w14:paraId="08A04FC7" w14:textId="77777777" w:rsidTr="00A7552A">
                            <w:tc>
                              <w:tcPr>
                                <w:tcW w:w="7814" w:type="dxa"/>
                                <w:vAlign w:val="center"/>
                                <w:hideMark/>
                              </w:tcPr>
                              <w:tbl>
                                <w:tblPr>
                                  <w:tblW w:w="0" w:type="auto"/>
                                  <w:tblCellMar>
                                    <w:left w:w="0" w:type="dxa"/>
                                    <w:right w:w="0" w:type="dxa"/>
                                  </w:tblCellMar>
                                  <w:tblLook w:val="04A0" w:firstRow="1" w:lastRow="0" w:firstColumn="1" w:lastColumn="0" w:noHBand="0" w:noVBand="1"/>
                                </w:tblPr>
                                <w:tblGrid>
                                  <w:gridCol w:w="7814"/>
                                </w:tblGrid>
                                <w:tr w:rsidR="00A7552A" w:rsidRPr="00A7552A" w14:paraId="5DAC40BC" w14:textId="77777777">
                                  <w:tc>
                                    <w:tcPr>
                                      <w:tcW w:w="7814" w:type="dxa"/>
                                      <w:vAlign w:val="center"/>
                                      <w:hideMark/>
                                    </w:tcPr>
                                    <w:tbl>
                                      <w:tblPr>
                                        <w:tblW w:w="7850" w:type="dxa"/>
                                        <w:tblCellMar>
                                          <w:left w:w="0" w:type="dxa"/>
                                          <w:right w:w="0" w:type="dxa"/>
                                        </w:tblCellMar>
                                        <w:tblLook w:val="04A0" w:firstRow="1" w:lastRow="0" w:firstColumn="1" w:lastColumn="0" w:noHBand="0" w:noVBand="1"/>
                                      </w:tblPr>
                                      <w:tblGrid>
                                        <w:gridCol w:w="7850"/>
                                      </w:tblGrid>
                                      <w:tr w:rsidR="00A41789" w:rsidRPr="00A41789" w14:paraId="63AB0AB5" w14:textId="77777777" w:rsidTr="00A41789">
                                        <w:tc>
                                          <w:tcPr>
                                            <w:tcW w:w="7850" w:type="dxa"/>
                                            <w:vAlign w:val="center"/>
                                            <w:hideMark/>
                                          </w:tcPr>
                                          <w:tbl>
                                            <w:tblPr>
                                              <w:tblW w:w="0" w:type="auto"/>
                                              <w:tblCellMar>
                                                <w:left w:w="0" w:type="dxa"/>
                                                <w:right w:w="0" w:type="dxa"/>
                                              </w:tblCellMar>
                                              <w:tblLook w:val="04A0" w:firstRow="1" w:lastRow="0" w:firstColumn="1" w:lastColumn="0" w:noHBand="0" w:noVBand="1"/>
                                            </w:tblPr>
                                            <w:tblGrid>
                                              <w:gridCol w:w="7850"/>
                                            </w:tblGrid>
                                            <w:tr w:rsidR="00A41789" w:rsidRPr="00A41789" w14:paraId="0D73CE7D" w14:textId="77777777" w:rsidTr="002434C5">
                                              <w:trPr>
                                                <w:trHeight w:val="334"/>
                                              </w:trPr>
                                              <w:tc>
                                                <w:tcPr>
                                                  <w:tcW w:w="7850" w:type="dxa"/>
                                                  <w:vAlign w:val="center"/>
                                                  <w:hideMark/>
                                                </w:tcPr>
                                                <w:p w14:paraId="280F1B44" w14:textId="0AB019B7" w:rsidR="00A41789" w:rsidRPr="002434C5" w:rsidRDefault="00A7552A" w:rsidP="00A41789">
                                                  <w:pPr>
                                                    <w:autoSpaceDN/>
                                                    <w:spacing w:line="240" w:lineRule="auto"/>
                                                    <w:textAlignment w:val="auto"/>
                                                    <w:rPr>
                                                      <w:rFonts w:eastAsia="Times New Roman" w:cs="Times New Roman"/>
                                                      <w:color w:val="auto"/>
                                                    </w:rPr>
                                                  </w:pPr>
                                                  <w:r>
                                                    <w:t xml:space="preserve">  </w:t>
                                                  </w:r>
                                                  <w:r w:rsidR="00463D4A">
                                                    <w:t>Antwoorden</w:t>
                                                  </w:r>
                                                  <w:r w:rsidRPr="002434C5">
                                                    <w:t xml:space="preserve"> Kamervragen over</w:t>
                                                  </w:r>
                                                  <w:r w:rsidR="00A41789" w:rsidRPr="002434C5">
                                                    <w:t xml:space="preserve"> </w:t>
                                                  </w:r>
                                                  <w:r w:rsidR="00A41789" w:rsidRPr="002434C5">
                                                    <w:rPr>
                                                      <w:rFonts w:eastAsia="Times New Roman" w:cs="Times New Roman"/>
                                                      <w:color w:val="auto"/>
                                                    </w:rPr>
                                                    <w:t>het bericht ‘Koop nu, baal later:</w:t>
                                                  </w:r>
                                                </w:p>
                                                <w:p w14:paraId="3B6ADB82" w14:textId="29F0E640" w:rsidR="00A41789" w:rsidRPr="00A41789" w:rsidRDefault="00A41789" w:rsidP="00A41789">
                                                  <w:pPr>
                                                    <w:autoSpaceDN/>
                                                    <w:spacing w:line="240" w:lineRule="auto"/>
                                                    <w:textAlignment w:val="auto"/>
                                                    <w:rPr>
                                                      <w:rFonts w:eastAsia="Times New Roman" w:cs="Times New Roman"/>
                                                      <w:color w:val="auto"/>
                                                      <w:sz w:val="17"/>
                                                      <w:szCs w:val="17"/>
                                                    </w:rPr>
                                                  </w:pPr>
                                                  <w:r w:rsidRPr="002434C5">
                                                    <w:rPr>
                                                      <w:rFonts w:eastAsia="Times New Roman" w:cs="Times New Roman"/>
                                                      <w:color w:val="auto"/>
                                                    </w:rPr>
                                                    <w:t xml:space="preserve">  hoe </w:t>
                                                  </w:r>
                                                  <w:proofErr w:type="spellStart"/>
                                                  <w:r w:rsidRPr="002434C5">
                                                    <w:rPr>
                                                      <w:rFonts w:eastAsia="Times New Roman" w:cs="Times New Roman"/>
                                                      <w:color w:val="auto"/>
                                                    </w:rPr>
                                                    <w:t>Klarna</w:t>
                                                  </w:r>
                                                  <w:proofErr w:type="spellEnd"/>
                                                  <w:r w:rsidRPr="002434C5">
                                                    <w:rPr>
                                                      <w:rFonts w:eastAsia="Times New Roman" w:cs="Times New Roman"/>
                                                      <w:color w:val="auto"/>
                                                    </w:rPr>
                                                    <w:t>-klanten vastlopen in dubieuze incasso</w:t>
                                                  </w:r>
                                                  <w:r w:rsidRPr="002434C5">
                                                    <w:rPr>
                                                      <w:rFonts w:eastAsia="Times New Roman" w:cs="Times New Roman"/>
                                                      <w:color w:val="auto"/>
                                                    </w:rPr>
                                                    <w:softHyphen/>
                                                    <w:t>trajecten’</w:t>
                                                  </w:r>
                                                </w:p>
                                              </w:tc>
                                            </w:tr>
                                          </w:tbl>
                                          <w:p w14:paraId="2EC55718" w14:textId="77777777" w:rsidR="00A41789" w:rsidRPr="00A41789" w:rsidRDefault="00A41789" w:rsidP="00A41789">
                                            <w:pPr>
                                              <w:autoSpaceDN/>
                                              <w:spacing w:line="240" w:lineRule="auto"/>
                                              <w:textAlignment w:val="auto"/>
                                              <w:rPr>
                                                <w:rFonts w:eastAsia="Times New Roman" w:cs="Times New Roman"/>
                                                <w:sz w:val="17"/>
                                                <w:szCs w:val="17"/>
                                              </w:rPr>
                                            </w:pPr>
                                          </w:p>
                                        </w:tc>
                                      </w:tr>
                                    </w:tbl>
                                    <w:p w14:paraId="0B051967" w14:textId="4C614345" w:rsidR="00A7552A" w:rsidRPr="00A7552A" w:rsidRDefault="00A7552A" w:rsidP="00A7552A">
                                      <w:pPr>
                                        <w:autoSpaceDN/>
                                        <w:spacing w:line="240" w:lineRule="auto"/>
                                        <w:textAlignment w:val="auto"/>
                                        <w:rPr>
                                          <w:rFonts w:eastAsia="Times New Roman" w:cs="Times New Roman"/>
                                          <w:color w:val="auto"/>
                                          <w:sz w:val="17"/>
                                          <w:szCs w:val="17"/>
                                        </w:rPr>
                                      </w:pPr>
                                    </w:p>
                                  </w:tc>
                                </w:tr>
                              </w:tbl>
                              <w:p w14:paraId="343C4E9B" w14:textId="77777777" w:rsidR="00A7552A" w:rsidRPr="00A7552A" w:rsidRDefault="00A7552A" w:rsidP="00A7552A">
                                <w:pPr>
                                  <w:autoSpaceDN/>
                                  <w:spacing w:line="240" w:lineRule="auto"/>
                                  <w:textAlignment w:val="auto"/>
                                  <w:rPr>
                                    <w:rFonts w:eastAsia="Times New Roman" w:cs="Times New Roman"/>
                                    <w:sz w:val="17"/>
                                    <w:szCs w:val="17"/>
                                  </w:rPr>
                                </w:pPr>
                              </w:p>
                            </w:tc>
                          </w:tr>
                        </w:tbl>
                        <w:p w14:paraId="3D556DD8" w14:textId="77C8391C" w:rsidR="00F37421" w:rsidRDefault="00F37421"/>
                      </w:tc>
                    </w:tr>
                  </w:tbl>
                  <w:p w14:paraId="3A08FBE9" w14:textId="77777777" w:rsidR="007C7AD8" w:rsidRDefault="007C7AD8"/>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BA4C32C" wp14:editId="7AE059E8">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5C34BEE" w14:textId="77777777" w:rsidR="00A7552A" w:rsidRDefault="00A7552A" w:rsidP="00A7552A">
                          <w:pPr>
                            <w:pStyle w:val="Referentiegegevensbold"/>
                          </w:pPr>
                          <w:r>
                            <w:t>Directoraat-Generaal Rechtspleging en Rechtshandhaving</w:t>
                          </w:r>
                        </w:p>
                        <w:p w14:paraId="30449286" w14:textId="77777777" w:rsidR="00A7552A" w:rsidRDefault="00A7552A" w:rsidP="00A7552A">
                          <w:pPr>
                            <w:pStyle w:val="Referentiegegevens"/>
                          </w:pPr>
                          <w:r>
                            <w:t>Directie Rechtshandhaving en Criminaliteitsbestrijding</w:t>
                          </w:r>
                        </w:p>
                        <w:p w14:paraId="51B5E6D6" w14:textId="77777777" w:rsidR="00A7552A" w:rsidRPr="004E73AD" w:rsidRDefault="00A7552A" w:rsidP="00A7552A"/>
                        <w:p w14:paraId="4A657682" w14:textId="77777777" w:rsidR="00A7552A" w:rsidRPr="00164101" w:rsidRDefault="00A7552A" w:rsidP="00A7552A">
                          <w:pPr>
                            <w:pStyle w:val="Referentiegegevens"/>
                            <w:rPr>
                              <w:lang w:val="de-DE"/>
                            </w:rPr>
                          </w:pPr>
                          <w:proofErr w:type="spellStart"/>
                          <w:r w:rsidRPr="00164101">
                            <w:rPr>
                              <w:lang w:val="de-DE"/>
                            </w:rPr>
                            <w:t>Turfmarkt</w:t>
                          </w:r>
                          <w:proofErr w:type="spellEnd"/>
                          <w:r w:rsidRPr="00164101">
                            <w:rPr>
                              <w:lang w:val="de-DE"/>
                            </w:rPr>
                            <w:t xml:space="preserve"> 147</w:t>
                          </w:r>
                        </w:p>
                        <w:p w14:paraId="3180401B" w14:textId="77777777" w:rsidR="00A7552A" w:rsidRPr="00164101" w:rsidRDefault="00A7552A" w:rsidP="00A7552A">
                          <w:pPr>
                            <w:pStyle w:val="Referentiegegevens"/>
                            <w:rPr>
                              <w:lang w:val="de-DE"/>
                            </w:rPr>
                          </w:pPr>
                          <w:r w:rsidRPr="00164101">
                            <w:rPr>
                              <w:lang w:val="de-DE"/>
                            </w:rPr>
                            <w:t>2511 DP   Den Haag</w:t>
                          </w:r>
                        </w:p>
                        <w:p w14:paraId="20280E59" w14:textId="77777777" w:rsidR="00A7552A" w:rsidRPr="00164101" w:rsidRDefault="00A7552A" w:rsidP="00A7552A">
                          <w:pPr>
                            <w:pStyle w:val="Referentiegegevens"/>
                            <w:rPr>
                              <w:lang w:val="de-DE"/>
                            </w:rPr>
                          </w:pPr>
                          <w:r w:rsidRPr="00164101">
                            <w:rPr>
                              <w:lang w:val="de-DE"/>
                            </w:rPr>
                            <w:t>Postbus 20301</w:t>
                          </w:r>
                        </w:p>
                        <w:p w14:paraId="3BBB2B33" w14:textId="77777777" w:rsidR="00A7552A" w:rsidRPr="00164101" w:rsidRDefault="00A7552A" w:rsidP="00A7552A">
                          <w:pPr>
                            <w:pStyle w:val="Referentiegegevens"/>
                            <w:rPr>
                              <w:lang w:val="de-DE"/>
                            </w:rPr>
                          </w:pPr>
                          <w:r w:rsidRPr="00164101">
                            <w:rPr>
                              <w:lang w:val="de-DE"/>
                            </w:rPr>
                            <w:t>2500 EH   Den Haag</w:t>
                          </w:r>
                        </w:p>
                        <w:p w14:paraId="16750637" w14:textId="77777777" w:rsidR="00A7552A" w:rsidRPr="00164101" w:rsidRDefault="00A7552A" w:rsidP="00A7552A">
                          <w:pPr>
                            <w:pStyle w:val="Referentiegegevens"/>
                            <w:rPr>
                              <w:lang w:val="de-DE"/>
                            </w:rPr>
                          </w:pPr>
                          <w:r w:rsidRPr="00164101">
                            <w:rPr>
                              <w:lang w:val="de-DE"/>
                            </w:rPr>
                            <w:t>www.rijksoverheid.nl/jenv</w:t>
                          </w:r>
                        </w:p>
                        <w:p w14:paraId="09EDADB9" w14:textId="6983F10C" w:rsidR="00F37421" w:rsidRPr="00164101" w:rsidRDefault="00F37421">
                          <w:pPr>
                            <w:pStyle w:val="Referentiegegevensbold"/>
                            <w:rPr>
                              <w:lang w:val="de-DE"/>
                            </w:rPr>
                          </w:pPr>
                        </w:p>
                        <w:p w14:paraId="7E2E453B" w14:textId="77777777" w:rsidR="00F37421" w:rsidRPr="00164101" w:rsidRDefault="00F37421">
                          <w:pPr>
                            <w:pStyle w:val="WitregelW1"/>
                            <w:rPr>
                              <w:lang w:val="de-DE"/>
                            </w:rPr>
                          </w:pPr>
                        </w:p>
                        <w:p w14:paraId="5022DD05" w14:textId="77777777" w:rsidR="00F37421" w:rsidRDefault="009B5922">
                          <w:pPr>
                            <w:pStyle w:val="Referentiegegevens"/>
                          </w:pPr>
                          <w:r>
                            <w:t>www.rijksoverheid.nl/jenv</w:t>
                          </w:r>
                        </w:p>
                        <w:p w14:paraId="6485FAEE" w14:textId="77777777" w:rsidR="00F37421" w:rsidRDefault="00F37421">
                          <w:pPr>
                            <w:pStyle w:val="WitregelW1"/>
                          </w:pPr>
                        </w:p>
                        <w:p w14:paraId="02F86ECE" w14:textId="77777777" w:rsidR="00F37421" w:rsidRDefault="009B5922">
                          <w:pPr>
                            <w:pStyle w:val="Referentiegegevensbold"/>
                          </w:pPr>
                          <w:r>
                            <w:t>Onze referentie</w:t>
                          </w:r>
                        </w:p>
                        <w:p w14:paraId="0FBF8F5C" w14:textId="77777777" w:rsidR="00F37421" w:rsidRDefault="009B5922">
                          <w:pPr>
                            <w:pStyle w:val="Referentiegegevens"/>
                          </w:pPr>
                          <w:r>
                            <w:t>7089417</w:t>
                          </w:r>
                        </w:p>
                        <w:p w14:paraId="42EB6A95" w14:textId="77777777" w:rsidR="00F37421" w:rsidRDefault="00F37421">
                          <w:pPr>
                            <w:pStyle w:val="WitregelW1"/>
                          </w:pPr>
                        </w:p>
                        <w:p w14:paraId="5C649C69" w14:textId="77777777" w:rsidR="00F37421" w:rsidRDefault="009B5922">
                          <w:pPr>
                            <w:pStyle w:val="Referentiegegevensbold"/>
                          </w:pPr>
                          <w:r>
                            <w:t>Uw referentie</w:t>
                          </w:r>
                        </w:p>
                        <w:p w14:paraId="1AD15086" w14:textId="236A33C7" w:rsidR="00F37421" w:rsidRDefault="00DE2CBD" w:rsidP="00DE2CBD">
                          <w:pPr>
                            <w:pStyle w:val="Referentiegegevens"/>
                          </w:pPr>
                          <w:r w:rsidRPr="00DE2CBD">
                            <w:t>2025Z19857</w:t>
                          </w:r>
                        </w:p>
                      </w:txbxContent>
                    </wps:txbx>
                    <wps:bodyPr vert="horz" wrap="square" lIns="0" tIns="0" rIns="0" bIns="0" anchor="t" anchorCtr="0"/>
                  </wps:wsp>
                </a:graphicData>
              </a:graphic>
            </wp:anchor>
          </w:drawing>
        </mc:Choice>
        <mc:Fallback>
          <w:pict>
            <v:shape w14:anchorId="7BA4C32C"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5C34BEE" w14:textId="77777777" w:rsidR="00A7552A" w:rsidRDefault="00A7552A" w:rsidP="00A7552A">
                    <w:pPr>
                      <w:pStyle w:val="Referentiegegevensbold"/>
                    </w:pPr>
                    <w:r>
                      <w:t>Directoraat-Generaal Rechtspleging en Rechtshandhaving</w:t>
                    </w:r>
                  </w:p>
                  <w:p w14:paraId="30449286" w14:textId="77777777" w:rsidR="00A7552A" w:rsidRDefault="00A7552A" w:rsidP="00A7552A">
                    <w:pPr>
                      <w:pStyle w:val="Referentiegegevens"/>
                    </w:pPr>
                    <w:r>
                      <w:t>Directie Rechtshandhaving en Criminaliteitsbestrijding</w:t>
                    </w:r>
                  </w:p>
                  <w:p w14:paraId="51B5E6D6" w14:textId="77777777" w:rsidR="00A7552A" w:rsidRPr="004E73AD" w:rsidRDefault="00A7552A" w:rsidP="00A7552A"/>
                  <w:p w14:paraId="4A657682" w14:textId="77777777" w:rsidR="00A7552A" w:rsidRPr="00164101" w:rsidRDefault="00A7552A" w:rsidP="00A7552A">
                    <w:pPr>
                      <w:pStyle w:val="Referentiegegevens"/>
                      <w:rPr>
                        <w:lang w:val="de-DE"/>
                      </w:rPr>
                    </w:pPr>
                    <w:proofErr w:type="spellStart"/>
                    <w:r w:rsidRPr="00164101">
                      <w:rPr>
                        <w:lang w:val="de-DE"/>
                      </w:rPr>
                      <w:t>Turfmarkt</w:t>
                    </w:r>
                    <w:proofErr w:type="spellEnd"/>
                    <w:r w:rsidRPr="00164101">
                      <w:rPr>
                        <w:lang w:val="de-DE"/>
                      </w:rPr>
                      <w:t xml:space="preserve"> 147</w:t>
                    </w:r>
                  </w:p>
                  <w:p w14:paraId="3180401B" w14:textId="77777777" w:rsidR="00A7552A" w:rsidRPr="00164101" w:rsidRDefault="00A7552A" w:rsidP="00A7552A">
                    <w:pPr>
                      <w:pStyle w:val="Referentiegegevens"/>
                      <w:rPr>
                        <w:lang w:val="de-DE"/>
                      </w:rPr>
                    </w:pPr>
                    <w:r w:rsidRPr="00164101">
                      <w:rPr>
                        <w:lang w:val="de-DE"/>
                      </w:rPr>
                      <w:t>2511 DP   Den Haag</w:t>
                    </w:r>
                  </w:p>
                  <w:p w14:paraId="20280E59" w14:textId="77777777" w:rsidR="00A7552A" w:rsidRPr="00164101" w:rsidRDefault="00A7552A" w:rsidP="00A7552A">
                    <w:pPr>
                      <w:pStyle w:val="Referentiegegevens"/>
                      <w:rPr>
                        <w:lang w:val="de-DE"/>
                      </w:rPr>
                    </w:pPr>
                    <w:r w:rsidRPr="00164101">
                      <w:rPr>
                        <w:lang w:val="de-DE"/>
                      </w:rPr>
                      <w:t>Postbus 20301</w:t>
                    </w:r>
                  </w:p>
                  <w:p w14:paraId="3BBB2B33" w14:textId="77777777" w:rsidR="00A7552A" w:rsidRPr="00164101" w:rsidRDefault="00A7552A" w:rsidP="00A7552A">
                    <w:pPr>
                      <w:pStyle w:val="Referentiegegevens"/>
                      <w:rPr>
                        <w:lang w:val="de-DE"/>
                      </w:rPr>
                    </w:pPr>
                    <w:r w:rsidRPr="00164101">
                      <w:rPr>
                        <w:lang w:val="de-DE"/>
                      </w:rPr>
                      <w:t>2500 EH   Den Haag</w:t>
                    </w:r>
                  </w:p>
                  <w:p w14:paraId="16750637" w14:textId="77777777" w:rsidR="00A7552A" w:rsidRPr="00164101" w:rsidRDefault="00A7552A" w:rsidP="00A7552A">
                    <w:pPr>
                      <w:pStyle w:val="Referentiegegevens"/>
                      <w:rPr>
                        <w:lang w:val="de-DE"/>
                      </w:rPr>
                    </w:pPr>
                    <w:r w:rsidRPr="00164101">
                      <w:rPr>
                        <w:lang w:val="de-DE"/>
                      </w:rPr>
                      <w:t>www.rijksoverheid.nl/jenv</w:t>
                    </w:r>
                  </w:p>
                  <w:p w14:paraId="09EDADB9" w14:textId="6983F10C" w:rsidR="00F37421" w:rsidRPr="00164101" w:rsidRDefault="00F37421">
                    <w:pPr>
                      <w:pStyle w:val="Referentiegegevensbold"/>
                      <w:rPr>
                        <w:lang w:val="de-DE"/>
                      </w:rPr>
                    </w:pPr>
                  </w:p>
                  <w:p w14:paraId="7E2E453B" w14:textId="77777777" w:rsidR="00F37421" w:rsidRPr="00164101" w:rsidRDefault="00F37421">
                    <w:pPr>
                      <w:pStyle w:val="WitregelW1"/>
                      <w:rPr>
                        <w:lang w:val="de-DE"/>
                      </w:rPr>
                    </w:pPr>
                  </w:p>
                  <w:p w14:paraId="5022DD05" w14:textId="77777777" w:rsidR="00F37421" w:rsidRDefault="009B5922">
                    <w:pPr>
                      <w:pStyle w:val="Referentiegegevens"/>
                    </w:pPr>
                    <w:r>
                      <w:t>www.rijksoverheid.nl/jenv</w:t>
                    </w:r>
                  </w:p>
                  <w:p w14:paraId="6485FAEE" w14:textId="77777777" w:rsidR="00F37421" w:rsidRDefault="00F37421">
                    <w:pPr>
                      <w:pStyle w:val="WitregelW1"/>
                    </w:pPr>
                  </w:p>
                  <w:p w14:paraId="02F86ECE" w14:textId="77777777" w:rsidR="00F37421" w:rsidRDefault="009B5922">
                    <w:pPr>
                      <w:pStyle w:val="Referentiegegevensbold"/>
                    </w:pPr>
                    <w:r>
                      <w:t>Onze referentie</w:t>
                    </w:r>
                  </w:p>
                  <w:p w14:paraId="0FBF8F5C" w14:textId="77777777" w:rsidR="00F37421" w:rsidRDefault="009B5922">
                    <w:pPr>
                      <w:pStyle w:val="Referentiegegevens"/>
                    </w:pPr>
                    <w:r>
                      <w:t>7089417</w:t>
                    </w:r>
                  </w:p>
                  <w:p w14:paraId="42EB6A95" w14:textId="77777777" w:rsidR="00F37421" w:rsidRDefault="00F37421">
                    <w:pPr>
                      <w:pStyle w:val="WitregelW1"/>
                    </w:pPr>
                  </w:p>
                  <w:p w14:paraId="5C649C69" w14:textId="77777777" w:rsidR="00F37421" w:rsidRDefault="009B5922">
                    <w:pPr>
                      <w:pStyle w:val="Referentiegegevensbold"/>
                    </w:pPr>
                    <w:r>
                      <w:t>Uw referentie</w:t>
                    </w:r>
                  </w:p>
                  <w:p w14:paraId="1AD15086" w14:textId="236A33C7" w:rsidR="00F37421" w:rsidRDefault="00DE2CBD" w:rsidP="00DE2CBD">
                    <w:pPr>
                      <w:pStyle w:val="Referentiegegevens"/>
                    </w:pPr>
                    <w:r w:rsidRPr="00DE2CBD">
                      <w:t>2025Z19857</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E611D8" wp14:editId="144748F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A38A686" w14:textId="77777777" w:rsidR="00F37421" w:rsidRDefault="009B5922">
                          <w:pPr>
                            <w:pStyle w:val="Referentiegegevens"/>
                          </w:pPr>
                          <w:r>
                            <w:t xml:space="preserve">Pagina </w:t>
                          </w:r>
                          <w:r>
                            <w:fldChar w:fldCharType="begin"/>
                          </w:r>
                          <w:r>
                            <w:instrText>PAGE</w:instrText>
                          </w:r>
                          <w:r>
                            <w:fldChar w:fldCharType="separate"/>
                          </w:r>
                          <w:r w:rsidR="00A7552A">
                            <w:rPr>
                              <w:noProof/>
                            </w:rPr>
                            <w:t>1</w:t>
                          </w:r>
                          <w:r>
                            <w:fldChar w:fldCharType="end"/>
                          </w:r>
                          <w:r>
                            <w:t xml:space="preserve"> van </w:t>
                          </w:r>
                          <w:r>
                            <w:fldChar w:fldCharType="begin"/>
                          </w:r>
                          <w:r>
                            <w:instrText>NUMPAGES</w:instrText>
                          </w:r>
                          <w:r>
                            <w:fldChar w:fldCharType="separate"/>
                          </w:r>
                          <w:r w:rsidR="00A7552A">
                            <w:rPr>
                              <w:noProof/>
                            </w:rPr>
                            <w:t>1</w:t>
                          </w:r>
                          <w:r>
                            <w:fldChar w:fldCharType="end"/>
                          </w:r>
                        </w:p>
                      </w:txbxContent>
                    </wps:txbx>
                    <wps:bodyPr vert="horz" wrap="square" lIns="0" tIns="0" rIns="0" bIns="0" anchor="t" anchorCtr="0"/>
                  </wps:wsp>
                </a:graphicData>
              </a:graphic>
            </wp:anchor>
          </w:drawing>
        </mc:Choice>
        <mc:Fallback>
          <w:pict>
            <v:shape w14:anchorId="0BE611D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A38A686" w14:textId="77777777" w:rsidR="00F37421" w:rsidRDefault="009B5922">
                    <w:pPr>
                      <w:pStyle w:val="Referentiegegevens"/>
                    </w:pPr>
                    <w:r>
                      <w:t xml:space="preserve">Pagina </w:t>
                    </w:r>
                    <w:r>
                      <w:fldChar w:fldCharType="begin"/>
                    </w:r>
                    <w:r>
                      <w:instrText>PAGE</w:instrText>
                    </w:r>
                    <w:r>
                      <w:fldChar w:fldCharType="separate"/>
                    </w:r>
                    <w:r w:rsidR="00A7552A">
                      <w:rPr>
                        <w:noProof/>
                      </w:rPr>
                      <w:t>1</w:t>
                    </w:r>
                    <w:r>
                      <w:fldChar w:fldCharType="end"/>
                    </w:r>
                    <w:r>
                      <w:t xml:space="preserve"> van </w:t>
                    </w:r>
                    <w:r>
                      <w:fldChar w:fldCharType="begin"/>
                    </w:r>
                    <w:r>
                      <w:instrText>NUMPAGES</w:instrText>
                    </w:r>
                    <w:r>
                      <w:fldChar w:fldCharType="separate"/>
                    </w:r>
                    <w:r w:rsidR="00A7552A">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DC7CA42" wp14:editId="44A7103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1DA6E4" w14:textId="77777777" w:rsidR="007C7AD8" w:rsidRDefault="007C7AD8"/>
                      </w:txbxContent>
                    </wps:txbx>
                    <wps:bodyPr vert="horz" wrap="square" lIns="0" tIns="0" rIns="0" bIns="0" anchor="t" anchorCtr="0"/>
                  </wps:wsp>
                </a:graphicData>
              </a:graphic>
            </wp:anchor>
          </w:drawing>
        </mc:Choice>
        <mc:Fallback>
          <w:pict>
            <v:shape w14:anchorId="0DC7CA42"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A1DA6E4" w14:textId="77777777" w:rsidR="007C7AD8" w:rsidRDefault="007C7AD8"/>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A8D38E"/>
    <w:multiLevelType w:val="multilevel"/>
    <w:tmpl w:val="1D88B61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956D9BB8"/>
    <w:multiLevelType w:val="multilevel"/>
    <w:tmpl w:val="28BB746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9B94948"/>
    <w:multiLevelType w:val="multilevel"/>
    <w:tmpl w:val="F71084D5"/>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E3A81B0"/>
    <w:multiLevelType w:val="multilevel"/>
    <w:tmpl w:val="CE9D0E5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E94B18C"/>
    <w:multiLevelType w:val="multilevel"/>
    <w:tmpl w:val="CB7C19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35CE1D7E"/>
    <w:multiLevelType w:val="multilevel"/>
    <w:tmpl w:val="57A88DD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37F56AB9"/>
    <w:multiLevelType w:val="hybridMultilevel"/>
    <w:tmpl w:val="7466D6C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0B4103"/>
    <w:multiLevelType w:val="hybridMultilevel"/>
    <w:tmpl w:val="9CE6A92C"/>
    <w:lvl w:ilvl="0" w:tplc="7A3A9F5C">
      <w:start w:val="1"/>
      <w:numFmt w:val="decimal"/>
      <w:lvlText w:val="%1."/>
      <w:lvlJc w:val="left"/>
      <w:pPr>
        <w:ind w:left="720" w:hanging="360"/>
      </w:pPr>
    </w:lvl>
    <w:lvl w:ilvl="1" w:tplc="37902256">
      <w:start w:val="1"/>
      <w:numFmt w:val="lowerLetter"/>
      <w:lvlText w:val="%2."/>
      <w:lvlJc w:val="left"/>
      <w:pPr>
        <w:ind w:left="1440" w:hanging="360"/>
      </w:pPr>
    </w:lvl>
    <w:lvl w:ilvl="2" w:tplc="876A7D98">
      <w:start w:val="1"/>
      <w:numFmt w:val="lowerRoman"/>
      <w:lvlText w:val="%3."/>
      <w:lvlJc w:val="right"/>
      <w:pPr>
        <w:ind w:left="2160" w:hanging="180"/>
      </w:pPr>
    </w:lvl>
    <w:lvl w:ilvl="3" w:tplc="BD2015D2">
      <w:start w:val="1"/>
      <w:numFmt w:val="decimal"/>
      <w:lvlText w:val="%4."/>
      <w:lvlJc w:val="left"/>
      <w:pPr>
        <w:ind w:left="2880" w:hanging="360"/>
      </w:pPr>
    </w:lvl>
    <w:lvl w:ilvl="4" w:tplc="9F88C350">
      <w:start w:val="1"/>
      <w:numFmt w:val="lowerLetter"/>
      <w:lvlText w:val="%5."/>
      <w:lvlJc w:val="left"/>
      <w:pPr>
        <w:ind w:left="3600" w:hanging="360"/>
      </w:pPr>
    </w:lvl>
    <w:lvl w:ilvl="5" w:tplc="601A3170">
      <w:start w:val="1"/>
      <w:numFmt w:val="lowerRoman"/>
      <w:lvlText w:val="%6."/>
      <w:lvlJc w:val="right"/>
      <w:pPr>
        <w:ind w:left="4320" w:hanging="180"/>
      </w:pPr>
    </w:lvl>
    <w:lvl w:ilvl="6" w:tplc="E4E0F260">
      <w:start w:val="1"/>
      <w:numFmt w:val="decimal"/>
      <w:lvlText w:val="%7."/>
      <w:lvlJc w:val="left"/>
      <w:pPr>
        <w:ind w:left="5040" w:hanging="360"/>
      </w:pPr>
    </w:lvl>
    <w:lvl w:ilvl="7" w:tplc="D848D42C">
      <w:start w:val="1"/>
      <w:numFmt w:val="lowerLetter"/>
      <w:lvlText w:val="%8."/>
      <w:lvlJc w:val="left"/>
      <w:pPr>
        <w:ind w:left="5760" w:hanging="360"/>
      </w:pPr>
    </w:lvl>
    <w:lvl w:ilvl="8" w:tplc="50DC9844">
      <w:start w:val="1"/>
      <w:numFmt w:val="lowerRoman"/>
      <w:lvlText w:val="%9."/>
      <w:lvlJc w:val="right"/>
      <w:pPr>
        <w:ind w:left="6480" w:hanging="180"/>
      </w:pPr>
    </w:lvl>
  </w:abstractNum>
  <w:num w:numId="1" w16cid:durableId="198519476">
    <w:abstractNumId w:val="2"/>
  </w:num>
  <w:num w:numId="2" w16cid:durableId="1838424093">
    <w:abstractNumId w:val="1"/>
  </w:num>
  <w:num w:numId="3" w16cid:durableId="1518889240">
    <w:abstractNumId w:val="3"/>
  </w:num>
  <w:num w:numId="4" w16cid:durableId="769619490">
    <w:abstractNumId w:val="0"/>
  </w:num>
  <w:num w:numId="5" w16cid:durableId="1171601077">
    <w:abstractNumId w:val="4"/>
  </w:num>
  <w:num w:numId="6" w16cid:durableId="242614741">
    <w:abstractNumId w:val="5"/>
  </w:num>
  <w:num w:numId="7" w16cid:durableId="499581969">
    <w:abstractNumId w:val="6"/>
  </w:num>
  <w:num w:numId="8" w16cid:durableId="3704258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52A"/>
    <w:rsid w:val="00005652"/>
    <w:rsid w:val="0002190F"/>
    <w:rsid w:val="00034181"/>
    <w:rsid w:val="00037D5A"/>
    <w:rsid w:val="00050C60"/>
    <w:rsid w:val="0007046A"/>
    <w:rsid w:val="000708B7"/>
    <w:rsid w:val="00081EEF"/>
    <w:rsid w:val="00082A04"/>
    <w:rsid w:val="000914ED"/>
    <w:rsid w:val="000A27E8"/>
    <w:rsid w:val="000A4674"/>
    <w:rsid w:val="000E0C4E"/>
    <w:rsid w:val="001034A8"/>
    <w:rsid w:val="00125C72"/>
    <w:rsid w:val="00130D31"/>
    <w:rsid w:val="001400E1"/>
    <w:rsid w:val="001420E1"/>
    <w:rsid w:val="001516A9"/>
    <w:rsid w:val="00156247"/>
    <w:rsid w:val="00164101"/>
    <w:rsid w:val="001843D5"/>
    <w:rsid w:val="001B0B60"/>
    <w:rsid w:val="001C6359"/>
    <w:rsid w:val="001D728C"/>
    <w:rsid w:val="00205EED"/>
    <w:rsid w:val="0022114B"/>
    <w:rsid w:val="00221A1F"/>
    <w:rsid w:val="00226D93"/>
    <w:rsid w:val="002316DA"/>
    <w:rsid w:val="002434C5"/>
    <w:rsid w:val="0024595C"/>
    <w:rsid w:val="00277B90"/>
    <w:rsid w:val="002A62FE"/>
    <w:rsid w:val="002E77A5"/>
    <w:rsid w:val="00302715"/>
    <w:rsid w:val="00310720"/>
    <w:rsid w:val="00333D6E"/>
    <w:rsid w:val="0033745B"/>
    <w:rsid w:val="00346F2B"/>
    <w:rsid w:val="00382D90"/>
    <w:rsid w:val="003A6646"/>
    <w:rsid w:val="003B58CD"/>
    <w:rsid w:val="003B5FA1"/>
    <w:rsid w:val="003C06D0"/>
    <w:rsid w:val="003D06DE"/>
    <w:rsid w:val="003E5641"/>
    <w:rsid w:val="003E7270"/>
    <w:rsid w:val="0044454F"/>
    <w:rsid w:val="00463D4A"/>
    <w:rsid w:val="00484C37"/>
    <w:rsid w:val="004952B9"/>
    <w:rsid w:val="004A4524"/>
    <w:rsid w:val="004A6A71"/>
    <w:rsid w:val="004E7087"/>
    <w:rsid w:val="004F0071"/>
    <w:rsid w:val="004F47B8"/>
    <w:rsid w:val="005015C3"/>
    <w:rsid w:val="00540490"/>
    <w:rsid w:val="00547624"/>
    <w:rsid w:val="00562DC7"/>
    <w:rsid w:val="00576772"/>
    <w:rsid w:val="005803F8"/>
    <w:rsid w:val="005922EB"/>
    <w:rsid w:val="00597C20"/>
    <w:rsid w:val="005A0DB4"/>
    <w:rsid w:val="005B0E09"/>
    <w:rsid w:val="005B1681"/>
    <w:rsid w:val="005B2DA3"/>
    <w:rsid w:val="005C1BA5"/>
    <w:rsid w:val="005C46B4"/>
    <w:rsid w:val="005D022C"/>
    <w:rsid w:val="0060149C"/>
    <w:rsid w:val="00601AFD"/>
    <w:rsid w:val="006032CA"/>
    <w:rsid w:val="00616BCA"/>
    <w:rsid w:val="0065081E"/>
    <w:rsid w:val="0065082A"/>
    <w:rsid w:val="00662982"/>
    <w:rsid w:val="00664A71"/>
    <w:rsid w:val="00691061"/>
    <w:rsid w:val="006A2C3D"/>
    <w:rsid w:val="006A6FAD"/>
    <w:rsid w:val="006B1A07"/>
    <w:rsid w:val="006B3A01"/>
    <w:rsid w:val="006B3A5E"/>
    <w:rsid w:val="006D2D05"/>
    <w:rsid w:val="006D343B"/>
    <w:rsid w:val="006D6865"/>
    <w:rsid w:val="006D6F64"/>
    <w:rsid w:val="006F6D9A"/>
    <w:rsid w:val="00704AB1"/>
    <w:rsid w:val="00753A3D"/>
    <w:rsid w:val="00767CF4"/>
    <w:rsid w:val="00772D8D"/>
    <w:rsid w:val="007C7AD8"/>
    <w:rsid w:val="007D4370"/>
    <w:rsid w:val="007E0681"/>
    <w:rsid w:val="007E4169"/>
    <w:rsid w:val="007F5422"/>
    <w:rsid w:val="00821447"/>
    <w:rsid w:val="00825C93"/>
    <w:rsid w:val="00826C76"/>
    <w:rsid w:val="0083030C"/>
    <w:rsid w:val="00840C24"/>
    <w:rsid w:val="008476F9"/>
    <w:rsid w:val="00892D1C"/>
    <w:rsid w:val="008A276A"/>
    <w:rsid w:val="008B5B19"/>
    <w:rsid w:val="008B750E"/>
    <w:rsid w:val="008D6FE4"/>
    <w:rsid w:val="00922F61"/>
    <w:rsid w:val="009257D4"/>
    <w:rsid w:val="00942362"/>
    <w:rsid w:val="009475A4"/>
    <w:rsid w:val="00972305"/>
    <w:rsid w:val="00974A6B"/>
    <w:rsid w:val="0099560B"/>
    <w:rsid w:val="009A4007"/>
    <w:rsid w:val="009A5F33"/>
    <w:rsid w:val="009B2785"/>
    <w:rsid w:val="009B5922"/>
    <w:rsid w:val="009D6690"/>
    <w:rsid w:val="00A2113C"/>
    <w:rsid w:val="00A23C83"/>
    <w:rsid w:val="00A41789"/>
    <w:rsid w:val="00A7552A"/>
    <w:rsid w:val="00A755AA"/>
    <w:rsid w:val="00AA5DB6"/>
    <w:rsid w:val="00AC32AF"/>
    <w:rsid w:val="00AF0751"/>
    <w:rsid w:val="00AF1D46"/>
    <w:rsid w:val="00B2205B"/>
    <w:rsid w:val="00B24EFC"/>
    <w:rsid w:val="00B56629"/>
    <w:rsid w:val="00B80C38"/>
    <w:rsid w:val="00B83E8A"/>
    <w:rsid w:val="00B9265D"/>
    <w:rsid w:val="00BA520C"/>
    <w:rsid w:val="00BA695A"/>
    <w:rsid w:val="00BB6983"/>
    <w:rsid w:val="00BC3DBC"/>
    <w:rsid w:val="00C15395"/>
    <w:rsid w:val="00C2141C"/>
    <w:rsid w:val="00C24741"/>
    <w:rsid w:val="00C36CF2"/>
    <w:rsid w:val="00C45208"/>
    <w:rsid w:val="00C54060"/>
    <w:rsid w:val="00C73C4B"/>
    <w:rsid w:val="00CA3703"/>
    <w:rsid w:val="00CB61C1"/>
    <w:rsid w:val="00CB7ED7"/>
    <w:rsid w:val="00CC325C"/>
    <w:rsid w:val="00CC5248"/>
    <w:rsid w:val="00CE1C59"/>
    <w:rsid w:val="00CE7211"/>
    <w:rsid w:val="00CF240A"/>
    <w:rsid w:val="00D11BDE"/>
    <w:rsid w:val="00D241BD"/>
    <w:rsid w:val="00D72CF7"/>
    <w:rsid w:val="00D93ECA"/>
    <w:rsid w:val="00D95A21"/>
    <w:rsid w:val="00DB1901"/>
    <w:rsid w:val="00DD0CB5"/>
    <w:rsid w:val="00DE2CBD"/>
    <w:rsid w:val="00E02D61"/>
    <w:rsid w:val="00E155E8"/>
    <w:rsid w:val="00E22CBA"/>
    <w:rsid w:val="00E27333"/>
    <w:rsid w:val="00E55AC4"/>
    <w:rsid w:val="00E87355"/>
    <w:rsid w:val="00E90782"/>
    <w:rsid w:val="00EB56D4"/>
    <w:rsid w:val="00EC13A1"/>
    <w:rsid w:val="00EC5BCA"/>
    <w:rsid w:val="00ED528A"/>
    <w:rsid w:val="00EF2167"/>
    <w:rsid w:val="00EF4E93"/>
    <w:rsid w:val="00F20B23"/>
    <w:rsid w:val="00F37421"/>
    <w:rsid w:val="00F85F09"/>
    <w:rsid w:val="00F8768E"/>
    <w:rsid w:val="00FA03B3"/>
    <w:rsid w:val="00FB1B6F"/>
    <w:rsid w:val="00FE0602"/>
    <w:rsid w:val="00FE12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F0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755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7552A"/>
    <w:rPr>
      <w:rFonts w:ascii="Verdana" w:hAnsi="Verdana"/>
      <w:color w:val="000000"/>
      <w:sz w:val="18"/>
      <w:szCs w:val="18"/>
    </w:rPr>
  </w:style>
  <w:style w:type="paragraph" w:styleId="Lijstalinea">
    <w:name w:val="List Paragraph"/>
    <w:basedOn w:val="Standaard"/>
    <w:uiPriority w:val="34"/>
    <w:semiHidden/>
    <w:rsid w:val="00A41789"/>
    <w:pPr>
      <w:ind w:left="720"/>
      <w:contextualSpacing/>
    </w:pPr>
  </w:style>
  <w:style w:type="paragraph" w:styleId="Voetnoottekst">
    <w:name w:val="footnote text"/>
    <w:basedOn w:val="Standaard"/>
    <w:link w:val="VoetnoottekstChar"/>
    <w:uiPriority w:val="99"/>
    <w:unhideWhenUsed/>
    <w:rsid w:val="00C54060"/>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C54060"/>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C54060"/>
    <w:rPr>
      <w:vertAlign w:val="superscript"/>
    </w:rPr>
  </w:style>
  <w:style w:type="character" w:styleId="Verwijzingopmerking">
    <w:name w:val="annotation reference"/>
    <w:basedOn w:val="Standaardalinea-lettertype"/>
    <w:uiPriority w:val="99"/>
    <w:semiHidden/>
    <w:unhideWhenUsed/>
    <w:rsid w:val="00B9265D"/>
    <w:rPr>
      <w:sz w:val="16"/>
      <w:szCs w:val="16"/>
    </w:rPr>
  </w:style>
  <w:style w:type="paragraph" w:styleId="Tekstopmerking">
    <w:name w:val="annotation text"/>
    <w:basedOn w:val="Standaard"/>
    <w:link w:val="TekstopmerkingChar"/>
    <w:uiPriority w:val="99"/>
    <w:unhideWhenUsed/>
    <w:rsid w:val="00B9265D"/>
    <w:pPr>
      <w:spacing w:line="240" w:lineRule="auto"/>
    </w:pPr>
    <w:rPr>
      <w:sz w:val="20"/>
      <w:szCs w:val="20"/>
    </w:rPr>
  </w:style>
  <w:style w:type="character" w:customStyle="1" w:styleId="TekstopmerkingChar">
    <w:name w:val="Tekst opmerking Char"/>
    <w:basedOn w:val="Standaardalinea-lettertype"/>
    <w:link w:val="Tekstopmerking"/>
    <w:uiPriority w:val="99"/>
    <w:rsid w:val="00B9265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B9265D"/>
    <w:rPr>
      <w:b/>
      <w:bCs/>
    </w:rPr>
  </w:style>
  <w:style w:type="character" w:customStyle="1" w:styleId="OnderwerpvanopmerkingChar">
    <w:name w:val="Onderwerp van opmerking Char"/>
    <w:basedOn w:val="TekstopmerkingChar"/>
    <w:link w:val="Onderwerpvanopmerking"/>
    <w:uiPriority w:val="99"/>
    <w:semiHidden/>
    <w:rsid w:val="00B9265D"/>
    <w:rPr>
      <w:rFonts w:ascii="Verdana" w:hAnsi="Verdana"/>
      <w:b/>
      <w:bCs/>
      <w:color w:val="000000"/>
    </w:rPr>
  </w:style>
  <w:style w:type="paragraph" w:styleId="Revisie">
    <w:name w:val="Revision"/>
    <w:hidden/>
    <w:uiPriority w:val="99"/>
    <w:semiHidden/>
    <w:rsid w:val="006A6FAD"/>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67CF4"/>
    <w:rPr>
      <w:color w:val="605E5C"/>
      <w:shd w:val="clear" w:color="auto" w:fill="E1DFDD"/>
    </w:rPr>
  </w:style>
  <w:style w:type="paragraph" w:styleId="Geenafstand">
    <w:name w:val="No Spacing"/>
    <w:uiPriority w:val="1"/>
    <w:qFormat/>
    <w:rsid w:val="00A755AA"/>
    <w:pPr>
      <w:autoSpaceDN/>
      <w:textAlignment w:val="auto"/>
    </w:pPr>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263351">
      <w:bodyDiv w:val="1"/>
      <w:marLeft w:val="0"/>
      <w:marRight w:val="0"/>
      <w:marTop w:val="0"/>
      <w:marBottom w:val="0"/>
      <w:divBdr>
        <w:top w:val="none" w:sz="0" w:space="0" w:color="auto"/>
        <w:left w:val="none" w:sz="0" w:space="0" w:color="auto"/>
        <w:bottom w:val="none" w:sz="0" w:space="0" w:color="auto"/>
        <w:right w:val="none" w:sz="0" w:space="0" w:color="auto"/>
      </w:divBdr>
    </w:div>
    <w:div w:id="1563637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1308</ap:Words>
  <ap:Characters>7194</ap:Characters>
  <ap:DocSecurity>0</ap:DocSecurity>
  <ap:Lines>59</ap:Lines>
  <ap:Paragraphs>16</ap:Paragraphs>
  <ap:ScaleCrop>false</ap:ScaleCrop>
  <ap:LinksUpToDate>false</ap:LinksUpToDate>
  <ap:CharactersWithSpaces>8486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2026-02-03T08:40:00.0000000Z</dcterms:created>
  <dcterms:modified xsi:type="dcterms:W3CDTF">2026-02-03T08:40:00.0000000Z</dcterms:modified>
  <dc:description>------------------------</dc:description>
  <version/>
  <category/>
</coreProperties>
</file>