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08A2" w:rsidP="000F08A2" w:rsidRDefault="000F08A2" w14:paraId="068D4AFB" w14:textId="1ADB6109">
      <w:pPr>
        <w:pStyle w:val="Geenafstand"/>
      </w:pPr>
      <w:r>
        <w:t>AH 1017</w:t>
      </w:r>
    </w:p>
    <w:p w:rsidR="000F08A2" w:rsidP="000F08A2" w:rsidRDefault="000F08A2" w14:paraId="725AD0E0" w14:textId="7811BA0A">
      <w:pPr>
        <w:pStyle w:val="Geenafstand"/>
      </w:pPr>
      <w:r>
        <w:t>2025Z19687</w:t>
      </w:r>
    </w:p>
    <w:p w:rsidR="000F08A2" w:rsidP="000F08A2" w:rsidRDefault="000F08A2" w14:paraId="2E651C92" w14:textId="77777777">
      <w:pPr>
        <w:pStyle w:val="Geenafstand"/>
      </w:pPr>
    </w:p>
    <w:p w:rsidRPr="00A71055" w:rsidR="000F08A2" w:rsidP="007B1AD8" w:rsidRDefault="000F08A2" w14:paraId="4BB341CC" w14:textId="1B0A90E0">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 (ontvangen</w:t>
      </w:r>
      <w:r>
        <w:rPr>
          <w:rFonts w:ascii="Times New Roman" w:hAnsi="Times New Roman"/>
          <w:bCs/>
          <w:sz w:val="24"/>
          <w:szCs w:val="24"/>
        </w:rPr>
        <w:t xml:space="preserve"> 3 februari 2026)</w:t>
      </w:r>
    </w:p>
    <w:p w:rsidRPr="007B1B93" w:rsidR="000F08A2" w:rsidP="00427BA1" w:rsidRDefault="000F08A2" w14:paraId="57256D3F" w14:textId="58601C43">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538</w:t>
      </w:r>
    </w:p>
    <w:p w:rsidR="000F08A2" w:rsidP="000F08A2" w:rsidRDefault="000F08A2" w14:paraId="347D3F0C" w14:textId="283A1431">
      <w:pPr>
        <w:rPr>
          <w:rFonts w:cs="Calibri"/>
          <w:b/>
          <w:bCs/>
        </w:rPr>
      </w:pPr>
    </w:p>
    <w:p w:rsidRPr="00C54060" w:rsidR="000F08A2" w:rsidP="000F08A2" w:rsidRDefault="000F08A2" w14:paraId="7582416B" w14:textId="77777777">
      <w:pPr>
        <w:rPr>
          <w:rFonts w:cs="Calibri"/>
          <w:b/>
          <w:bCs/>
        </w:rPr>
      </w:pPr>
      <w:r w:rsidRPr="00C54060">
        <w:rPr>
          <w:rFonts w:cs="Calibri"/>
          <w:b/>
          <w:bCs/>
        </w:rPr>
        <w:t>Vraag 1</w:t>
      </w:r>
    </w:p>
    <w:p w:rsidR="000F08A2" w:rsidP="000F08A2" w:rsidRDefault="000F08A2" w14:paraId="21149597" w14:textId="77777777">
      <w:pPr>
        <w:rPr>
          <w:rFonts w:cs="Calibri"/>
          <w:b/>
          <w:bCs/>
        </w:rPr>
      </w:pPr>
      <w:r w:rsidRPr="00C54060">
        <w:rPr>
          <w:rFonts w:cs="Calibri"/>
          <w:b/>
          <w:bCs/>
        </w:rPr>
        <w:t xml:space="preserve">Bent u bekend met de werkwijze van incassobedrijven, zoals Alektum (aan wie BNPL-bedrijf (Buy Now Pay Later) Klarna vorderingen heeft overgedragen), die duizenden rechtszaken aanhangig maken, vaak zonder deugdelijke onderbouwing, niet verschijnen bij de rechtbank en schuldenaren confronteren met torenhoge rente- en incassokosten? </w:t>
      </w:r>
    </w:p>
    <w:p w:rsidRPr="00C54060" w:rsidR="000F08A2" w:rsidP="000F08A2" w:rsidRDefault="000F08A2" w14:paraId="2DBB951A" w14:textId="77777777">
      <w:pPr>
        <w:rPr>
          <w:rFonts w:cs="Calibri"/>
        </w:rPr>
      </w:pPr>
    </w:p>
    <w:p w:rsidRPr="002A62FE" w:rsidR="000F08A2" w:rsidP="000F08A2" w:rsidRDefault="000F08A2" w14:paraId="1053D8B8" w14:textId="77777777">
      <w:pPr>
        <w:rPr>
          <w:b/>
          <w:bCs/>
        </w:rPr>
      </w:pPr>
      <w:r w:rsidRPr="002A62FE">
        <w:rPr>
          <w:b/>
          <w:bCs/>
        </w:rPr>
        <w:t xml:space="preserve">Antwoord </w:t>
      </w:r>
      <w:r>
        <w:rPr>
          <w:b/>
          <w:bCs/>
        </w:rPr>
        <w:t xml:space="preserve">op </w:t>
      </w:r>
      <w:r w:rsidRPr="002A62FE">
        <w:rPr>
          <w:b/>
          <w:bCs/>
        </w:rPr>
        <w:t>vraag 1</w:t>
      </w:r>
    </w:p>
    <w:p w:rsidRPr="00C54060" w:rsidR="000F08A2" w:rsidP="000F08A2" w:rsidRDefault="000F08A2" w14:paraId="7BADCF40" w14:textId="77777777">
      <w:pPr>
        <w:rPr>
          <w:rFonts w:cs="Calibri"/>
          <w:b/>
          <w:bCs/>
        </w:rPr>
      </w:pPr>
      <w:r w:rsidRPr="00C54060">
        <w:rPr>
          <w:rFonts w:cs="Calibri"/>
        </w:rPr>
        <w:t xml:space="preserve">Ik ben bekend met de beschrijving hierover in het artikel van Follow the Money van 8 november 2025. </w:t>
      </w:r>
      <w:r>
        <w:rPr>
          <w:rFonts w:cs="Calibri"/>
        </w:rPr>
        <w:t xml:space="preserve">Dit beeld is ook terug te zien in verschillende rechterlijke uitspraken, zoals gepubliceerd op rechtspraak.nl. </w:t>
      </w:r>
    </w:p>
    <w:p w:rsidRPr="00C54060" w:rsidR="000F08A2" w:rsidP="000F08A2" w:rsidRDefault="000F08A2" w14:paraId="55F4C43B" w14:textId="77777777">
      <w:pPr>
        <w:rPr>
          <w:rFonts w:cs="Calibri"/>
          <w:b/>
        </w:rPr>
      </w:pPr>
      <w:r w:rsidRPr="00C54060">
        <w:rPr>
          <w:rFonts w:cs="Calibri"/>
          <w:b/>
        </w:rPr>
        <w:t>Vraag 2</w:t>
      </w:r>
    </w:p>
    <w:p w:rsidR="000F08A2" w:rsidP="000F08A2" w:rsidRDefault="000F08A2" w14:paraId="2A19008C" w14:textId="77777777">
      <w:pPr>
        <w:rPr>
          <w:rFonts w:cs="Calibri"/>
          <w:b/>
          <w:bCs/>
        </w:rPr>
      </w:pPr>
      <w:r w:rsidRPr="00C54060">
        <w:rPr>
          <w:rFonts w:cs="Calibri"/>
          <w:b/>
          <w:bCs/>
        </w:rPr>
        <w:t>Hoe beoordeelt u deze handelswijze in het licht van de beginselen van een behoorlijke procesorde en de bescherming van schuldenaren? In hoeverre is hier volgens u sprake van (structureel) misbruik van procesrecht?</w:t>
      </w:r>
    </w:p>
    <w:p w:rsidRPr="00C54060" w:rsidR="000F08A2" w:rsidP="000F08A2" w:rsidRDefault="000F08A2" w14:paraId="1C36D108" w14:textId="77777777">
      <w:pPr>
        <w:rPr>
          <w:rFonts w:cs="Calibri"/>
          <w:b/>
        </w:rPr>
      </w:pPr>
    </w:p>
    <w:p w:rsidRPr="00C54060" w:rsidR="000F08A2" w:rsidP="000F08A2" w:rsidRDefault="000F08A2" w14:paraId="7DFDCF08" w14:textId="77777777">
      <w:pPr>
        <w:rPr>
          <w:rFonts w:cs="Calibri"/>
          <w:b/>
        </w:rPr>
      </w:pPr>
      <w:r w:rsidRPr="00C54060">
        <w:rPr>
          <w:rFonts w:cs="Calibri"/>
          <w:b/>
        </w:rPr>
        <w:t>Vraag 3</w:t>
      </w:r>
    </w:p>
    <w:p w:rsidR="000F08A2" w:rsidP="000F08A2" w:rsidRDefault="000F08A2" w14:paraId="0CFC6FC7" w14:textId="77777777">
      <w:pPr>
        <w:rPr>
          <w:rFonts w:cs="Calibri"/>
          <w:b/>
        </w:rPr>
      </w:pPr>
      <w:r w:rsidRPr="00C54060">
        <w:rPr>
          <w:rFonts w:cs="Calibri"/>
          <w:b/>
        </w:rPr>
        <w:t>Kunt u toelichten welke maatregelen momenteel bestaan om te voorkomen dat incassobureaus op dergelijke wijze misbruik maken van het rechtssysteem?</w:t>
      </w:r>
    </w:p>
    <w:p w:rsidRPr="00C54060" w:rsidR="000F08A2" w:rsidP="000F08A2" w:rsidRDefault="000F08A2" w14:paraId="4B58E129" w14:textId="77777777">
      <w:pPr>
        <w:rPr>
          <w:rFonts w:cs="Calibri"/>
          <w:b/>
        </w:rPr>
      </w:pPr>
    </w:p>
    <w:p w:rsidR="000F08A2" w:rsidP="000F08A2" w:rsidRDefault="000F08A2" w14:paraId="2BC2C0C1" w14:textId="77777777">
      <w:pPr>
        <w:rPr>
          <w:rFonts w:cs="Calibri"/>
          <w:bCs/>
        </w:rPr>
      </w:pPr>
      <w:r w:rsidRPr="002A62FE">
        <w:rPr>
          <w:rFonts w:cs="Calibri"/>
          <w:b/>
        </w:rPr>
        <w:t xml:space="preserve">Antwoord </w:t>
      </w:r>
      <w:r>
        <w:rPr>
          <w:rFonts w:cs="Calibri"/>
          <w:b/>
        </w:rPr>
        <w:t xml:space="preserve">op </w:t>
      </w:r>
      <w:r w:rsidRPr="002A62FE">
        <w:rPr>
          <w:rFonts w:cs="Calibri"/>
          <w:b/>
        </w:rPr>
        <w:t>vraag 2 en 3</w:t>
      </w:r>
      <w:r>
        <w:rPr>
          <w:rFonts w:cs="Calibri"/>
          <w:b/>
        </w:rPr>
        <w:t xml:space="preserve">                                                                                                 </w:t>
      </w:r>
      <w:r>
        <w:rPr>
          <w:rFonts w:cs="Calibri"/>
          <w:bCs/>
        </w:rPr>
        <w:t>Het is aan de rechter om te</w:t>
      </w:r>
      <w:r w:rsidRPr="00C54060">
        <w:rPr>
          <w:rFonts w:cs="Calibri"/>
          <w:bCs/>
        </w:rPr>
        <w:t xml:space="preserve"> beoordelen of er bij de handelswijze van incassobedrijven zoals Alektum sprake is van misbruik van procesrecht. </w:t>
      </w:r>
      <w:r>
        <w:rPr>
          <w:rFonts w:cs="Calibri"/>
          <w:bCs/>
        </w:rPr>
        <w:t xml:space="preserve">Dit zal per individueel geval door de rechter moeten worden beoordeeld. </w:t>
      </w:r>
    </w:p>
    <w:p w:rsidRPr="00C54060" w:rsidR="000F08A2" w:rsidP="000F08A2" w:rsidRDefault="000F08A2" w14:paraId="6969844D" w14:textId="77777777">
      <w:pPr>
        <w:rPr>
          <w:rFonts w:cs="Calibri"/>
          <w:b/>
        </w:rPr>
      </w:pPr>
      <w:r>
        <w:rPr>
          <w:rFonts w:cs="Calibri"/>
          <w:bCs/>
        </w:rPr>
        <w:lastRenderedPageBreak/>
        <w:t xml:space="preserve">Hieronder benoem ik een aantal </w:t>
      </w:r>
      <w:r w:rsidRPr="00C54060">
        <w:rPr>
          <w:rFonts w:cs="Calibri"/>
          <w:bCs/>
        </w:rPr>
        <w:t xml:space="preserve">verschillende (wettelijke) waarborgen in het rechtssysteem </w:t>
      </w:r>
      <w:r>
        <w:rPr>
          <w:rFonts w:cs="Calibri"/>
          <w:bCs/>
        </w:rPr>
        <w:t xml:space="preserve">die </w:t>
      </w:r>
      <w:r w:rsidRPr="00C54060">
        <w:rPr>
          <w:rFonts w:cs="Calibri"/>
          <w:bCs/>
        </w:rPr>
        <w:t xml:space="preserve">ervoor zorgen dat het incasseren van private vorderingen goed verloopt en er geen misbruik </w:t>
      </w:r>
      <w:r>
        <w:rPr>
          <w:rFonts w:cs="Calibri"/>
          <w:bCs/>
        </w:rPr>
        <w:t>wordt</w:t>
      </w:r>
      <w:r w:rsidRPr="00C54060">
        <w:rPr>
          <w:rFonts w:cs="Calibri"/>
          <w:bCs/>
        </w:rPr>
        <w:t xml:space="preserve"> gemaakt van het procesrecht. Deze waarborgen zien zowel op de buitengerechtelijke incassofase als op de gerechtelijke fase.</w:t>
      </w:r>
    </w:p>
    <w:p w:rsidR="000F08A2" w:rsidP="000F08A2" w:rsidRDefault="000F08A2" w14:paraId="10057629" w14:textId="77777777">
      <w:pPr>
        <w:rPr>
          <w:rFonts w:cs="Calibri"/>
        </w:rPr>
      </w:pPr>
      <w:r w:rsidRPr="00C54060">
        <w:rPr>
          <w:rFonts w:cs="Calibri"/>
        </w:rPr>
        <w:t xml:space="preserve">In het algemeen geldt dat een schuldeiser en schuldenaar zich jegens elkaar dienen te gedragen overeenkomstig de eisen van redelijkheid en billijkheid (artikel 6:2 Burgerlijk Wetboek, hierna: BW). Dat geldt evenzeer voor incassodienstverleners. </w:t>
      </w:r>
    </w:p>
    <w:p w:rsidRPr="00C54060" w:rsidR="000F08A2" w:rsidP="000F08A2" w:rsidRDefault="000F08A2" w14:paraId="3C92C3DC" w14:textId="77777777">
      <w:pPr>
        <w:rPr>
          <w:rFonts w:cs="Calibri"/>
        </w:rPr>
      </w:pPr>
      <w:r>
        <w:rPr>
          <w:rFonts w:cs="Calibri"/>
        </w:rPr>
        <w:t>Per</w:t>
      </w:r>
      <w:r w:rsidRPr="00C54060">
        <w:rPr>
          <w:rFonts w:cs="Calibri"/>
        </w:rPr>
        <w:t xml:space="preserve"> 1 april 2024 </w:t>
      </w:r>
      <w:r>
        <w:rPr>
          <w:rFonts w:cs="Calibri"/>
        </w:rPr>
        <w:t xml:space="preserve">geldt de </w:t>
      </w:r>
      <w:r w:rsidRPr="00C54060">
        <w:rPr>
          <w:rFonts w:cs="Calibri"/>
        </w:rPr>
        <w:t>Wet kwaliteit incassodienstverlening (Wki)</w:t>
      </w:r>
      <w:r>
        <w:rPr>
          <w:rFonts w:cs="Calibri"/>
        </w:rPr>
        <w:t>. Deze stelt</w:t>
      </w:r>
      <w:r w:rsidRPr="00C54060">
        <w:rPr>
          <w:rFonts w:cs="Calibri"/>
        </w:rPr>
        <w:t xml:space="preserve"> eisen aan incassodienstverleners, onder meer voor de communicatie met schuldenaren, de informatie die aan hen moet worden verstrekt, de administratie van dossiers en de deskundigheid van personeel. De Wki is van toepassing op buitengerechtelijke incassowerkzaamheden die worden verricht bij in Nederland woonachtige natuurlijke personen</w:t>
      </w:r>
      <w:r>
        <w:rPr>
          <w:rFonts w:cs="Calibri"/>
        </w:rPr>
        <w:t xml:space="preserve"> voor</w:t>
      </w:r>
      <w:r w:rsidRPr="00C54060">
        <w:rPr>
          <w:rFonts w:cs="Calibri"/>
        </w:rPr>
        <w:t xml:space="preserve"> een derde of na overdracht van een vordering.</w:t>
      </w:r>
      <w:r>
        <w:rPr>
          <w:rFonts w:cs="Calibri"/>
        </w:rPr>
        <w:t xml:space="preserve"> </w:t>
      </w:r>
      <w:r w:rsidRPr="00C54060">
        <w:rPr>
          <w:rFonts w:cs="Calibri"/>
        </w:rPr>
        <w:t>Dit betekent dat wanneer een partij</w:t>
      </w:r>
      <w:r>
        <w:rPr>
          <w:rFonts w:cs="Calibri"/>
        </w:rPr>
        <w:t xml:space="preserve"> voor</w:t>
      </w:r>
      <w:r w:rsidRPr="00C54060">
        <w:rPr>
          <w:rFonts w:cs="Calibri"/>
        </w:rPr>
        <w:t xml:space="preserve"> of als rechtsopvolger van de (oorspronkelijke) schuldeiser een vordering buitengerechtelijk probeert te incasseren bij een natuurlijk persoon, deze werkzaamheden onder de reikwijdte van de Wki vallen</w:t>
      </w:r>
      <w:r>
        <w:rPr>
          <w:rFonts w:cs="Calibri"/>
        </w:rPr>
        <w:t>.</w:t>
      </w:r>
      <w:r>
        <w:rPr>
          <w:rStyle w:val="Voetnootmarkering"/>
          <w:rFonts w:cs="Calibri"/>
        </w:rPr>
        <w:footnoteReference w:id="1"/>
      </w:r>
      <w:r>
        <w:rPr>
          <w:rFonts w:cs="Calibri"/>
        </w:rPr>
        <w:t xml:space="preserve"> </w:t>
      </w:r>
      <w:r w:rsidRPr="00D11BDE">
        <w:rPr>
          <w:rFonts w:cs="Calibri"/>
        </w:rPr>
        <w:t xml:space="preserve">Onder buitengerechtelijke incassowerkzaamheden wordt onder andere verstaan het bellen en/of schriftelijk aanmanen van de schuldenaar, ongeacht of hiervoor bij de schuldenaar kosten in rekening worden gebracht. </w:t>
      </w:r>
      <w:r w:rsidRPr="00C54060">
        <w:rPr>
          <w:rFonts w:cs="Calibri"/>
        </w:rPr>
        <w:t xml:space="preserve">De Inspectie Justitie en Veiligheid houdt toezicht op naleving van de eisen die de Wki aan deze ondernemingen stelt. </w:t>
      </w:r>
    </w:p>
    <w:p w:rsidRPr="00C54060" w:rsidR="000F08A2" w:rsidP="000F08A2" w:rsidRDefault="000F08A2" w14:paraId="657094E7" w14:textId="77777777">
      <w:pPr>
        <w:rPr>
          <w:rFonts w:cs="Calibri"/>
        </w:rPr>
      </w:pPr>
      <w:r w:rsidRPr="00C54060">
        <w:rPr>
          <w:rFonts w:cs="Calibri"/>
        </w:rPr>
        <w:t>Als een vordering niet buitengerechtelijk wordt voldaan, kan de schuldeiser een gerechtelijke procedure starten. Het uitgangspunt is dat eenieder in beginsel toegang heeft tot de rechter, zolang diegene voldoende belang bij een rechtsvordering heeft.</w:t>
      </w:r>
      <w:r>
        <w:rPr>
          <w:rStyle w:val="Voetnootmarkering"/>
          <w:rFonts w:cs="Calibri"/>
        </w:rPr>
        <w:footnoteReference w:id="2"/>
      </w:r>
      <w:r w:rsidRPr="00C54060">
        <w:rPr>
          <w:rFonts w:cs="Calibri"/>
        </w:rPr>
        <w:t xml:space="preserve"> Het burgerlijk procesrecht bevat m</w:t>
      </w:r>
      <w:r>
        <w:rPr>
          <w:rFonts w:cs="Calibri"/>
        </w:rPr>
        <w:t>e</w:t>
      </w:r>
      <w:r w:rsidRPr="00C54060">
        <w:rPr>
          <w:rFonts w:cs="Calibri"/>
        </w:rPr>
        <w:t xml:space="preserve">erdere wettelijke waarborgen die moeten voorkomen dat partijen procederen zonder deugdelijke onderbouwing of wanneer zij daar, gelet op de onevenredigheid tussen de betrokken belangen, in redelijkheid geen belang bij hebben (‘geen belang, geen actie’). Van misbruik van procesbevoegdheid is niet snel sprake. Het enkele feit dat een vordering weinig kans maakt, levert geen misbruik van procesrecht op. De rechter kan besluiten om een </w:t>
      </w:r>
      <w:r>
        <w:rPr>
          <w:rFonts w:cs="Calibri"/>
        </w:rPr>
        <w:t xml:space="preserve">vordering </w:t>
      </w:r>
      <w:r w:rsidRPr="00C54060">
        <w:rPr>
          <w:rFonts w:cs="Calibri"/>
        </w:rPr>
        <w:t>af te wijzen indien wordt geconstateerd dat er misbruik wordt gemaakt van het procesrecht.</w:t>
      </w:r>
      <w:r w:rsidRPr="00C54060">
        <w:rPr>
          <w:rFonts w:cs="Calibri"/>
          <w:vertAlign w:val="superscript"/>
        </w:rPr>
        <w:footnoteReference w:id="3"/>
      </w:r>
      <w:r w:rsidRPr="00C54060">
        <w:rPr>
          <w:rFonts w:cs="Calibri"/>
        </w:rPr>
        <w:t xml:space="preserve"> Hiervan kan sprake zijn als een eisende partij zijn vordering baseert op feiten en </w:t>
      </w:r>
      <w:r w:rsidRPr="00C54060">
        <w:rPr>
          <w:rFonts w:cs="Calibri"/>
        </w:rPr>
        <w:lastRenderedPageBreak/>
        <w:t>omstandigheden waarvan hij de onjuistheid kende dan wel behoorde te kennen of op stellingen waarvan hij op voorhand moest begrijpen dat deze geen kans van slagen hadden en hij in redelijkheid niet tot het instellen van de rechtsvordering had kunnen komen.</w:t>
      </w:r>
      <w:r w:rsidRPr="00C54060">
        <w:rPr>
          <w:rFonts w:cs="Calibri"/>
          <w:vertAlign w:val="superscript"/>
        </w:rPr>
        <w:footnoteReference w:id="4"/>
      </w:r>
      <w:r w:rsidRPr="00C54060">
        <w:rPr>
          <w:rFonts w:cs="Calibri"/>
        </w:rPr>
        <w:t xml:space="preserve"> </w:t>
      </w:r>
      <w:r w:rsidRPr="00DD0CB5">
        <w:rPr>
          <w:rFonts w:cs="Calibri"/>
        </w:rPr>
        <w:t>De rechter past dit principe terughoudend toe, gelet op het belang van de toegang tot de rechter.</w:t>
      </w:r>
      <w:r w:rsidRPr="00C54060">
        <w:rPr>
          <w:rFonts w:cs="Calibri"/>
        </w:rPr>
        <w:t xml:space="preserve">  </w:t>
      </w:r>
    </w:p>
    <w:p w:rsidRPr="00C54060" w:rsidR="000F08A2" w:rsidP="000F08A2" w:rsidRDefault="000F08A2" w14:paraId="2B0D54C9" w14:textId="77777777">
      <w:pPr>
        <w:rPr>
          <w:rFonts w:cs="Calibri"/>
        </w:rPr>
      </w:pPr>
      <w:r w:rsidRPr="00C54060">
        <w:rPr>
          <w:rFonts w:cs="Calibri"/>
        </w:rPr>
        <w:t>Daarnaast kan de</w:t>
      </w:r>
      <w:r>
        <w:rPr>
          <w:rFonts w:cs="Calibri"/>
        </w:rPr>
        <w:t xml:space="preserve"> </w:t>
      </w:r>
      <w:r w:rsidRPr="00C54060">
        <w:rPr>
          <w:rFonts w:cs="Calibri"/>
        </w:rPr>
        <w:t>rechter</w:t>
      </w:r>
      <w:r>
        <w:rPr>
          <w:rFonts w:cs="Calibri"/>
        </w:rPr>
        <w:t xml:space="preserve"> </w:t>
      </w:r>
      <w:r w:rsidRPr="00C54060">
        <w:rPr>
          <w:rFonts w:cs="Calibri"/>
        </w:rPr>
        <w:t>tot het oordeel komen dat er sprake is van rauwelijks dagvaarden</w:t>
      </w:r>
      <w:r>
        <w:rPr>
          <w:rFonts w:cs="Calibri"/>
        </w:rPr>
        <w:t xml:space="preserve">. Hierbij wordt </w:t>
      </w:r>
      <w:r w:rsidRPr="00C54060">
        <w:rPr>
          <w:rFonts w:cs="Calibri"/>
        </w:rPr>
        <w:t xml:space="preserve">een schuldenaar zonder voorafgaande mogelijkheid tot een buitengerechtelijke oplossing gedagvaard. Indien daarvan sprake is, kan dit aanleiding zijn voor een afwijkende proceskostenveroordeling, omdat van een schuldeiser mag worden verwacht dat hij geen onnodige kosten veroorzaakt. </w:t>
      </w:r>
    </w:p>
    <w:p w:rsidRPr="00C54060" w:rsidR="000F08A2" w:rsidP="000F08A2" w:rsidRDefault="000F08A2" w14:paraId="397A67F4" w14:textId="77777777">
      <w:pPr>
        <w:rPr>
          <w:rFonts w:cs="Calibri"/>
        </w:rPr>
      </w:pPr>
      <w:r w:rsidRPr="00C54060">
        <w:rPr>
          <w:rFonts w:cs="Calibri"/>
        </w:rPr>
        <w:t xml:space="preserve">De rechter kan </w:t>
      </w:r>
      <w:r>
        <w:rPr>
          <w:rFonts w:cs="Calibri"/>
        </w:rPr>
        <w:t xml:space="preserve">voorts een </w:t>
      </w:r>
      <w:r w:rsidRPr="00C54060">
        <w:rPr>
          <w:rFonts w:cs="Calibri"/>
        </w:rPr>
        <w:t>hardheidsclausule toepassen bijvoorbeeld wanneer enkel wordt geprocedeerd om een executoriale titel te verkrijgen voor het geval een overeengekomen betalingsregeling niet zou worden nagekomen, of wanneer – zoals hiervoor toegelicht – sprake is van rauwelijks dagvaarden.</w:t>
      </w:r>
      <w:r>
        <w:rPr>
          <w:rStyle w:val="Voetnootmarkering"/>
          <w:rFonts w:cs="Calibri"/>
        </w:rPr>
        <w:footnoteReference w:id="5"/>
      </w:r>
    </w:p>
    <w:p w:rsidRPr="00C54060" w:rsidR="000F08A2" w:rsidP="000F08A2" w:rsidRDefault="000F08A2" w14:paraId="27F2D9AD" w14:textId="77777777">
      <w:pPr>
        <w:rPr>
          <w:rFonts w:cs="Calibri"/>
        </w:rPr>
      </w:pPr>
      <w:r>
        <w:rPr>
          <w:rFonts w:cs="Calibri"/>
        </w:rPr>
        <w:t xml:space="preserve">Daar komt bij dat </w:t>
      </w:r>
      <w:r w:rsidRPr="00C54060">
        <w:rPr>
          <w:rFonts w:cs="Calibri"/>
        </w:rPr>
        <w:t>rechters</w:t>
      </w:r>
      <w:r>
        <w:rPr>
          <w:rFonts w:cs="Calibri"/>
        </w:rPr>
        <w:t xml:space="preserve"> </w:t>
      </w:r>
      <w:r w:rsidRPr="00C54060">
        <w:rPr>
          <w:rFonts w:cs="Calibri"/>
        </w:rPr>
        <w:t xml:space="preserve">in zaken </w:t>
      </w:r>
      <w:r>
        <w:rPr>
          <w:rFonts w:cs="Calibri"/>
        </w:rPr>
        <w:t>t</w:t>
      </w:r>
      <w:r w:rsidRPr="00C54060">
        <w:rPr>
          <w:rFonts w:cs="Calibri"/>
        </w:rPr>
        <w:t>er bescherming van consumenten ambtshalve toetsen of</w:t>
      </w:r>
      <w:r w:rsidRPr="00C54060" w:rsidDel="004579DA">
        <w:rPr>
          <w:rFonts w:cs="Calibri"/>
        </w:rPr>
        <w:t xml:space="preserve"> </w:t>
      </w:r>
      <w:r w:rsidRPr="00C54060">
        <w:rPr>
          <w:rFonts w:cs="Calibri"/>
        </w:rPr>
        <w:t xml:space="preserve">personen die handelen in de uitoefening van een beroep of bedrijf (handelaren) </w:t>
      </w:r>
      <w:r>
        <w:rPr>
          <w:rFonts w:cs="Calibri"/>
        </w:rPr>
        <w:t>hebben</w:t>
      </w:r>
      <w:r w:rsidRPr="00C54060">
        <w:rPr>
          <w:rFonts w:cs="Calibri"/>
        </w:rPr>
        <w:t xml:space="preserve"> voldaan aan de dwingendrechtelijke verplichtingen van het consumentenrecht. Dit omvat onder meer de toetsing van algemene voorwaarden (oneerlijke bedingen)</w:t>
      </w:r>
      <w:r>
        <w:rPr>
          <w:rFonts w:cs="Calibri"/>
        </w:rPr>
        <w:t xml:space="preserve"> en </w:t>
      </w:r>
      <w:r w:rsidRPr="00C54060">
        <w:rPr>
          <w:rFonts w:cs="Calibri"/>
        </w:rPr>
        <w:t>de naleving van wettelijke informatieplichten</w:t>
      </w:r>
      <w:r>
        <w:rPr>
          <w:rFonts w:cs="Calibri"/>
        </w:rPr>
        <w:t xml:space="preserve">, zoals onder andere </w:t>
      </w:r>
      <w:r w:rsidRPr="00C54060">
        <w:rPr>
          <w:rFonts w:cs="Calibri"/>
        </w:rPr>
        <w:t xml:space="preserve">de correcte toepassing van de wettelijke incassokosten en de onderbouwing van de gevorderde kosten. Indien deze verplichtingen niet zijn nageleefd, kan de rechter de vordering geheel of gedeeltelijk afwijzen. </w:t>
      </w:r>
    </w:p>
    <w:p w:rsidRPr="00C54060" w:rsidR="000F08A2" w:rsidP="000F08A2" w:rsidRDefault="000F08A2" w14:paraId="2A959A1D" w14:textId="77777777">
      <w:pPr>
        <w:rPr>
          <w:rFonts w:cs="Calibri"/>
          <w:b/>
        </w:rPr>
      </w:pPr>
      <w:r w:rsidRPr="00C54060">
        <w:rPr>
          <w:rFonts w:cs="Calibri"/>
          <w:b/>
        </w:rPr>
        <w:t>Vraag 4</w:t>
      </w:r>
    </w:p>
    <w:p w:rsidR="000F08A2" w:rsidP="000F08A2" w:rsidRDefault="000F08A2" w14:paraId="48462353" w14:textId="77777777">
      <w:pPr>
        <w:rPr>
          <w:rFonts w:cs="Calibri"/>
          <w:b/>
        </w:rPr>
      </w:pPr>
      <w:r w:rsidRPr="00C54060">
        <w:rPr>
          <w:rFonts w:cs="Calibri"/>
          <w:b/>
        </w:rPr>
        <w:t>Op welke wijze heeft u de aangenomen motie Ceder c.s. (Kamerstuk 35915, nr. 27) afgedaan? Acht u de genomen maatregelen afdoende om het doorverkopen van schulden als verdienmodel te hebben bestreden? Zo nee, welke maatregelen bent u voornemens te nemen en/of te laten onderzoeken?</w:t>
      </w:r>
    </w:p>
    <w:p w:rsidR="000F08A2" w:rsidP="000F08A2" w:rsidRDefault="000F08A2" w14:paraId="45C60A5B" w14:textId="77777777">
      <w:pPr>
        <w:rPr>
          <w:rFonts w:cs="Calibri"/>
          <w:b/>
        </w:rPr>
      </w:pPr>
    </w:p>
    <w:p w:rsidRPr="00C54060" w:rsidR="000F08A2" w:rsidP="000F08A2" w:rsidRDefault="000F08A2" w14:paraId="598831C7" w14:textId="77777777">
      <w:pPr>
        <w:rPr>
          <w:rFonts w:cs="Calibri"/>
        </w:rPr>
      </w:pPr>
      <w:r w:rsidRPr="002A62FE">
        <w:rPr>
          <w:rFonts w:cs="Calibri"/>
          <w:b/>
        </w:rPr>
        <w:lastRenderedPageBreak/>
        <w:t xml:space="preserve">Antwoord </w:t>
      </w:r>
      <w:r>
        <w:rPr>
          <w:rFonts w:cs="Calibri"/>
          <w:b/>
        </w:rPr>
        <w:t xml:space="preserve">op </w:t>
      </w:r>
      <w:r w:rsidRPr="002A62FE">
        <w:rPr>
          <w:rFonts w:cs="Calibri"/>
          <w:b/>
        </w:rPr>
        <w:t>vraag</w:t>
      </w:r>
      <w:r>
        <w:rPr>
          <w:rFonts w:cs="Calibri"/>
          <w:b/>
        </w:rPr>
        <w:t xml:space="preserve"> 4 </w:t>
      </w:r>
      <w:r>
        <w:rPr>
          <w:rFonts w:cs="Calibri"/>
        </w:rPr>
        <w:t xml:space="preserve">                                                                                           </w:t>
      </w:r>
      <w:r w:rsidRPr="00C54060">
        <w:rPr>
          <w:rFonts w:cs="Calibri"/>
        </w:rPr>
        <w:t>Schulden mogen geen verdienmodel zijn.</w:t>
      </w:r>
      <w:r>
        <w:rPr>
          <w:rFonts w:cs="Calibri"/>
        </w:rPr>
        <w:t xml:space="preserve"> </w:t>
      </w:r>
      <w:r w:rsidRPr="00CF240A">
        <w:rPr>
          <w:rFonts w:cs="Calibri"/>
        </w:rPr>
        <w:t>Alle stappen binnen de keten zijn opzichzelfstaand gerechtvaardigd, maar kunnen als</w:t>
      </w:r>
      <w:r w:rsidRPr="00CF240A">
        <w:rPr>
          <w:rFonts w:cs="Calibri"/>
        </w:rPr>
        <w:br/>
        <w:t>optelsom soms tot excessen leiden.</w:t>
      </w:r>
      <w:r w:rsidRPr="00C54060">
        <w:rPr>
          <w:rFonts w:cs="Calibri"/>
        </w:rPr>
        <w:t xml:space="preserve"> In de Kamerbrief </w:t>
      </w:r>
      <w:r w:rsidRPr="00C54060">
        <w:rPr>
          <w:rFonts w:cs="Calibri"/>
          <w:i/>
          <w:iCs/>
        </w:rPr>
        <w:t>Aanpak Civiele invordering</w:t>
      </w:r>
      <w:r w:rsidRPr="00C54060">
        <w:rPr>
          <w:rFonts w:cs="Calibri"/>
          <w:i/>
          <w:iCs/>
          <w:vertAlign w:val="superscript"/>
        </w:rPr>
        <w:footnoteReference w:id="6"/>
      </w:r>
      <w:r w:rsidRPr="00C54060">
        <w:rPr>
          <w:rFonts w:cs="Calibri"/>
        </w:rPr>
        <w:t xml:space="preserve"> zijn maatregelen aangekondigd, waaronder het collectief afbetalingsplan, de zorgplicht voor gerechtsdeurwaarders en de herziening van de financierings-</w:t>
      </w:r>
      <w:r>
        <w:rPr>
          <w:rFonts w:cs="Calibri"/>
        </w:rPr>
        <w:t xml:space="preserve"> </w:t>
      </w:r>
      <w:r w:rsidRPr="00C54060">
        <w:rPr>
          <w:rFonts w:cs="Calibri"/>
        </w:rPr>
        <w:t>en tariefstructuur van gerechtsdeurwaarders. Deze maatregelen zijn erop gericht om de kostenoploop voor de schuldenaar te beperken en onwenselijke verdienprikkels in het invorderingsproces tegen te gaan. In lijn met de toezegging aan uw Kamer is recent de wetsevaluatie van de Wet normering buitengerechtelijke incassokosten (WIK) door het WODC gestart.</w:t>
      </w:r>
      <w:r w:rsidRPr="00C54060">
        <w:rPr>
          <w:rFonts w:cs="Calibri"/>
          <w:vertAlign w:val="superscript"/>
        </w:rPr>
        <w:footnoteReference w:id="7"/>
      </w:r>
      <w:r>
        <w:rPr>
          <w:rFonts w:cs="Calibri"/>
        </w:rPr>
        <w:t xml:space="preserve"> </w:t>
      </w:r>
      <w:r w:rsidRPr="00C54060">
        <w:rPr>
          <w:rFonts w:cs="Calibri"/>
        </w:rPr>
        <w:t>De Kamer wordt in de eerste helft van 2026 nader geïnformeerd over de verdere uitwerking van de maatregelen.</w:t>
      </w:r>
    </w:p>
    <w:p w:rsidRPr="00C54060" w:rsidR="000F08A2" w:rsidP="000F08A2" w:rsidRDefault="000F08A2" w14:paraId="58EA8EA3" w14:textId="77777777">
      <w:pPr>
        <w:rPr>
          <w:rFonts w:cs="Calibri"/>
        </w:rPr>
      </w:pPr>
      <w:r w:rsidRPr="00C54060">
        <w:rPr>
          <w:rFonts w:cs="Calibri"/>
        </w:rPr>
        <w:t>Zoals in de brief aan uw Kamer van 29 maart 2024</w:t>
      </w:r>
      <w:r w:rsidRPr="00C54060">
        <w:rPr>
          <w:rFonts w:cs="Calibri"/>
          <w:vertAlign w:val="superscript"/>
        </w:rPr>
        <w:footnoteReference w:id="8"/>
      </w:r>
      <w:r w:rsidRPr="00C54060">
        <w:rPr>
          <w:rFonts w:cs="Calibri"/>
        </w:rPr>
        <w:t xml:space="preserve"> uiteen is gezet, is de verkoop en overdracht van vorderingen een gebruikelijke handeling in het handelsverkeer die bijdraagt aan solvabiliteit en liquiditeit van ondernemingen. In die brief is uiteengezet dat de verkoop van vorderingen een breed palet aan varianten omvat en ook veel positieve effecten heeft. </w:t>
      </w:r>
      <w:r>
        <w:rPr>
          <w:rFonts w:cs="Calibri"/>
        </w:rPr>
        <w:t>Daarbij komt</w:t>
      </w:r>
      <w:r w:rsidRPr="009D6690">
        <w:rPr>
          <w:rFonts w:cs="Calibri"/>
        </w:rPr>
        <w:t xml:space="preserve"> dat de oploop van kosten in het traject van invordering geen verband houdt met de verkoop van de vorderingen, maar met de inning van een vordering. Verdere kostenoploop door invorderingsmaatregelen die niet meer bijdraagt aan het komen tot betaling van de hoofdsom kan leiden tot een ongewenst verdienmodel.</w:t>
      </w:r>
      <w:r>
        <w:rPr>
          <w:rStyle w:val="Voetnootmarkering"/>
          <w:rFonts w:cs="Calibri"/>
        </w:rPr>
        <w:footnoteReference w:id="9"/>
      </w:r>
      <w:r w:rsidRPr="009D6690">
        <w:rPr>
          <w:rFonts w:cs="Calibri"/>
        </w:rPr>
        <w:t xml:space="preserve"> De maatregelen zijn er dan ook op gericht deze kostenoploop aan te pakken.</w:t>
      </w:r>
    </w:p>
    <w:p w:rsidRPr="00C54060" w:rsidR="000F08A2" w:rsidP="000F08A2" w:rsidRDefault="000F08A2" w14:paraId="396ED9E8" w14:textId="77777777">
      <w:pPr>
        <w:rPr>
          <w:rFonts w:cs="Calibri"/>
          <w:b/>
          <w:bCs/>
        </w:rPr>
      </w:pPr>
      <w:r w:rsidRPr="00C54060">
        <w:rPr>
          <w:rFonts w:cs="Calibri"/>
        </w:rPr>
        <w:t>Tevens verzocht de motie Ceder c.s. om concrete maatregelen uit te werken waarmee de te vorderen rente bij schulden jegens consumenten wordt gemaximeerd. Dit onderwerp is ook aan de orde gekomen tijdens het Commissiedebat armoede- en schuldenbeleid op 22 mei 2025.</w:t>
      </w:r>
      <w:r w:rsidRPr="00C54060">
        <w:rPr>
          <w:rFonts w:cs="Calibri"/>
          <w:vertAlign w:val="superscript"/>
        </w:rPr>
        <w:footnoteReference w:id="10"/>
      </w:r>
      <w:r w:rsidRPr="00C54060">
        <w:rPr>
          <w:rFonts w:cs="Calibri"/>
        </w:rPr>
        <w:t xml:space="preserve"> De voormalig staatssecretaris Rechtsbescherming heeft aan de Kamer toegezegd om te identificeren of er situaties zijn waarin sprake is van disproportionele renteoploop die in het individuele geval door het wettelijk kader onvoldoende geadresseerd kan worden. Hierbij is specifiek het veld (evenals uw Kamer) </w:t>
      </w:r>
      <w:r w:rsidRPr="00C54060">
        <w:rPr>
          <w:rFonts w:cs="Calibri"/>
        </w:rPr>
        <w:lastRenderedPageBreak/>
        <w:t xml:space="preserve">uitgenodigd om casuïstiek aan te reiken. Tot dusver zijn er nog geen concrete casussen gemeld. </w:t>
      </w:r>
    </w:p>
    <w:p w:rsidRPr="00C54060" w:rsidR="000F08A2" w:rsidP="000F08A2" w:rsidRDefault="000F08A2" w14:paraId="6CAA7930" w14:textId="77777777">
      <w:pPr>
        <w:rPr>
          <w:rFonts w:cs="Calibri"/>
          <w:b/>
          <w:bCs/>
        </w:rPr>
      </w:pPr>
      <w:r w:rsidRPr="00C54060">
        <w:rPr>
          <w:rFonts w:cs="Calibri"/>
          <w:b/>
          <w:bCs/>
        </w:rPr>
        <w:t>Vraag 5</w:t>
      </w:r>
    </w:p>
    <w:p w:rsidR="000F08A2" w:rsidP="000F08A2" w:rsidRDefault="000F08A2" w14:paraId="62F81375" w14:textId="77777777">
      <w:pPr>
        <w:rPr>
          <w:rFonts w:cs="Calibri"/>
          <w:b/>
        </w:rPr>
      </w:pPr>
      <w:r w:rsidRPr="00C54060">
        <w:rPr>
          <w:rFonts w:cs="Calibri"/>
          <w:b/>
        </w:rPr>
        <w:t>Bent u bekend met de algemene consumentenvoorwaarden van Klarna, waarin staat dat de vordering van de (web)winkel op de consument wordt overgedragen aan Klarna Bank AB? Deelt u dat een dergelijke overdracht van een vordering valt onder de reikwijdte van artikel 2, sub b, van de Wet kwaliteit incassodienstverlening?</w:t>
      </w:r>
    </w:p>
    <w:p w:rsidRPr="00C54060" w:rsidR="000F08A2" w:rsidP="000F08A2" w:rsidRDefault="000F08A2" w14:paraId="620F546E" w14:textId="77777777">
      <w:pPr>
        <w:rPr>
          <w:rFonts w:cs="Calibri"/>
          <w:b/>
        </w:rPr>
      </w:pPr>
    </w:p>
    <w:p w:rsidRPr="00C54060" w:rsidR="000F08A2" w:rsidP="000F08A2" w:rsidRDefault="000F08A2" w14:paraId="0126F381" w14:textId="77777777">
      <w:pPr>
        <w:rPr>
          <w:rFonts w:cs="Calibri"/>
          <w:b/>
        </w:rPr>
      </w:pPr>
      <w:r w:rsidRPr="00C54060">
        <w:rPr>
          <w:rFonts w:cs="Calibri"/>
          <w:b/>
        </w:rPr>
        <w:t>Vraag 6</w:t>
      </w:r>
    </w:p>
    <w:p w:rsidR="000F08A2" w:rsidP="000F08A2" w:rsidRDefault="000F08A2" w14:paraId="4E5852C9" w14:textId="77777777">
      <w:pPr>
        <w:rPr>
          <w:rFonts w:cs="Calibri"/>
          <w:b/>
        </w:rPr>
      </w:pPr>
      <w:r w:rsidRPr="00C54060">
        <w:rPr>
          <w:rFonts w:cs="Calibri"/>
          <w:b/>
        </w:rPr>
        <w:t>Bent u van mening dat de activiteiten van Klarna onder de Wet kwaliteit incassodienstverlening vallen? Zo ja, voldoet het bedrijf, naar uw oordeel, aan de verplichtingen die de wet stelt? Is het juist dat Klarna niet geregistreerd staat in het register van incassodienstverleners?</w:t>
      </w:r>
    </w:p>
    <w:p w:rsidRPr="00C54060" w:rsidR="000F08A2" w:rsidP="000F08A2" w:rsidRDefault="000F08A2" w14:paraId="2D6CC855" w14:textId="77777777">
      <w:pPr>
        <w:rPr>
          <w:rFonts w:cs="Calibri"/>
          <w:b/>
        </w:rPr>
      </w:pPr>
    </w:p>
    <w:p w:rsidR="000F08A2" w:rsidP="000F08A2" w:rsidRDefault="000F08A2" w14:paraId="414E259E" w14:textId="77777777">
      <w:pPr>
        <w:rPr>
          <w:rFonts w:cs="Calibri"/>
        </w:rPr>
      </w:pPr>
      <w:r w:rsidRPr="002A62FE">
        <w:rPr>
          <w:rFonts w:cs="Calibri"/>
          <w:b/>
        </w:rPr>
        <w:t xml:space="preserve">Antwoord </w:t>
      </w:r>
      <w:r>
        <w:rPr>
          <w:rFonts w:cs="Calibri"/>
          <w:b/>
        </w:rPr>
        <w:t xml:space="preserve">op </w:t>
      </w:r>
      <w:r w:rsidRPr="002A62FE">
        <w:rPr>
          <w:rFonts w:cs="Calibri"/>
          <w:b/>
        </w:rPr>
        <w:t xml:space="preserve">vraag </w:t>
      </w:r>
      <w:r>
        <w:rPr>
          <w:rFonts w:cs="Calibri"/>
          <w:b/>
        </w:rPr>
        <w:t>5</w:t>
      </w:r>
      <w:r w:rsidRPr="002A62FE">
        <w:rPr>
          <w:rFonts w:cs="Calibri"/>
          <w:b/>
        </w:rPr>
        <w:t xml:space="preserve"> en </w:t>
      </w:r>
      <w:r>
        <w:rPr>
          <w:rFonts w:cs="Calibri"/>
          <w:b/>
        </w:rPr>
        <w:t xml:space="preserve">6                                                                                                 </w:t>
      </w:r>
      <w:r>
        <w:rPr>
          <w:rFonts w:cs="Calibri"/>
        </w:rPr>
        <w:t>Ik</w:t>
      </w:r>
      <w:r w:rsidRPr="00C54060">
        <w:rPr>
          <w:rFonts w:cs="Calibri"/>
        </w:rPr>
        <w:t xml:space="preserve"> ben bekend met het feit dat Klarna verschillende sets algemene voorwaarden hanteert voor de uiteenlopende betaalmethoden die zij aanbiedt.</w:t>
      </w:r>
      <w:r w:rsidRPr="00C54060">
        <w:rPr>
          <w:vertAlign w:val="superscript"/>
        </w:rPr>
        <w:footnoteReference w:id="11"/>
      </w:r>
      <w:r w:rsidRPr="00C54060">
        <w:t xml:space="preserve"> </w:t>
      </w:r>
      <w:r>
        <w:t xml:space="preserve">Een van die betaalmethoden betreft </w:t>
      </w:r>
      <w:r w:rsidRPr="00CA2CC3">
        <w:t>Buy Now Pay Later (hierna: BNPL</w:t>
      </w:r>
      <w:r>
        <w:t>). Hierbij gaat Klarna als BNPL</w:t>
      </w:r>
      <w:r w:rsidRPr="00CA2CC3">
        <w:t xml:space="preserve">-aanbieder een kredietovereenkomst aan met de consument </w:t>
      </w:r>
      <w:r>
        <w:t>é</w:t>
      </w:r>
      <w:r w:rsidRPr="00CA2CC3">
        <w:t xml:space="preserve">n </w:t>
      </w:r>
      <w:r>
        <w:t xml:space="preserve">neemt daarbij </w:t>
      </w:r>
      <w:r w:rsidRPr="00CA2CC3">
        <w:t xml:space="preserve">de vordering over uit de consumentenovereenkomst (een koopovereenkomst of overeenkomst tot het verrichten van diensten) </w:t>
      </w:r>
      <w:r>
        <w:t xml:space="preserve">van de handelaar </w:t>
      </w:r>
      <w:r w:rsidRPr="00CA2CC3">
        <w:t>(derde partij)</w:t>
      </w:r>
      <w:r>
        <w:t xml:space="preserve"> waarmee</w:t>
      </w:r>
      <w:r w:rsidRPr="00CA2CC3">
        <w:t xml:space="preserve"> </w:t>
      </w:r>
      <w:r>
        <w:t>de consument de consumentenovereenkomst</w:t>
      </w:r>
      <w:r w:rsidRPr="00CA2CC3">
        <w:t xml:space="preserve"> is aangegaan.</w:t>
      </w:r>
      <w:r w:rsidRPr="00AB18BF">
        <w:rPr>
          <w:vertAlign w:val="superscript"/>
        </w:rPr>
        <w:footnoteReference w:id="12"/>
      </w:r>
    </w:p>
    <w:p w:rsidRPr="0003499F" w:rsidR="000F08A2" w:rsidP="000F08A2" w:rsidRDefault="000F08A2" w14:paraId="6E05F5D6" w14:textId="77777777">
      <w:pPr>
        <w:rPr>
          <w:rFonts w:cs="Calibri"/>
        </w:rPr>
      </w:pPr>
      <w:r w:rsidRPr="0003499F">
        <w:rPr>
          <w:rFonts w:cs="Calibri"/>
        </w:rPr>
        <w:t xml:space="preserve">Doordat sprake is van overdracht van een vordering vallen </w:t>
      </w:r>
      <w:r>
        <w:rPr>
          <w:rFonts w:cs="Calibri"/>
        </w:rPr>
        <w:t xml:space="preserve">eventuele </w:t>
      </w:r>
      <w:r w:rsidRPr="0003499F">
        <w:rPr>
          <w:rFonts w:cs="Calibri"/>
        </w:rPr>
        <w:t xml:space="preserve">door Klarna verrichte </w:t>
      </w:r>
      <w:r>
        <w:rPr>
          <w:rFonts w:cs="Calibri"/>
        </w:rPr>
        <w:t xml:space="preserve">buitengerechtelijke </w:t>
      </w:r>
      <w:r w:rsidRPr="0003499F">
        <w:rPr>
          <w:rFonts w:cs="Calibri"/>
        </w:rPr>
        <w:t>incassowerkzaamheden die voortvloeien uit BNPL-overeenkomsten onder de reikwijdte van de Wki</w:t>
      </w:r>
      <w:r>
        <w:rPr>
          <w:rFonts w:cs="Calibri"/>
        </w:rPr>
        <w:t xml:space="preserve"> </w:t>
      </w:r>
      <w:r w:rsidRPr="0003499F">
        <w:rPr>
          <w:rFonts w:cs="Calibri"/>
        </w:rPr>
        <w:t>en rust op Klarna in beginsel een registratieplicht. Klarna staat op het moment dat deze vragen worden beantwoord niet in het register van incassodienstverlening.</w:t>
      </w:r>
      <w:r w:rsidRPr="0003499F">
        <w:rPr>
          <w:rFonts w:cs="Calibri"/>
          <w:vertAlign w:val="superscript"/>
        </w:rPr>
        <w:footnoteReference w:id="13"/>
      </w:r>
      <w:r w:rsidRPr="0003499F">
        <w:rPr>
          <w:rFonts w:cs="Calibri"/>
        </w:rPr>
        <w:t xml:space="preserve"> Ik hecht eraan te benadrukken dat het oordeel of het bedrijf voldoet aan de verplichtingen die de Wki stelt bij de Inspectie van Justitie en Veiligheid ligt en niet bij mij. </w:t>
      </w:r>
    </w:p>
    <w:p w:rsidR="000F08A2" w:rsidP="000F08A2" w:rsidRDefault="000F08A2" w14:paraId="75B511F8" w14:textId="77777777">
      <w:pPr>
        <w:rPr>
          <w:rFonts w:cs="Calibri"/>
        </w:rPr>
      </w:pPr>
      <w:r w:rsidRPr="00C54060">
        <w:rPr>
          <w:rFonts w:cs="Calibri"/>
        </w:rPr>
        <w:lastRenderedPageBreak/>
        <w:t>De toezichthouder kan op grond van artikel 3 Wki (de registratieplicht) handhavend optreden</w:t>
      </w:r>
      <w:r>
        <w:rPr>
          <w:rFonts w:cs="Calibri"/>
        </w:rPr>
        <w:t xml:space="preserve">. </w:t>
      </w:r>
      <w:r w:rsidRPr="00C54060">
        <w:rPr>
          <w:rFonts w:cs="Calibri"/>
        </w:rPr>
        <w:t xml:space="preserve">Verder is de registratieplicht strafrechtelijk gesanctioneerd in de Wet op de economische delicten. </w:t>
      </w:r>
    </w:p>
    <w:p w:rsidRPr="00C54060" w:rsidR="000F08A2" w:rsidP="000F08A2" w:rsidRDefault="000F08A2" w14:paraId="3E7F416B" w14:textId="77777777">
      <w:pPr>
        <w:rPr>
          <w:rFonts w:cs="Calibri"/>
          <w:b/>
        </w:rPr>
      </w:pPr>
      <w:r w:rsidRPr="00C54060">
        <w:rPr>
          <w:rFonts w:cs="Calibri"/>
          <w:b/>
        </w:rPr>
        <w:t>Vraag 7</w:t>
      </w:r>
    </w:p>
    <w:p w:rsidRPr="00C54060" w:rsidR="000F08A2" w:rsidP="000F08A2" w:rsidRDefault="000F08A2" w14:paraId="32FD761F" w14:textId="77777777">
      <w:pPr>
        <w:rPr>
          <w:rFonts w:cs="Calibri"/>
        </w:rPr>
      </w:pPr>
      <w:r w:rsidRPr="00C54060">
        <w:rPr>
          <w:rFonts w:cs="Calibri"/>
          <w:b/>
        </w:rPr>
        <w:t>Bent u bekend met het feit dat Klarna, in het kader van haar BNPL-activiteiten, aan consumenten betalingsherinneringen en aanmaningen verstuurt wanneer facturen onbetaald blijven? Deelt u de opvatting dat het versturen van herinneringen en aanmaningen moet worden aangemerkt als het verrichten van ‘buitengerechtelijke incassowerkzaamheden’ in de zin van artikel 1 van de Wet kwaliteit incassodienstverlening?</w:t>
      </w:r>
    </w:p>
    <w:p w:rsidRPr="00C54060" w:rsidR="000F08A2" w:rsidP="000F08A2" w:rsidRDefault="000F08A2" w14:paraId="40A94B58" w14:textId="77777777">
      <w:pPr>
        <w:rPr>
          <w:rFonts w:cs="Calibri"/>
        </w:rPr>
      </w:pPr>
      <w:r w:rsidRPr="002A62FE">
        <w:rPr>
          <w:rFonts w:cs="Calibri"/>
          <w:b/>
        </w:rPr>
        <w:t xml:space="preserve">Antwoord </w:t>
      </w:r>
      <w:r>
        <w:rPr>
          <w:rFonts w:cs="Calibri"/>
          <w:b/>
        </w:rPr>
        <w:t xml:space="preserve">op </w:t>
      </w:r>
      <w:r w:rsidRPr="002A62FE">
        <w:rPr>
          <w:rFonts w:cs="Calibri"/>
          <w:b/>
        </w:rPr>
        <w:t>vraag</w:t>
      </w:r>
      <w:r>
        <w:rPr>
          <w:rFonts w:cs="Calibri"/>
          <w:b/>
        </w:rPr>
        <w:t xml:space="preserve"> 7</w:t>
      </w:r>
      <w:r>
        <w:rPr>
          <w:rFonts w:cs="Calibri"/>
        </w:rPr>
        <w:t xml:space="preserve">                                                                                                   </w:t>
      </w:r>
      <w:r w:rsidRPr="00C54060">
        <w:rPr>
          <w:rFonts w:cs="Calibri"/>
        </w:rPr>
        <w:t>Ja, ik ben bekend met het versturen van dergelijke betalingsherinneringen en aanmaningen.</w:t>
      </w:r>
      <w:r>
        <w:rPr>
          <w:rFonts w:cs="Calibri"/>
        </w:rPr>
        <w:t xml:space="preserve"> </w:t>
      </w:r>
      <w:r w:rsidRPr="00C54060">
        <w:rPr>
          <w:rFonts w:cs="Calibri"/>
        </w:rPr>
        <w:t xml:space="preserve">In de door vier BNPL-aanbieders opgestelde </w:t>
      </w:r>
      <w:r w:rsidRPr="00C54060">
        <w:rPr>
          <w:rFonts w:cs="Calibri"/>
          <w:i/>
          <w:iCs/>
        </w:rPr>
        <w:t>Gedragscode BNPL</w:t>
      </w:r>
      <w:r w:rsidRPr="00C54060">
        <w:rPr>
          <w:rFonts w:cs="Calibri"/>
        </w:rPr>
        <w:t xml:space="preserve"> is onder meer afgesproken dat consumenten kosteloos minimaal één betalingsherinnering ontvangen. </w:t>
      </w:r>
      <w:r>
        <w:rPr>
          <w:rFonts w:cs="Calibri"/>
        </w:rPr>
        <w:t>Zoals in antwoord op vragen 2 en 3 is aangegeven, vallen h</w:t>
      </w:r>
      <w:r w:rsidRPr="00C54060">
        <w:rPr>
          <w:rFonts w:cs="Calibri"/>
        </w:rPr>
        <w:t xml:space="preserve">et opnemen van contact en het sturen van betalingsherinneringen en aanmaningen </w:t>
      </w:r>
      <w:r>
        <w:rPr>
          <w:rFonts w:cs="Calibri"/>
        </w:rPr>
        <w:t xml:space="preserve">voor een derde of na overdracht van een vordering </w:t>
      </w:r>
      <w:r w:rsidRPr="00C54060">
        <w:rPr>
          <w:rFonts w:cs="Calibri"/>
        </w:rPr>
        <w:t>onder de Wki.</w:t>
      </w:r>
      <w:r w:rsidRPr="00C54060">
        <w:rPr>
          <w:rFonts w:cs="Calibri"/>
          <w:vertAlign w:val="superscript"/>
        </w:rPr>
        <w:footnoteReference w:id="14"/>
      </w:r>
      <w:r w:rsidRPr="00C54060">
        <w:rPr>
          <w:rFonts w:cs="Calibri"/>
        </w:rPr>
        <w:t xml:space="preserve"> </w:t>
      </w:r>
    </w:p>
    <w:p w:rsidRPr="00C54060" w:rsidR="000F08A2" w:rsidP="000F08A2" w:rsidRDefault="000F08A2" w14:paraId="39BC3EC5" w14:textId="77777777">
      <w:pPr>
        <w:rPr>
          <w:rFonts w:cs="Calibri"/>
          <w:b/>
          <w:bCs/>
        </w:rPr>
      </w:pPr>
      <w:r w:rsidRPr="00C54060">
        <w:rPr>
          <w:rFonts w:cs="Calibri"/>
          <w:b/>
          <w:bCs/>
        </w:rPr>
        <w:t xml:space="preserve">Vraag 8 </w:t>
      </w:r>
    </w:p>
    <w:p w:rsidR="000F08A2" w:rsidP="000F08A2" w:rsidRDefault="000F08A2" w14:paraId="05C0D034" w14:textId="77777777">
      <w:pPr>
        <w:rPr>
          <w:rFonts w:cs="Calibri"/>
          <w:b/>
          <w:bCs/>
        </w:rPr>
      </w:pPr>
      <w:r w:rsidRPr="00C54060">
        <w:rPr>
          <w:rFonts w:cs="Calibri"/>
          <w:b/>
          <w:bCs/>
        </w:rPr>
        <w:t>Is het correct dat de reikwijdte van de wet gebaseerd is op de uitvoering van buitengerechtelijke incassowerkzaamheden richting natuurlijke personen, ongeacht door wie deze worden uitgevoerd? Zijn er organisaties uitgezonderd van de reikwijdte van deze wet?</w:t>
      </w:r>
    </w:p>
    <w:p w:rsidRPr="00C54060" w:rsidR="000F08A2" w:rsidP="000F08A2" w:rsidRDefault="000F08A2" w14:paraId="51001D0D" w14:textId="77777777">
      <w:pPr>
        <w:rPr>
          <w:rFonts w:cs="Calibri"/>
        </w:rPr>
      </w:pPr>
    </w:p>
    <w:p w:rsidR="000F08A2" w:rsidP="000F08A2" w:rsidRDefault="000F08A2" w14:paraId="0C67647A" w14:textId="77777777">
      <w:pPr>
        <w:rPr>
          <w:rFonts w:cs="Calibri"/>
          <w:b/>
        </w:rPr>
      </w:pPr>
      <w:r w:rsidRPr="002A62FE">
        <w:rPr>
          <w:rFonts w:cs="Calibri"/>
          <w:b/>
        </w:rPr>
        <w:t xml:space="preserve">Antwoord </w:t>
      </w:r>
      <w:r>
        <w:rPr>
          <w:rFonts w:cs="Calibri"/>
          <w:b/>
        </w:rPr>
        <w:t xml:space="preserve">op </w:t>
      </w:r>
      <w:r w:rsidRPr="002A62FE">
        <w:rPr>
          <w:rFonts w:cs="Calibri"/>
          <w:b/>
        </w:rPr>
        <w:t xml:space="preserve">vraag </w:t>
      </w:r>
      <w:r>
        <w:rPr>
          <w:rFonts w:cs="Calibri"/>
          <w:b/>
        </w:rPr>
        <w:t xml:space="preserve">8                                                                                                </w:t>
      </w:r>
      <w:r w:rsidRPr="00C54060">
        <w:rPr>
          <w:rFonts w:cs="Calibri"/>
        </w:rPr>
        <w:t xml:space="preserve">Ja, de Wki heeft betrekking op de uitvoering van buitengerechtelijke incassowerkzaamheden met betrekking tot voldoening door in Nederland woonachtige natuurlijke personen (zie vraag 6). De enige structurele uitzondering betreft publiekrechtelijke incassanten zoals het CJIB en de zogenoemde zelfincassanten. Dit zijn de primaire schuldeisers die de eigen vorderingen zelf innen in plaats van de buitengerechtelijke incassowerkzaamheden uitbesteden aan een geregistreerde incassodienstverlener. Dat wil zeggen dat op deze partijen geen registratieplicht rust. Deze schuldeisers dienen zich te gedragen overeenkomstig de eisen van redelijkheid en billijkheid. </w:t>
      </w:r>
    </w:p>
    <w:p w:rsidRPr="00C54060" w:rsidR="000F08A2" w:rsidP="000F08A2" w:rsidRDefault="000F08A2" w14:paraId="75864D3F" w14:textId="77777777">
      <w:pPr>
        <w:rPr>
          <w:rFonts w:cs="Calibri"/>
          <w:b/>
        </w:rPr>
      </w:pPr>
      <w:r w:rsidRPr="00C54060">
        <w:rPr>
          <w:rFonts w:cs="Calibri"/>
          <w:b/>
        </w:rPr>
        <w:lastRenderedPageBreak/>
        <w:t>Vraag 9</w:t>
      </w:r>
    </w:p>
    <w:p w:rsidRPr="00C54060" w:rsidR="000F08A2" w:rsidP="000F08A2" w:rsidRDefault="000F08A2" w14:paraId="3C4E5B2E" w14:textId="77777777">
      <w:pPr>
        <w:rPr>
          <w:rFonts w:cs="Calibri"/>
          <w:b/>
        </w:rPr>
      </w:pPr>
      <w:r w:rsidRPr="00C54060">
        <w:rPr>
          <w:rFonts w:cs="Calibri"/>
          <w:b/>
        </w:rPr>
        <w:t>Klopt het, zoals in het artikel gepubliceerd door Follow the Money staat, dat u in gesprek bent met het bedrijf Klarna over de naleving van de Wet kwaliteit incassodienstverlening?</w:t>
      </w:r>
    </w:p>
    <w:p w:rsidRPr="00C54060" w:rsidR="000F08A2" w:rsidP="000F08A2" w:rsidRDefault="000F08A2" w14:paraId="250CBFC4" w14:textId="77777777">
      <w:pPr>
        <w:rPr>
          <w:rFonts w:cs="Calibri"/>
          <w:b/>
        </w:rPr>
      </w:pPr>
      <w:r w:rsidRPr="00C54060">
        <w:rPr>
          <w:rFonts w:cs="Calibri"/>
          <w:b/>
        </w:rPr>
        <w:t>Vraag 10</w:t>
      </w:r>
    </w:p>
    <w:p w:rsidRPr="00C54060" w:rsidR="000F08A2" w:rsidP="000F08A2" w:rsidRDefault="000F08A2" w14:paraId="752583B0" w14:textId="77777777">
      <w:pPr>
        <w:rPr>
          <w:rFonts w:cs="Calibri"/>
          <w:b/>
        </w:rPr>
      </w:pPr>
      <w:r w:rsidRPr="00C54060">
        <w:rPr>
          <w:rFonts w:cs="Calibri"/>
          <w:b/>
        </w:rPr>
        <w:t>Wat is de reden voor dit overleg? Is het gebruikelijk en wenselijk dat er overleg plaatsvindt tussen u en een bedrijf over naleving van de wet? Wat is hierin de rol van de Inspectie Justitie en Veiligheid? Is de Inspectie (al dan niet op handhavende wijze) betrokken bij dit overleg?  </w:t>
      </w:r>
    </w:p>
    <w:p w:rsidRPr="00C54060" w:rsidR="000F08A2" w:rsidP="000F08A2" w:rsidRDefault="000F08A2" w14:paraId="3B39EDB3" w14:textId="77777777">
      <w:pPr>
        <w:rPr>
          <w:rFonts w:eastAsia="Calibri" w:cs="Calibri"/>
        </w:rPr>
      </w:pPr>
      <w:r w:rsidRPr="002A62FE">
        <w:rPr>
          <w:rFonts w:cs="Calibri"/>
          <w:b/>
        </w:rPr>
        <w:t xml:space="preserve">Antwoord </w:t>
      </w:r>
      <w:r>
        <w:rPr>
          <w:rFonts w:cs="Calibri"/>
          <w:b/>
        </w:rPr>
        <w:t xml:space="preserve">op </w:t>
      </w:r>
      <w:r w:rsidRPr="002A62FE">
        <w:rPr>
          <w:rFonts w:cs="Calibri"/>
          <w:b/>
        </w:rPr>
        <w:t>vra</w:t>
      </w:r>
      <w:r>
        <w:rPr>
          <w:rFonts w:cs="Calibri"/>
          <w:b/>
        </w:rPr>
        <w:t>ag</w:t>
      </w:r>
      <w:r w:rsidRPr="002A62FE">
        <w:rPr>
          <w:rFonts w:cs="Calibri"/>
          <w:b/>
        </w:rPr>
        <w:t xml:space="preserve"> </w:t>
      </w:r>
      <w:r>
        <w:rPr>
          <w:rFonts w:cs="Calibri"/>
          <w:b/>
        </w:rPr>
        <w:t>9</w:t>
      </w:r>
      <w:r w:rsidRPr="002A62FE">
        <w:rPr>
          <w:rFonts w:cs="Calibri"/>
          <w:b/>
        </w:rPr>
        <w:t xml:space="preserve"> en </w:t>
      </w:r>
      <w:r>
        <w:rPr>
          <w:rFonts w:cs="Calibri"/>
          <w:b/>
        </w:rPr>
        <w:t xml:space="preserve">10                                                                                                 </w:t>
      </w:r>
      <w:r w:rsidRPr="00C54060">
        <w:rPr>
          <w:rFonts w:eastAsia="Calibri" w:cs="Calibri"/>
        </w:rPr>
        <w:t xml:space="preserve">Nee, dat klopt niet. Het ministerie van Justitie en Veiligheid is niet in gesprek met Klarna over de naleving van de Wet kwaliteit incassodienstverlening (Wki). </w:t>
      </w:r>
      <w:r>
        <w:rPr>
          <w:rFonts w:eastAsia="Calibri" w:cs="Calibri"/>
        </w:rPr>
        <w:t xml:space="preserve">Dat acht ik ook niet wenselijk. Zoals ik hiervoor in antwoord op vraag 6 heb </w:t>
      </w:r>
      <w:r w:rsidRPr="002973D0">
        <w:rPr>
          <w:rFonts w:eastAsia="Calibri" w:cs="Calibri"/>
        </w:rPr>
        <w:t>benadruk</w:t>
      </w:r>
      <w:r>
        <w:rPr>
          <w:rFonts w:eastAsia="Calibri" w:cs="Calibri"/>
        </w:rPr>
        <w:t xml:space="preserve">t, is dit ook </w:t>
      </w:r>
      <w:r w:rsidRPr="002973D0">
        <w:rPr>
          <w:rFonts w:eastAsia="Calibri" w:cs="Calibri"/>
        </w:rPr>
        <w:t xml:space="preserve">niet </w:t>
      </w:r>
      <w:r>
        <w:rPr>
          <w:rFonts w:eastAsia="Calibri" w:cs="Calibri"/>
        </w:rPr>
        <w:t xml:space="preserve">aan </w:t>
      </w:r>
      <w:r w:rsidRPr="002973D0">
        <w:rPr>
          <w:rFonts w:eastAsia="Calibri" w:cs="Calibri"/>
        </w:rPr>
        <w:t xml:space="preserve">mij. </w:t>
      </w:r>
      <w:r>
        <w:rPr>
          <w:rFonts w:eastAsia="Calibri" w:cs="Calibri"/>
        </w:rPr>
        <w:t>Wel heeft m</w:t>
      </w:r>
      <w:r w:rsidRPr="0068386C">
        <w:rPr>
          <w:rFonts w:eastAsia="Calibri" w:cs="Calibri"/>
        </w:rPr>
        <w:t>ijn ministerie een toelichting gegeven aan onder andere Klarna over de civielrechtelijke gevolgen en wat in de memorie van toelichting bij de Wki is opgenomen over de definitie van buitengerechtelijke incassowerkzaamheden, ongeacht of voor deze werkzaamheden kosten in rekening worden gebracht bij de schuldenaar</w:t>
      </w:r>
      <w:r w:rsidRPr="00DD0CB5">
        <w:rPr>
          <w:rFonts w:cs="Calibri"/>
          <w:bCs/>
        </w:rPr>
        <w:t xml:space="preserve">. </w:t>
      </w:r>
      <w:r w:rsidRPr="00C54060">
        <w:rPr>
          <w:rFonts w:eastAsia="Calibri" w:cs="Calibri"/>
        </w:rPr>
        <w:t xml:space="preserve"> Dit nadat in een regulier overleg met de Vereniging van financieringsondernemingen in Nederland (Vfn) was aangegeven dat schuldeisers een belangrijke rol hebben in het naleven van de wet door enkel incassowerkzaamheden te laten verrichten door geregistreerde partijen. Ook omdat hier vanaf 1 oktober 2026 civielrechtelijke gevolgen aan verbonden zijn die ook impact hebben op de schuldeisers zelf.  </w:t>
      </w:r>
    </w:p>
    <w:p w:rsidR="000F08A2" w:rsidP="000F08A2" w:rsidRDefault="000F08A2" w14:paraId="3860C21F" w14:textId="77777777">
      <w:pPr>
        <w:rPr>
          <w:rFonts w:eastAsia="Calibri" w:cs="Calibri"/>
        </w:rPr>
      </w:pPr>
      <w:r>
        <w:rPr>
          <w:rFonts w:eastAsia="Calibri" w:cs="Calibri"/>
        </w:rPr>
        <w:t xml:space="preserve">Omdat het gesprek een toelichtend karakter had en niet zag op een beoordeling van de werkwijze van Klarna, is ervoor gekozen </w:t>
      </w:r>
      <w:r w:rsidRPr="00C54060">
        <w:rPr>
          <w:rFonts w:eastAsia="Calibri" w:cs="Calibri"/>
        </w:rPr>
        <w:t>de Inspectie</w:t>
      </w:r>
      <w:r>
        <w:rPr>
          <w:rFonts w:eastAsia="Calibri" w:cs="Calibri"/>
        </w:rPr>
        <w:t xml:space="preserve"> niet</w:t>
      </w:r>
      <w:r w:rsidRPr="00C54060">
        <w:rPr>
          <w:rFonts w:eastAsia="Calibri" w:cs="Calibri"/>
        </w:rPr>
        <w:t xml:space="preserve"> bij het gesprek te betrekken.</w:t>
      </w:r>
    </w:p>
    <w:p w:rsidRPr="00C54060" w:rsidR="000F08A2" w:rsidP="000F08A2" w:rsidRDefault="000F08A2" w14:paraId="7303EDC9" w14:textId="77777777">
      <w:pPr>
        <w:rPr>
          <w:rFonts w:cs="Calibri"/>
        </w:rPr>
      </w:pPr>
    </w:p>
    <w:p w:rsidRPr="00C54060" w:rsidR="000F08A2" w:rsidP="000F08A2" w:rsidRDefault="000F08A2" w14:paraId="78C61FA4" w14:textId="77777777">
      <w:pPr>
        <w:rPr>
          <w:rFonts w:cs="Calibri"/>
          <w:b/>
        </w:rPr>
      </w:pPr>
      <w:r w:rsidRPr="00C54060">
        <w:rPr>
          <w:rFonts w:cs="Calibri"/>
          <w:b/>
        </w:rPr>
        <w:t>Vraag 11</w:t>
      </w:r>
    </w:p>
    <w:p w:rsidR="000F08A2" w:rsidP="000F08A2" w:rsidRDefault="000F08A2" w14:paraId="63B8DEDF" w14:textId="77777777">
      <w:pPr>
        <w:rPr>
          <w:rFonts w:cs="Calibri"/>
          <w:b/>
        </w:rPr>
      </w:pPr>
      <w:r w:rsidRPr="00C54060">
        <w:rPr>
          <w:rFonts w:cs="Calibri"/>
          <w:b/>
        </w:rPr>
        <w:t>Kunt u aangeven waarom met Klarna wordt ‘overlegd’ terwijl in het nieuwsbericht van de Inspectie Justitie en Veiligheid staat dat “incassodienstverleners die niet zijn geregistreerd hun werkzaamheden met onmiddellijke ingang [moeten] staken en gestaakt houden”? 3)</w:t>
      </w:r>
    </w:p>
    <w:p w:rsidRPr="00C54060" w:rsidR="000F08A2" w:rsidP="000F08A2" w:rsidRDefault="000F08A2" w14:paraId="464AFA70" w14:textId="77777777">
      <w:pPr>
        <w:rPr>
          <w:rFonts w:cs="Calibri"/>
          <w:b/>
        </w:rPr>
      </w:pPr>
    </w:p>
    <w:p w:rsidRPr="0068386C" w:rsidR="000F08A2" w:rsidP="000F08A2" w:rsidRDefault="000F08A2" w14:paraId="457663F8" w14:textId="77777777">
      <w:pPr>
        <w:rPr>
          <w:rFonts w:cs="Calibri"/>
          <w:bCs/>
        </w:rPr>
      </w:pPr>
      <w:r w:rsidRPr="00DD0CB5">
        <w:rPr>
          <w:rFonts w:cs="Calibri"/>
          <w:b/>
        </w:rPr>
        <w:lastRenderedPageBreak/>
        <w:t xml:space="preserve">Antwoord </w:t>
      </w:r>
      <w:r>
        <w:rPr>
          <w:rFonts w:cs="Calibri"/>
          <w:b/>
        </w:rPr>
        <w:t xml:space="preserve">op </w:t>
      </w:r>
      <w:r w:rsidRPr="00DD0CB5">
        <w:rPr>
          <w:rFonts w:cs="Calibri"/>
          <w:b/>
        </w:rPr>
        <w:t>vraag 11</w:t>
      </w:r>
      <w:r>
        <w:rPr>
          <w:rFonts w:cs="Calibri"/>
          <w:b/>
        </w:rPr>
        <w:t xml:space="preserve">                                                                                                 </w:t>
      </w:r>
      <w:r w:rsidRPr="00C54060">
        <w:rPr>
          <w:rFonts w:cs="Calibri"/>
          <w:bCs/>
        </w:rPr>
        <w:t xml:space="preserve">Zoals ik heb aangegeven in het antwoord op de vragen 9 en 10 heb ik geen overleg gehad met Klarna over haar naleving van de Wki. </w:t>
      </w:r>
      <w:r>
        <w:rPr>
          <w:rFonts w:cs="Calibri"/>
          <w:bCs/>
        </w:rPr>
        <w:br/>
      </w:r>
      <w:r w:rsidRPr="0068386C">
        <w:rPr>
          <w:rFonts w:cs="Calibri"/>
          <w:bCs/>
        </w:rPr>
        <w:t xml:space="preserve">Op grond van artikel 4 van de Wet kwaliteit incassodienstverlening (Wki), is het verboden voor incassodienstverleners zonder geldige registratie buitengerechtelijke incassowerkzaamheden te verrichten of aan te bieden. Dit wordt eveneens benadrukt in het nieuwsbericht van de Inspectie Justitie en Veiligheid. In dit kader wil ik toevoegen dat het van groot belang is dat </w:t>
      </w:r>
      <w:r w:rsidRPr="002E372D">
        <w:rPr>
          <w:rFonts w:cs="Calibri"/>
          <w:bCs/>
        </w:rPr>
        <w:t xml:space="preserve">ook </w:t>
      </w:r>
      <w:r w:rsidRPr="0068386C">
        <w:rPr>
          <w:rFonts w:cs="Calibri"/>
          <w:bCs/>
        </w:rPr>
        <w:t>BNPL- partijen</w:t>
      </w:r>
      <w:r w:rsidRPr="002E372D">
        <w:rPr>
          <w:rFonts w:cs="Calibri"/>
          <w:bCs/>
        </w:rPr>
        <w:t xml:space="preserve"> (waaronder Klarna)</w:t>
      </w:r>
      <w:r w:rsidRPr="0068386C">
        <w:rPr>
          <w:rFonts w:cs="Calibri"/>
          <w:bCs/>
        </w:rPr>
        <w:t xml:space="preserve"> zich alsnog inschrijven als zij hun incassowerkzaamheden in de toekomst willen continueren.</w:t>
      </w:r>
    </w:p>
    <w:p w:rsidRPr="00C54060" w:rsidR="000F08A2" w:rsidP="000F08A2" w:rsidRDefault="000F08A2" w14:paraId="69E5ED4B" w14:textId="77777777">
      <w:pPr>
        <w:rPr>
          <w:rFonts w:cs="Calibri"/>
          <w:b/>
        </w:rPr>
      </w:pPr>
      <w:r w:rsidRPr="00C54060">
        <w:rPr>
          <w:rFonts w:cs="Calibri"/>
          <w:b/>
        </w:rPr>
        <w:t>Vraag 12</w:t>
      </w:r>
    </w:p>
    <w:p w:rsidR="000F08A2" w:rsidP="000F08A2" w:rsidRDefault="000F08A2" w14:paraId="34CD4C09" w14:textId="77777777">
      <w:pPr>
        <w:rPr>
          <w:rFonts w:cs="Calibri"/>
          <w:b/>
        </w:rPr>
      </w:pPr>
      <w:r w:rsidRPr="00C54060">
        <w:rPr>
          <w:rFonts w:cs="Calibri"/>
          <w:b/>
        </w:rPr>
        <w:t>Klopt het dat het overtreden van de registratieplicht in het incassoregister wordt aangemerkt als een economisch delict in de zin van de Wet op de economische delicten (WED)? Kunnen burgers in dit geval zelf aangifte doen van een vermoedelijke overtreding van deze registratieplicht door een incassodienstverlener?</w:t>
      </w:r>
    </w:p>
    <w:p w:rsidRPr="00C54060" w:rsidR="000F08A2" w:rsidP="000F08A2" w:rsidRDefault="000F08A2" w14:paraId="42EABD6D" w14:textId="77777777">
      <w:pPr>
        <w:rPr>
          <w:rFonts w:cs="Calibri"/>
        </w:rPr>
      </w:pPr>
    </w:p>
    <w:p w:rsidRPr="00C54060" w:rsidR="000F08A2" w:rsidP="000F08A2" w:rsidRDefault="000F08A2" w14:paraId="4271D55D" w14:textId="77777777">
      <w:pPr>
        <w:rPr>
          <w:rFonts w:cs="Calibri"/>
        </w:rPr>
      </w:pPr>
      <w:bookmarkStart w:name="_Hlk214283447" w:id="0"/>
      <w:r w:rsidRPr="002A62FE">
        <w:rPr>
          <w:rFonts w:cs="Calibri"/>
          <w:b/>
        </w:rPr>
        <w:t xml:space="preserve">Antwoord </w:t>
      </w:r>
      <w:r>
        <w:rPr>
          <w:rFonts w:cs="Calibri"/>
          <w:b/>
        </w:rPr>
        <w:t xml:space="preserve">op </w:t>
      </w:r>
      <w:r w:rsidRPr="002A62FE">
        <w:rPr>
          <w:rFonts w:cs="Calibri"/>
          <w:b/>
        </w:rPr>
        <w:t xml:space="preserve">vraag </w:t>
      </w:r>
      <w:r>
        <w:rPr>
          <w:rFonts w:cs="Calibri"/>
          <w:b/>
        </w:rPr>
        <w:t xml:space="preserve">12                                                                                                 </w:t>
      </w:r>
      <w:r w:rsidRPr="00C54060">
        <w:rPr>
          <w:rFonts w:cs="Calibri"/>
        </w:rPr>
        <w:t>Ja, het overtreden van de registratieplicht is een economisch delict op grond van de Wet op de economische delicten.</w:t>
      </w:r>
      <w:r w:rsidRPr="00C54060">
        <w:rPr>
          <w:rFonts w:cs="Calibri"/>
          <w:vertAlign w:val="superscript"/>
        </w:rPr>
        <w:footnoteReference w:id="15"/>
      </w:r>
      <w:r w:rsidRPr="00C54060">
        <w:rPr>
          <w:rFonts w:cs="Calibri"/>
        </w:rPr>
        <w:t xml:space="preserve"> Het Openbaar Ministerie (hierna OM) is bevoegd hiertegen op te treden. Iedereen die een vermoeden heeft van het niet naleven door een incassobedrijf van de registratieplicht in de zin van de Wki kan daarvan aangifte doen bij de politie. </w:t>
      </w:r>
      <w:bookmarkStart w:name="_Hlk216947582" w:id="1"/>
      <w:r>
        <w:rPr>
          <w:rFonts w:cs="Calibri"/>
        </w:rPr>
        <w:br/>
      </w:r>
      <w:bookmarkEnd w:id="1"/>
      <w:r w:rsidRPr="00C54060">
        <w:rPr>
          <w:rFonts w:cs="Calibri"/>
        </w:rPr>
        <w:t>De Inspectie JenV ziet erop toe dat de incassosector de registratieplicht naleeft en heeft eveneens een meldpunt</w:t>
      </w:r>
      <w:r>
        <w:rPr>
          <w:rFonts w:cs="Calibri"/>
        </w:rPr>
        <w:t xml:space="preserve"> Wki, </w:t>
      </w:r>
      <w:r w:rsidRPr="00C54060">
        <w:rPr>
          <w:rFonts w:cs="Calibri"/>
        </w:rPr>
        <w:t>zodat burgers met individuele problemen met een incassodienstverlener hiervan melding kunnen maken.</w:t>
      </w:r>
      <w:r w:rsidRPr="00C54060">
        <w:rPr>
          <w:rFonts w:cs="Calibri"/>
          <w:vertAlign w:val="superscript"/>
        </w:rPr>
        <w:footnoteReference w:id="16"/>
      </w:r>
      <w:r w:rsidRPr="00C54060">
        <w:rPr>
          <w:rFonts w:cs="Calibri"/>
        </w:rPr>
        <w:t xml:space="preserve"> </w:t>
      </w:r>
    </w:p>
    <w:bookmarkEnd w:id="0"/>
    <w:p w:rsidR="000F08A2" w:rsidP="000F08A2" w:rsidRDefault="000F08A2" w14:paraId="241337AA" w14:textId="77777777">
      <w:pPr>
        <w:rPr>
          <w:rFonts w:cs="Calibri"/>
          <w:b/>
        </w:rPr>
      </w:pPr>
    </w:p>
    <w:p w:rsidR="000F08A2" w:rsidP="000F08A2" w:rsidRDefault="000F08A2" w14:paraId="104B374C" w14:textId="77777777">
      <w:pPr>
        <w:rPr>
          <w:rFonts w:cs="Calibri"/>
          <w:b/>
        </w:rPr>
      </w:pPr>
    </w:p>
    <w:p w:rsidR="000F08A2" w:rsidP="000F08A2" w:rsidRDefault="000F08A2" w14:paraId="30951D7A" w14:textId="77777777">
      <w:pPr>
        <w:rPr>
          <w:rFonts w:cs="Calibri"/>
          <w:b/>
        </w:rPr>
      </w:pPr>
    </w:p>
    <w:p w:rsidR="000F08A2" w:rsidP="000F08A2" w:rsidRDefault="000F08A2" w14:paraId="63989401" w14:textId="77777777">
      <w:pPr>
        <w:rPr>
          <w:rFonts w:cs="Calibri"/>
          <w:b/>
        </w:rPr>
      </w:pPr>
    </w:p>
    <w:p w:rsidR="000F08A2" w:rsidP="000F08A2" w:rsidRDefault="000F08A2" w14:paraId="6F72DD87" w14:textId="77777777">
      <w:pPr>
        <w:rPr>
          <w:rFonts w:cs="Calibri"/>
          <w:b/>
        </w:rPr>
      </w:pPr>
    </w:p>
    <w:p w:rsidR="000F08A2" w:rsidP="000F08A2" w:rsidRDefault="000F08A2" w14:paraId="24A964DA" w14:textId="77777777">
      <w:pPr>
        <w:rPr>
          <w:rFonts w:cs="Calibri"/>
          <w:b/>
        </w:rPr>
      </w:pPr>
    </w:p>
    <w:p w:rsidRPr="00C54060" w:rsidR="000F08A2" w:rsidP="000F08A2" w:rsidRDefault="000F08A2" w14:paraId="118ECCC0" w14:textId="77777777">
      <w:pPr>
        <w:rPr>
          <w:rFonts w:cs="Calibri"/>
          <w:b/>
        </w:rPr>
      </w:pPr>
      <w:r w:rsidRPr="00C54060">
        <w:rPr>
          <w:rFonts w:cs="Calibri"/>
          <w:b/>
        </w:rPr>
        <w:lastRenderedPageBreak/>
        <w:t>Vraag 13</w:t>
      </w:r>
    </w:p>
    <w:p w:rsidR="000F08A2" w:rsidP="000F08A2" w:rsidRDefault="000F08A2" w14:paraId="2E519527" w14:textId="77777777">
      <w:pPr>
        <w:rPr>
          <w:rFonts w:cs="Calibri"/>
          <w:b/>
        </w:rPr>
      </w:pPr>
      <w:r w:rsidRPr="00C54060">
        <w:rPr>
          <w:rFonts w:cs="Calibri"/>
          <w:b/>
        </w:rPr>
        <w:t>Op welke wijze wordt er gehandhaafd op de Wet kwaliteit incassodienstverlening? Kunt u cijfers delen van de hoeveelheid boetes et cetera die zijn opgelegd?</w:t>
      </w:r>
    </w:p>
    <w:p w:rsidR="000F08A2" w:rsidP="000F08A2" w:rsidRDefault="000F08A2" w14:paraId="0AD3C3E0" w14:textId="77777777">
      <w:pPr>
        <w:rPr>
          <w:rFonts w:cs="Calibri"/>
          <w:b/>
        </w:rPr>
      </w:pPr>
    </w:p>
    <w:p w:rsidRPr="00C54060" w:rsidR="000F08A2" w:rsidP="000F08A2" w:rsidRDefault="000F08A2" w14:paraId="790E1F85" w14:textId="77777777">
      <w:pPr>
        <w:rPr>
          <w:rFonts w:cs="Calibri"/>
        </w:rPr>
      </w:pPr>
      <w:r w:rsidRPr="002A62FE">
        <w:rPr>
          <w:rFonts w:cs="Calibri"/>
          <w:b/>
        </w:rPr>
        <w:t xml:space="preserve">Antwoord </w:t>
      </w:r>
      <w:r>
        <w:rPr>
          <w:rFonts w:cs="Calibri"/>
          <w:b/>
        </w:rPr>
        <w:t xml:space="preserve">op </w:t>
      </w:r>
      <w:r w:rsidRPr="002A62FE">
        <w:rPr>
          <w:rFonts w:cs="Calibri"/>
          <w:b/>
        </w:rPr>
        <w:t xml:space="preserve">vraag </w:t>
      </w:r>
      <w:r>
        <w:rPr>
          <w:rFonts w:cs="Calibri"/>
          <w:b/>
        </w:rPr>
        <w:t xml:space="preserve">13                                                                                                 </w:t>
      </w:r>
      <w:r w:rsidRPr="00C54060">
        <w:rPr>
          <w:rFonts w:cs="Calibri"/>
        </w:rPr>
        <w:t xml:space="preserve">De Inspectie JenV beschikt over verschillende handhavingsinstrumenten, waaronder de last onder dwangsom, bestuurlijke boete en doorhaling en/of schorsing van een registratie. Naast dit formele handhavingsinstrumentarium beschikt de Inspectie JenV ook over informele instrumenten zoals het voeren van een normoverdragend gesprek met een onderneming en het uitdelen van waarschuwingen. In het geval het geboden is om strafrechtelijk op te treden, is het OM aan zet. </w:t>
      </w:r>
    </w:p>
    <w:p w:rsidR="000F08A2" w:rsidP="000F08A2" w:rsidRDefault="000F08A2" w14:paraId="2DDC2588" w14:textId="77777777">
      <w:pPr>
        <w:contextualSpacing/>
        <w:rPr>
          <w:rFonts w:cs="Calibri"/>
        </w:rPr>
      </w:pPr>
      <w:r w:rsidRPr="00C54060">
        <w:rPr>
          <w:rFonts w:cs="Calibri"/>
        </w:rPr>
        <w:t xml:space="preserve">De Inspectie heeft in 2025 tot op heden vijftien keer geïntervenieerd naar aanleiding van geconstateerde overtredingen. In elf gevallen betrof het de inzet van een informeel handhavingsinstrument (waarschuwingsbrief en/of normoverdragend gesprek) en in vier gevallen de inzet van een formeel handhavingsinstrument (last onder dwangsom of bestuurlijke boete). </w:t>
      </w:r>
    </w:p>
    <w:p w:rsidRPr="00C54060" w:rsidR="000F08A2" w:rsidP="000F08A2" w:rsidRDefault="000F08A2" w14:paraId="7198A1C1" w14:textId="77777777">
      <w:pPr>
        <w:contextualSpacing/>
        <w:rPr>
          <w:rFonts w:cs="Calibri"/>
        </w:rPr>
      </w:pPr>
    </w:p>
    <w:p w:rsidRPr="00C54060" w:rsidR="000F08A2" w:rsidP="000F08A2" w:rsidRDefault="000F08A2" w14:paraId="078250AB" w14:textId="77777777">
      <w:pPr>
        <w:rPr>
          <w:rFonts w:cs="Calibri"/>
          <w:b/>
        </w:rPr>
      </w:pPr>
      <w:r w:rsidRPr="00C54060">
        <w:rPr>
          <w:rFonts w:cs="Calibri"/>
          <w:b/>
        </w:rPr>
        <w:t>Vraag 14</w:t>
      </w:r>
    </w:p>
    <w:p w:rsidR="000F08A2" w:rsidP="000F08A2" w:rsidRDefault="000F08A2" w14:paraId="2D5D64CC" w14:textId="77777777">
      <w:pPr>
        <w:rPr>
          <w:rFonts w:cs="Calibri"/>
          <w:b/>
        </w:rPr>
      </w:pPr>
      <w:r w:rsidRPr="00C54060">
        <w:rPr>
          <w:rFonts w:cs="Calibri"/>
          <w:b/>
        </w:rPr>
        <w:t>Heeft de Inspectie Justitie en Veiligheid volgens u voldoende instrumenten en capaciteit om adequaat te kunnen handhaven om een afschrikwekkende werking te hebben waardoor bedrijven zich genoodzaakt voelen om te voldoen aan de wet?</w:t>
      </w:r>
    </w:p>
    <w:p w:rsidRPr="00C54060" w:rsidR="000F08A2" w:rsidP="000F08A2" w:rsidRDefault="000F08A2" w14:paraId="72F0B42F" w14:textId="77777777">
      <w:pPr>
        <w:rPr>
          <w:rFonts w:cs="Calibri"/>
        </w:rPr>
      </w:pPr>
    </w:p>
    <w:p w:rsidRPr="00340FDE" w:rsidR="000F08A2" w:rsidP="000F08A2" w:rsidRDefault="000F08A2" w14:paraId="173D5342" w14:textId="77777777">
      <w:pPr>
        <w:rPr>
          <w:rFonts w:cs="Calibri"/>
          <w:b/>
        </w:rPr>
      </w:pPr>
      <w:r w:rsidRPr="00340FDE">
        <w:rPr>
          <w:rFonts w:cs="Calibri"/>
          <w:b/>
        </w:rPr>
        <w:t>Vraag 15</w:t>
      </w:r>
    </w:p>
    <w:p w:rsidRPr="00340FDE" w:rsidR="000F08A2" w:rsidP="000F08A2" w:rsidRDefault="000F08A2" w14:paraId="26AFB8E9" w14:textId="77777777">
      <w:pPr>
        <w:rPr>
          <w:rFonts w:cs="Calibri"/>
          <w:b/>
        </w:rPr>
      </w:pPr>
      <w:r w:rsidRPr="00340FDE">
        <w:rPr>
          <w:rFonts w:cs="Calibri"/>
          <w:b/>
        </w:rPr>
        <w:t>Wat vindt u van de suggestie die gedaan wordt in het artikel om de wetgeving aan te scherpen ten aanzien van de wijze waarop zogeheten BNPL-bedrijven mogen samenwerken met incassobureaus? Bent u bereid te onderzoeken of aanvullende regelgeving of toezicht nodig is om consumenten beter te beschermen tegen agressieve incassopraktijken in deze sector?</w:t>
      </w:r>
    </w:p>
    <w:p w:rsidR="000F08A2" w:rsidP="000F08A2" w:rsidRDefault="000F08A2" w14:paraId="3E558362" w14:textId="77777777">
      <w:pPr>
        <w:rPr>
          <w:rFonts w:cs="Calibri"/>
          <w:b/>
        </w:rPr>
      </w:pPr>
    </w:p>
    <w:p w:rsidR="000F08A2" w:rsidP="000F08A2" w:rsidRDefault="000F08A2" w14:paraId="719E1E0A" w14:textId="77777777">
      <w:pPr>
        <w:rPr>
          <w:rFonts w:cs="Calibri"/>
          <w:b/>
        </w:rPr>
      </w:pPr>
    </w:p>
    <w:p w:rsidR="000F08A2" w:rsidP="000F08A2" w:rsidRDefault="000F08A2" w14:paraId="59F364DC" w14:textId="77777777">
      <w:pPr>
        <w:rPr>
          <w:rFonts w:cs="Calibri"/>
          <w:b/>
        </w:rPr>
      </w:pPr>
    </w:p>
    <w:p w:rsidR="000F08A2" w:rsidP="000F08A2" w:rsidRDefault="000F08A2" w14:paraId="6971363E" w14:textId="77777777">
      <w:pPr>
        <w:rPr>
          <w:rFonts w:cs="Calibri"/>
          <w:b/>
        </w:rPr>
      </w:pPr>
    </w:p>
    <w:p w:rsidR="000F08A2" w:rsidP="000F08A2" w:rsidRDefault="000F08A2" w14:paraId="373ADF10" w14:textId="77777777">
      <w:pPr>
        <w:rPr>
          <w:rFonts w:cs="Calibri"/>
          <w:b/>
        </w:rPr>
      </w:pPr>
    </w:p>
    <w:p w:rsidR="000F08A2" w:rsidP="000F08A2" w:rsidRDefault="000F08A2" w14:paraId="688C29EC" w14:textId="77777777">
      <w:pPr>
        <w:rPr>
          <w:rFonts w:cs="Calibri"/>
          <w:b/>
        </w:rPr>
      </w:pPr>
    </w:p>
    <w:p w:rsidR="000F08A2" w:rsidP="000F08A2" w:rsidRDefault="000F08A2" w14:paraId="64313D04" w14:textId="77777777">
      <w:pPr>
        <w:rPr>
          <w:rFonts w:cs="Calibri"/>
          <w:b/>
        </w:rPr>
      </w:pPr>
    </w:p>
    <w:p w:rsidR="000F08A2" w:rsidP="000F08A2" w:rsidRDefault="000F08A2" w14:paraId="4FFEAD13" w14:textId="77777777">
      <w:pPr>
        <w:rPr>
          <w:rFonts w:cs="Calibri"/>
          <w:b/>
        </w:rPr>
      </w:pPr>
    </w:p>
    <w:p w:rsidR="000F08A2" w:rsidP="000F08A2" w:rsidRDefault="000F08A2" w14:paraId="78429DF2" w14:textId="77777777">
      <w:pPr>
        <w:rPr>
          <w:rFonts w:cs="Calibri"/>
          <w:b/>
        </w:rPr>
      </w:pPr>
    </w:p>
    <w:p w:rsidR="000F08A2" w:rsidP="000F08A2" w:rsidRDefault="000F08A2" w14:paraId="2EB24A45" w14:textId="77777777">
      <w:pPr>
        <w:rPr>
          <w:rFonts w:cs="Calibri"/>
          <w:b/>
        </w:rPr>
      </w:pPr>
    </w:p>
    <w:p w:rsidR="000F08A2" w:rsidP="000F08A2" w:rsidRDefault="000F08A2" w14:paraId="08D80E90" w14:textId="77777777">
      <w:pPr>
        <w:rPr>
          <w:rFonts w:cs="Calibri"/>
          <w:b/>
        </w:rPr>
      </w:pPr>
    </w:p>
    <w:p w:rsidR="000F08A2" w:rsidP="000F08A2" w:rsidRDefault="000F08A2" w14:paraId="63B36774" w14:textId="77777777">
      <w:pPr>
        <w:rPr>
          <w:rFonts w:cs="Calibri"/>
          <w:b/>
        </w:rPr>
      </w:pPr>
    </w:p>
    <w:p w:rsidR="000F08A2" w:rsidP="000F08A2" w:rsidRDefault="000F08A2" w14:paraId="7494AF5E" w14:textId="77777777">
      <w:pPr>
        <w:rPr>
          <w:rFonts w:cs="Calibri"/>
          <w:b/>
        </w:rPr>
      </w:pPr>
    </w:p>
    <w:p w:rsidR="000F08A2" w:rsidP="000F08A2" w:rsidRDefault="000F08A2" w14:paraId="0718AE60" w14:textId="77777777">
      <w:pPr>
        <w:rPr>
          <w:rFonts w:cs="Calibri"/>
          <w:b/>
        </w:rPr>
      </w:pPr>
    </w:p>
    <w:p w:rsidR="000F08A2" w:rsidP="000F08A2" w:rsidRDefault="000F08A2" w14:paraId="58E64ADA" w14:textId="77777777">
      <w:pPr>
        <w:rPr>
          <w:rFonts w:eastAsia="Calibri" w:cs="Calibri"/>
        </w:rPr>
      </w:pPr>
      <w:r w:rsidRPr="002A62FE">
        <w:rPr>
          <w:rFonts w:cs="Calibri"/>
          <w:b/>
        </w:rPr>
        <w:t xml:space="preserve">Antwoord </w:t>
      </w:r>
      <w:r>
        <w:rPr>
          <w:rFonts w:cs="Calibri"/>
          <w:b/>
        </w:rPr>
        <w:t xml:space="preserve">op </w:t>
      </w:r>
      <w:r w:rsidRPr="002A62FE">
        <w:rPr>
          <w:rFonts w:cs="Calibri"/>
          <w:b/>
        </w:rPr>
        <w:t>vra</w:t>
      </w:r>
      <w:r>
        <w:rPr>
          <w:rFonts w:cs="Calibri"/>
          <w:b/>
        </w:rPr>
        <w:t xml:space="preserve">ag 14 en 15            </w:t>
      </w:r>
      <w:r>
        <w:rPr>
          <w:rFonts w:eastAsia="Calibri" w:cs="Calibri"/>
        </w:rPr>
        <w:t xml:space="preserve">                                                                                  </w:t>
      </w:r>
    </w:p>
    <w:p w:rsidR="000F08A2" w:rsidP="000F08A2" w:rsidRDefault="000F08A2" w14:paraId="15D26CF5" w14:textId="77777777">
      <w:pPr>
        <w:rPr>
          <w:rFonts w:eastAsia="Calibri" w:cs="Calibri"/>
        </w:rPr>
      </w:pPr>
      <w:r w:rsidRPr="00C54060">
        <w:rPr>
          <w:rFonts w:eastAsia="Calibri" w:cs="Calibri"/>
        </w:rPr>
        <w:t xml:space="preserve">De Inspectie JenV heeft bij het ministerie kenbaar gemaakt dat zij voor een effectieve uitvoering van haar toezichtstaak aanvullende instrumenten en capaciteit wenselijk acht. </w:t>
      </w:r>
      <w:r w:rsidRPr="00DA70A5">
        <w:rPr>
          <w:rFonts w:eastAsia="Calibri" w:cs="Calibri"/>
        </w:rPr>
        <w:t xml:space="preserve">In 2026 heb ik, net als vorig jaar, met het oog op een effectieve uitvoering extra middelen beschikbaar gesteld voor de Inspectie JenV ter ondersteuning van haar toezichttaak, waaronder voor uitbreiding van capaciteit en het Meldpunt Wki van de Inspectie JenV.  </w:t>
      </w:r>
    </w:p>
    <w:p w:rsidRPr="00DA70A5" w:rsidR="000F08A2" w:rsidP="000F08A2" w:rsidRDefault="000F08A2" w14:paraId="44AAABBA" w14:textId="77777777">
      <w:pPr>
        <w:rPr>
          <w:rFonts w:eastAsia="Calibri" w:cs="Calibri"/>
        </w:rPr>
      </w:pPr>
    </w:p>
    <w:p w:rsidR="000F08A2" w:rsidP="000F08A2" w:rsidRDefault="000F08A2" w14:paraId="628AC54D" w14:textId="77777777">
      <w:pPr>
        <w:rPr>
          <w:rFonts w:cs="Calibri"/>
        </w:rPr>
      </w:pPr>
      <w:r w:rsidRPr="00C54060">
        <w:rPr>
          <w:rFonts w:eastAsia="Calibri" w:cs="Calibri"/>
        </w:rPr>
        <w:t xml:space="preserve">Ook herkent de Inspectie JenV dat de reikwijdte </w:t>
      </w:r>
      <w:r>
        <w:rPr>
          <w:rFonts w:eastAsia="Calibri" w:cs="Calibri"/>
        </w:rPr>
        <w:t xml:space="preserve">van de Wki </w:t>
      </w:r>
      <w:r w:rsidRPr="00C54060">
        <w:rPr>
          <w:rFonts w:eastAsia="Calibri" w:cs="Calibri"/>
        </w:rPr>
        <w:t xml:space="preserve">in de praktijk tot vragen en knelpunten leidt. </w:t>
      </w:r>
      <w:r w:rsidRPr="00C54060">
        <w:rPr>
          <w:rFonts w:cs="Calibri"/>
        </w:rPr>
        <w:t xml:space="preserve">In dat kader wil ik benoemen dat </w:t>
      </w:r>
      <w:r w:rsidRPr="00C54060">
        <w:rPr>
          <w:rFonts w:eastAsia="Calibri" w:cs="Calibri"/>
        </w:rPr>
        <w:t>de Invoeringstoets Wki</w:t>
      </w:r>
      <w:r w:rsidRPr="00340FDE">
        <w:rPr>
          <w:rFonts w:cs="Calibri"/>
        </w:rPr>
        <w:t xml:space="preserve"> waarin de knelpunten uit de uitvoeringspraktijk zijn geïnventariseerd</w:t>
      </w:r>
      <w:r>
        <w:rPr>
          <w:rFonts w:cs="Calibri"/>
        </w:rPr>
        <w:t xml:space="preserve"> </w:t>
      </w:r>
      <w:r>
        <w:rPr>
          <w:rFonts w:eastAsia="Calibri" w:cs="Calibri"/>
        </w:rPr>
        <w:t>nagenoeg af is</w:t>
      </w:r>
      <w:r w:rsidRPr="00340FDE">
        <w:rPr>
          <w:rFonts w:cs="Calibri"/>
        </w:rPr>
        <w:t xml:space="preserve"> </w:t>
      </w:r>
      <w:r>
        <w:rPr>
          <w:rFonts w:cs="Calibri"/>
        </w:rPr>
        <w:t xml:space="preserve">en dat ik </w:t>
      </w:r>
      <w:r w:rsidRPr="00340FDE">
        <w:rPr>
          <w:rFonts w:cs="Calibri"/>
        </w:rPr>
        <w:t>momenteel werk aan de kabinetsreactie</w:t>
      </w:r>
      <w:r>
        <w:rPr>
          <w:rFonts w:cs="Calibri"/>
        </w:rPr>
        <w:t xml:space="preserve"> daarop.</w:t>
      </w:r>
      <w:r w:rsidRPr="00340FDE">
        <w:rPr>
          <w:rFonts w:cs="Calibri"/>
        </w:rPr>
        <w:t xml:space="preserve"> De reikwijdte van de wet vormt een expliciet onderdeel van deze toets. Ik verwacht de resultaten dit voorjaar aan uw Kamer te sturen. Ik wil hier nog niet op vooruitlopen. Vooralsnog ga ik ervan uit dat de huidige wetgeving voldoende instrumentarium biedt om de kwaliteit van incassodienstverlening te verbeteren. Tegelijkertijd zal de opgedane ervaring in de praktijk met het toezicht de komende periode moeten uitwijzen of deze instrumenten in de uitvoering toereikend zijn. </w:t>
      </w:r>
    </w:p>
    <w:p w:rsidRPr="00C54060" w:rsidR="000F08A2" w:rsidP="000F08A2" w:rsidRDefault="000F08A2" w14:paraId="00C006CC" w14:textId="77777777">
      <w:pPr>
        <w:rPr>
          <w:rFonts w:cs="Calibri"/>
        </w:rPr>
      </w:pPr>
      <w:r w:rsidRPr="00C54060">
        <w:rPr>
          <w:rFonts w:cs="Calibri"/>
        </w:rPr>
        <w:t>Op basis van deze bevindingen kan bij de evaluatie van de wet worden beoordeeld of aanvullende regelgeving en toezicht noodzakelijk is.</w:t>
      </w:r>
      <w:r>
        <w:rPr>
          <w:rFonts w:cs="Calibri"/>
        </w:rPr>
        <w:t xml:space="preserve"> </w:t>
      </w:r>
      <w:commentRangeStart w:id="2"/>
      <w:r>
        <w:rPr>
          <w:rFonts w:cs="Calibri"/>
        </w:rPr>
        <w:t xml:space="preserve">Bovendien </w:t>
      </w:r>
      <w:r>
        <w:rPr>
          <w:rFonts w:cs="Calibri"/>
        </w:rPr>
        <w:lastRenderedPageBreak/>
        <w:t>treedt het laatste onderdeel van de wet – de civielrechtelijke gevolgen – pas op 1 oktober 2026 in werking.</w:t>
      </w:r>
      <w:commentRangeEnd w:id="2"/>
      <w:r>
        <w:rPr>
          <w:rStyle w:val="Verwijzingopmerking"/>
        </w:rPr>
        <w:commentReference w:id="2"/>
      </w:r>
      <w:r>
        <w:rPr>
          <w:rFonts w:cs="Calibri"/>
          <w:b/>
        </w:rPr>
        <w:t xml:space="preserve">                                                                                             </w:t>
      </w:r>
    </w:p>
    <w:p w:rsidRPr="00C54060" w:rsidR="000F08A2" w:rsidP="000F08A2" w:rsidRDefault="000F08A2" w14:paraId="61D18232" w14:textId="77777777">
      <w:pPr>
        <w:rPr>
          <w:rFonts w:cs="Calibri"/>
        </w:rPr>
      </w:pPr>
      <w:r w:rsidRPr="00C54060">
        <w:rPr>
          <w:rFonts w:cs="Calibri"/>
        </w:rPr>
        <w:t>1) Follow the Money, 8 november 2025, ‘Koop nu, baal later: hoe Klarna-klanten vastlopen in dubieuze incasso­trajecten’, https://www.ftm.nl/artikelen/schaduwkant-achteraf-betalen-klarna-alektum?utm_medium=social&amp;utm_campaign=sharebuttonnietleden</w:t>
      </w:r>
      <w:r w:rsidRPr="00C54060">
        <w:rPr>
          <w:rFonts w:cs="Calibri"/>
        </w:rPr>
        <w:br/>
      </w:r>
    </w:p>
    <w:p w:rsidRPr="00C54060" w:rsidR="000F08A2" w:rsidP="000F08A2" w:rsidRDefault="000F08A2" w14:paraId="3D7C99F2" w14:textId="77777777">
      <w:pPr>
        <w:rPr>
          <w:rFonts w:cs="Calibri"/>
        </w:rPr>
      </w:pPr>
      <w:r w:rsidRPr="00C54060">
        <w:rPr>
          <w:rFonts w:cs="Calibri"/>
        </w:rPr>
        <w:t>2) Klarna, 5 mei 2025, 'Koop nu - Betaal later', Klarna: Koop nu - Betaal later</w:t>
      </w:r>
      <w:r w:rsidRPr="00C54060">
        <w:rPr>
          <w:rFonts w:cs="Calibri"/>
        </w:rPr>
        <w:br/>
      </w:r>
    </w:p>
    <w:p w:rsidRPr="00C54060" w:rsidR="000F08A2" w:rsidP="000F08A2" w:rsidRDefault="000F08A2" w14:paraId="702ABFCA" w14:textId="77777777">
      <w:pPr>
        <w:rPr>
          <w:rFonts w:cs="Calibri"/>
          <w:i/>
        </w:rPr>
      </w:pPr>
      <w:r w:rsidRPr="00C54060">
        <w:rPr>
          <w:rFonts w:cs="Calibri"/>
        </w:rPr>
        <w:t>3) Inspectie Justitie en Veiligheid, 17 juli 2025, 'Controle op registratieplicht incassodienstverleners', Controle op registratieplicht incassodienstverleners | Inspectie Justitie en Veiligheid</w:t>
      </w:r>
    </w:p>
    <w:p w:rsidRPr="001B0B60" w:rsidR="000F08A2" w:rsidP="000F08A2" w:rsidRDefault="000F08A2" w14:paraId="330C9149" w14:textId="77777777"/>
    <w:p w:rsidRPr="001B0B60" w:rsidR="000F08A2" w:rsidP="000F08A2" w:rsidRDefault="000F08A2" w14:paraId="042E5C63" w14:textId="77777777"/>
    <w:p w:rsidR="000F08A2" w:rsidP="000F08A2" w:rsidRDefault="000F08A2" w14:paraId="019B04A8" w14:textId="77777777"/>
    <w:p w:rsidR="000F08A2" w:rsidP="000F08A2" w:rsidRDefault="000F08A2" w14:paraId="330E4778" w14:textId="77777777"/>
    <w:p w:rsidR="000F08A2" w:rsidP="000F08A2" w:rsidRDefault="000F08A2" w14:paraId="45D8A767" w14:textId="77777777"/>
    <w:p w:rsidR="000F08A2" w:rsidP="000F08A2" w:rsidRDefault="000F08A2" w14:paraId="239AF379" w14:textId="77777777"/>
    <w:p w:rsidR="000F08A2" w:rsidP="000F08A2" w:rsidRDefault="000F08A2" w14:paraId="0A7B2B0C" w14:textId="77777777">
      <w:r>
        <w:rPr>
          <w:b/>
          <w:bCs/>
        </w:rPr>
        <w:br/>
      </w:r>
      <w:r>
        <w:rPr>
          <w:b/>
          <w:bCs/>
        </w:rPr>
        <w:br/>
      </w:r>
      <w:r>
        <w:rPr>
          <w:b/>
          <w:bCs/>
        </w:rPr>
        <w:br/>
      </w:r>
    </w:p>
    <w:p w:rsidR="002C3023" w:rsidRDefault="002C3023" w14:paraId="322F26C7" w14:textId="77777777"/>
    <w:sectPr w:rsidR="002C3023" w:rsidSect="000F08A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eur" w:initials="A">
    <w:p w14:paraId="23700EE9" w14:textId="77777777" w:rsidR="000F08A2" w:rsidRDefault="000F08A2" w:rsidP="000F08A2">
      <w:pPr>
        <w:pStyle w:val="Tekstopmerking"/>
      </w:pPr>
      <w:r>
        <w:rPr>
          <w:rStyle w:val="Verwijzingopmerking"/>
        </w:rPr>
        <w:annotationRef/>
      </w:r>
      <w:r>
        <w:t>Wel belangrijk om dit te laten staan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700EE9"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700EE9" w16cid:durableId="6B33BD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39091" w14:textId="77777777" w:rsidR="000F08A2" w:rsidRDefault="000F08A2" w:rsidP="000F08A2">
      <w:pPr>
        <w:spacing w:after="0" w:line="240" w:lineRule="auto"/>
      </w:pPr>
      <w:r>
        <w:separator/>
      </w:r>
    </w:p>
  </w:endnote>
  <w:endnote w:type="continuationSeparator" w:id="0">
    <w:p w14:paraId="61F738B0" w14:textId="77777777" w:rsidR="000F08A2" w:rsidRDefault="000F08A2" w:rsidP="000F0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B8D8" w14:textId="77777777" w:rsidR="000F08A2" w:rsidRPr="000F08A2" w:rsidRDefault="000F08A2" w:rsidP="000F08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4ED2" w14:textId="77777777" w:rsidR="000F08A2" w:rsidRPr="000F08A2" w:rsidRDefault="000F08A2" w:rsidP="000F08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F0AAF" w14:textId="77777777" w:rsidR="000F08A2" w:rsidRPr="000F08A2" w:rsidRDefault="000F08A2" w:rsidP="000F08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3C324" w14:textId="77777777" w:rsidR="000F08A2" w:rsidRDefault="000F08A2" w:rsidP="000F08A2">
      <w:pPr>
        <w:spacing w:after="0" w:line="240" w:lineRule="auto"/>
      </w:pPr>
      <w:r>
        <w:separator/>
      </w:r>
    </w:p>
  </w:footnote>
  <w:footnote w:type="continuationSeparator" w:id="0">
    <w:p w14:paraId="7C279D83" w14:textId="77777777" w:rsidR="000F08A2" w:rsidRDefault="000F08A2" w:rsidP="000F08A2">
      <w:pPr>
        <w:spacing w:after="0" w:line="240" w:lineRule="auto"/>
      </w:pPr>
      <w:r>
        <w:continuationSeparator/>
      </w:r>
    </w:p>
  </w:footnote>
  <w:footnote w:id="1">
    <w:p w14:paraId="3EB565A1" w14:textId="77777777" w:rsidR="000F08A2" w:rsidRPr="002E372D" w:rsidRDefault="000F08A2" w:rsidP="000F08A2">
      <w:pPr>
        <w:pStyle w:val="Voetnoottekst"/>
        <w:rPr>
          <w:rFonts w:ascii="Verdana" w:hAnsi="Verdana"/>
          <w:i/>
          <w:iCs/>
          <w:sz w:val="16"/>
          <w:szCs w:val="16"/>
        </w:rPr>
      </w:pPr>
      <w:r w:rsidRPr="002E372D">
        <w:rPr>
          <w:rStyle w:val="Voetnootmarkering"/>
          <w:rFonts w:ascii="Verdana" w:hAnsi="Verdana"/>
          <w:i/>
          <w:iCs/>
          <w:sz w:val="16"/>
          <w:szCs w:val="16"/>
        </w:rPr>
        <w:footnoteRef/>
      </w:r>
      <w:r w:rsidRPr="002E372D">
        <w:rPr>
          <w:rFonts w:ascii="Verdana" w:hAnsi="Verdana"/>
          <w:i/>
          <w:iCs/>
          <w:sz w:val="16"/>
          <w:szCs w:val="16"/>
        </w:rPr>
        <w:t xml:space="preserve"> Artikel 2 onder b van de Wki</w:t>
      </w:r>
    </w:p>
  </w:footnote>
  <w:footnote w:id="2">
    <w:p w14:paraId="5008B4D8" w14:textId="77777777" w:rsidR="000F08A2" w:rsidRPr="002E372D" w:rsidRDefault="000F08A2" w:rsidP="000F08A2">
      <w:pPr>
        <w:pStyle w:val="Voetnoottekst"/>
        <w:rPr>
          <w:rFonts w:ascii="Verdana" w:hAnsi="Verdana"/>
          <w:sz w:val="16"/>
          <w:szCs w:val="16"/>
        </w:rPr>
      </w:pPr>
      <w:r w:rsidRPr="002E372D">
        <w:rPr>
          <w:rStyle w:val="Voetnootmarkering"/>
          <w:rFonts w:ascii="Verdana" w:hAnsi="Verdana"/>
          <w:i/>
          <w:iCs/>
          <w:sz w:val="16"/>
          <w:szCs w:val="16"/>
        </w:rPr>
        <w:footnoteRef/>
      </w:r>
      <w:r w:rsidRPr="002E372D">
        <w:rPr>
          <w:rFonts w:ascii="Verdana" w:hAnsi="Verdana"/>
          <w:i/>
          <w:iCs/>
          <w:sz w:val="16"/>
          <w:szCs w:val="16"/>
        </w:rPr>
        <w:t xml:space="preserve"> Artikel 3:303 van het Burgerlijk Wetboek</w:t>
      </w:r>
    </w:p>
  </w:footnote>
  <w:footnote w:id="3">
    <w:p w14:paraId="790E96C3" w14:textId="77777777" w:rsidR="000F08A2" w:rsidRPr="002E372D" w:rsidRDefault="000F08A2" w:rsidP="000F08A2">
      <w:pPr>
        <w:pStyle w:val="Voetnoottekst"/>
        <w:rPr>
          <w:rFonts w:ascii="Verdana" w:hAnsi="Verdana" w:cs="Calibri"/>
          <w:i/>
          <w:iCs/>
          <w:sz w:val="16"/>
          <w:szCs w:val="16"/>
        </w:rPr>
      </w:pPr>
      <w:r w:rsidRPr="002E372D">
        <w:rPr>
          <w:rStyle w:val="Voetnootmarkering"/>
          <w:rFonts w:ascii="Verdana" w:hAnsi="Verdana" w:cs="Calibri"/>
          <w:i/>
          <w:iCs/>
          <w:sz w:val="16"/>
          <w:szCs w:val="16"/>
        </w:rPr>
        <w:footnoteRef/>
      </w:r>
      <w:r w:rsidRPr="002E372D">
        <w:rPr>
          <w:rFonts w:ascii="Verdana" w:hAnsi="Verdana" w:cs="Calibri"/>
          <w:i/>
          <w:iCs/>
          <w:sz w:val="16"/>
          <w:szCs w:val="16"/>
        </w:rPr>
        <w:t xml:space="preserve"> Artikel 3:13 Burgerlijk Wetboek </w:t>
      </w:r>
    </w:p>
  </w:footnote>
  <w:footnote w:id="4">
    <w:p w14:paraId="3FBA9DF1" w14:textId="77777777" w:rsidR="000F08A2" w:rsidRPr="002E372D" w:rsidRDefault="000F08A2" w:rsidP="000F08A2">
      <w:pPr>
        <w:pStyle w:val="Voetnoottekst"/>
        <w:rPr>
          <w:rFonts w:ascii="Verdana" w:hAnsi="Verdana"/>
          <w:i/>
          <w:iCs/>
          <w:sz w:val="16"/>
          <w:szCs w:val="16"/>
        </w:rPr>
      </w:pPr>
      <w:r w:rsidRPr="002E372D">
        <w:rPr>
          <w:rStyle w:val="Voetnootmarkering"/>
          <w:rFonts w:ascii="Verdana" w:hAnsi="Verdana"/>
          <w:i/>
          <w:iCs/>
          <w:sz w:val="16"/>
          <w:szCs w:val="16"/>
        </w:rPr>
        <w:footnoteRef/>
      </w:r>
      <w:r w:rsidRPr="002E372D">
        <w:rPr>
          <w:rFonts w:ascii="Verdana" w:hAnsi="Verdana"/>
          <w:i/>
          <w:iCs/>
          <w:sz w:val="16"/>
          <w:szCs w:val="16"/>
        </w:rPr>
        <w:t xml:space="preserve"> Zie voor een toelichting op de toepassing van “misbruik van procesrecht” of “geen belang, geen rechtsvordering” in het geval van strategische rechtszaken tegen publieke participatie van journalisten, niet-gouvernementele organisaties (ngo’s), wetenschappers en maatschappelijke organisaties (in het Engels «strategic lawsuits against public participation» (SLAPPs)): Kamerstukken II 2024-2025, 36731, nr. 3.</w:t>
      </w:r>
    </w:p>
  </w:footnote>
  <w:footnote w:id="5">
    <w:p w14:paraId="7549FDFD" w14:textId="77777777" w:rsidR="000F08A2" w:rsidRDefault="000F08A2" w:rsidP="000F08A2">
      <w:pPr>
        <w:pStyle w:val="Voetnoottekst"/>
      </w:pPr>
      <w:r w:rsidRPr="002E372D">
        <w:rPr>
          <w:rStyle w:val="Voetnootmarkering"/>
          <w:rFonts w:ascii="Verdana" w:hAnsi="Verdana"/>
          <w:i/>
          <w:iCs/>
          <w:sz w:val="16"/>
          <w:szCs w:val="16"/>
        </w:rPr>
        <w:footnoteRef/>
      </w:r>
      <w:r w:rsidRPr="002E372D">
        <w:rPr>
          <w:rFonts w:ascii="Verdana" w:hAnsi="Verdana"/>
          <w:i/>
          <w:iCs/>
          <w:sz w:val="16"/>
          <w:szCs w:val="16"/>
        </w:rPr>
        <w:t xml:space="preserve"> Artikel 237, lid 5 van het Wetboek van Burgerlijke Rechtsvordering</w:t>
      </w:r>
      <w:r w:rsidRPr="002E372D">
        <w:rPr>
          <w:i/>
          <w:iCs/>
        </w:rPr>
        <w:t xml:space="preserve"> </w:t>
      </w:r>
    </w:p>
  </w:footnote>
  <w:footnote w:id="6">
    <w:p w14:paraId="32A1D224" w14:textId="77777777" w:rsidR="000F08A2" w:rsidRPr="0066699F" w:rsidRDefault="000F08A2" w:rsidP="000F08A2">
      <w:pPr>
        <w:pStyle w:val="Voetnoottekst"/>
        <w:rPr>
          <w:rFonts w:ascii="Verdana" w:hAnsi="Verdana"/>
          <w:sz w:val="16"/>
          <w:szCs w:val="16"/>
        </w:rPr>
      </w:pPr>
      <w:r w:rsidRPr="0066699F">
        <w:rPr>
          <w:rStyle w:val="Voetnootmarkering"/>
          <w:rFonts w:ascii="Verdana" w:hAnsi="Verdana"/>
          <w:sz w:val="16"/>
          <w:szCs w:val="16"/>
        </w:rPr>
        <w:footnoteRef/>
      </w:r>
      <w:r w:rsidRPr="0066699F">
        <w:rPr>
          <w:rFonts w:ascii="Verdana" w:hAnsi="Verdana"/>
          <w:sz w:val="16"/>
          <w:szCs w:val="16"/>
        </w:rPr>
        <w:t xml:space="preserve"> </w:t>
      </w:r>
      <w:r w:rsidRPr="0066699F">
        <w:rPr>
          <w:rFonts w:ascii="Verdana" w:hAnsi="Verdana"/>
          <w:i/>
          <w:sz w:val="16"/>
          <w:szCs w:val="16"/>
        </w:rPr>
        <w:t>Kamerstukken II</w:t>
      </w:r>
      <w:r w:rsidRPr="0066699F">
        <w:rPr>
          <w:rFonts w:ascii="Verdana" w:hAnsi="Verdana"/>
          <w:sz w:val="16"/>
          <w:szCs w:val="16"/>
        </w:rPr>
        <w:t>, 2024/25, 24 515, nr. 798.</w:t>
      </w:r>
    </w:p>
  </w:footnote>
  <w:footnote w:id="7">
    <w:p w14:paraId="0507730B" w14:textId="77777777" w:rsidR="000F08A2" w:rsidRPr="0066699F" w:rsidRDefault="000F08A2" w:rsidP="000F08A2">
      <w:pPr>
        <w:pStyle w:val="Voetnoottekst"/>
        <w:rPr>
          <w:rFonts w:ascii="Verdana" w:hAnsi="Verdana"/>
          <w:sz w:val="16"/>
          <w:szCs w:val="16"/>
        </w:rPr>
      </w:pPr>
      <w:r w:rsidRPr="0066699F">
        <w:rPr>
          <w:rStyle w:val="Voetnootmarkering"/>
          <w:rFonts w:ascii="Verdana" w:hAnsi="Verdana"/>
          <w:sz w:val="16"/>
          <w:szCs w:val="16"/>
        </w:rPr>
        <w:footnoteRef/>
      </w:r>
      <w:r w:rsidRPr="0066699F">
        <w:rPr>
          <w:rFonts w:ascii="Verdana" w:hAnsi="Verdana"/>
          <w:sz w:val="16"/>
          <w:szCs w:val="16"/>
        </w:rPr>
        <w:t xml:space="preserve"> Deze toezegging is gedaan naar aanleiding van de aangehouden motie van de leden Lahlah (PvdA-GL) en Ceder (CU) waarin de regering wordt verzocht om de wettelijke incassokosten te verlagen en daarbij de tarieven in landen als Zweden en Duitsland als voorbeeld te nemen (24 515, Nr. 789).  </w:t>
      </w:r>
    </w:p>
  </w:footnote>
  <w:footnote w:id="8">
    <w:p w14:paraId="09D516CF" w14:textId="77777777" w:rsidR="000F08A2" w:rsidRPr="0066699F" w:rsidRDefault="000F08A2" w:rsidP="000F08A2">
      <w:pPr>
        <w:pStyle w:val="Voetnoottekst"/>
        <w:rPr>
          <w:rFonts w:ascii="Verdana" w:hAnsi="Verdana"/>
          <w:sz w:val="16"/>
          <w:szCs w:val="16"/>
        </w:rPr>
      </w:pPr>
      <w:r w:rsidRPr="0066699F">
        <w:rPr>
          <w:rStyle w:val="Voetnootmarkering"/>
          <w:rFonts w:ascii="Verdana" w:hAnsi="Verdana"/>
          <w:sz w:val="16"/>
          <w:szCs w:val="16"/>
        </w:rPr>
        <w:footnoteRef/>
      </w:r>
      <w:r w:rsidRPr="0066699F">
        <w:rPr>
          <w:rFonts w:ascii="Verdana" w:hAnsi="Verdana"/>
          <w:sz w:val="16"/>
          <w:szCs w:val="16"/>
        </w:rPr>
        <w:t xml:space="preserve"> </w:t>
      </w:r>
      <w:r w:rsidRPr="0066699F">
        <w:rPr>
          <w:rFonts w:ascii="Verdana" w:hAnsi="Verdana"/>
          <w:i/>
          <w:sz w:val="16"/>
          <w:szCs w:val="16"/>
        </w:rPr>
        <w:t>Kamerstukken II</w:t>
      </w:r>
      <w:r w:rsidRPr="0066699F">
        <w:rPr>
          <w:rFonts w:ascii="Verdana" w:hAnsi="Verdana"/>
          <w:sz w:val="16"/>
          <w:szCs w:val="16"/>
        </w:rPr>
        <w:t>, 2023/24, 24 515, nr. 757.</w:t>
      </w:r>
    </w:p>
  </w:footnote>
  <w:footnote w:id="9">
    <w:p w14:paraId="4ED8C450" w14:textId="77777777" w:rsidR="000F08A2" w:rsidRDefault="000F08A2" w:rsidP="000F08A2">
      <w:pPr>
        <w:pStyle w:val="Voetnoottekst"/>
      </w:pPr>
      <w:r>
        <w:rPr>
          <w:rStyle w:val="Voetnootmarkering"/>
        </w:rPr>
        <w:footnoteRef/>
      </w:r>
      <w:r>
        <w:t xml:space="preserve"> </w:t>
      </w:r>
      <w:r w:rsidRPr="00101CD4">
        <w:rPr>
          <w:rFonts w:ascii="Verdana" w:hAnsi="Verdana"/>
          <w:i/>
          <w:iCs/>
          <w:sz w:val="16"/>
          <w:szCs w:val="16"/>
        </w:rPr>
        <w:t>Kamerstukken II</w:t>
      </w:r>
      <w:r w:rsidRPr="00101CD4">
        <w:rPr>
          <w:rFonts w:ascii="Verdana" w:hAnsi="Verdana"/>
          <w:sz w:val="16"/>
          <w:szCs w:val="16"/>
        </w:rPr>
        <w:t xml:space="preserve"> 2024/25, 24 515, nr. 798.</w:t>
      </w:r>
    </w:p>
  </w:footnote>
  <w:footnote w:id="10">
    <w:p w14:paraId="6CF004FB" w14:textId="77777777" w:rsidR="000F08A2" w:rsidRDefault="000F08A2" w:rsidP="000F08A2">
      <w:pPr>
        <w:pStyle w:val="Voetnoottekst"/>
      </w:pPr>
      <w:r w:rsidRPr="0066699F">
        <w:rPr>
          <w:rStyle w:val="Voetnootmarkering"/>
          <w:rFonts w:ascii="Verdana" w:hAnsi="Verdana"/>
          <w:sz w:val="16"/>
          <w:szCs w:val="16"/>
        </w:rPr>
        <w:footnoteRef/>
      </w:r>
      <w:r w:rsidRPr="0066699F">
        <w:rPr>
          <w:rFonts w:ascii="Verdana" w:hAnsi="Verdana"/>
          <w:sz w:val="16"/>
          <w:szCs w:val="16"/>
        </w:rPr>
        <w:t xml:space="preserve"> Debat </w:t>
      </w:r>
      <w:r w:rsidRPr="0066699F">
        <w:rPr>
          <w:rFonts w:ascii="Verdana" w:hAnsi="Verdana"/>
          <w:i/>
          <w:iCs/>
          <w:sz w:val="16"/>
          <w:szCs w:val="16"/>
        </w:rPr>
        <w:t>Preventie en bestrijding van stille armoede en sociale uitsluiting</w:t>
      </w:r>
      <w:r w:rsidRPr="0066699F">
        <w:rPr>
          <w:rFonts w:ascii="Verdana" w:hAnsi="Verdana"/>
          <w:sz w:val="16"/>
          <w:szCs w:val="16"/>
        </w:rPr>
        <w:t xml:space="preserve"> op 22 mei 2025 </w:t>
      </w:r>
      <w:hyperlink r:id="rId1" w:history="1">
        <w:r w:rsidRPr="0066699F">
          <w:rPr>
            <w:rStyle w:val="Hyperlink"/>
            <w:rFonts w:ascii="Verdana" w:hAnsi="Verdana"/>
            <w:sz w:val="16"/>
            <w:szCs w:val="16"/>
          </w:rPr>
          <w:t>kst-24515-800.pdf</w:t>
        </w:r>
      </w:hyperlink>
    </w:p>
  </w:footnote>
  <w:footnote w:id="11">
    <w:p w14:paraId="4EFBFBCE" w14:textId="77777777" w:rsidR="000F08A2" w:rsidRPr="0066699F" w:rsidRDefault="000F08A2" w:rsidP="000F08A2">
      <w:pPr>
        <w:pStyle w:val="Voetnoottekst"/>
        <w:rPr>
          <w:rFonts w:ascii="Verdana" w:hAnsi="Verdana"/>
          <w:sz w:val="16"/>
          <w:szCs w:val="16"/>
        </w:rPr>
      </w:pPr>
      <w:r w:rsidRPr="0066699F">
        <w:rPr>
          <w:rStyle w:val="Voetnootmarkering"/>
          <w:rFonts w:ascii="Verdana" w:hAnsi="Verdana"/>
          <w:sz w:val="16"/>
          <w:szCs w:val="16"/>
        </w:rPr>
        <w:footnoteRef/>
      </w:r>
      <w:r w:rsidRPr="0066699F">
        <w:rPr>
          <w:rFonts w:ascii="Verdana" w:hAnsi="Verdana"/>
          <w:sz w:val="16"/>
          <w:szCs w:val="16"/>
        </w:rPr>
        <w:t xml:space="preserve"> https://www.klarna.com/nl/voorwaarden/</w:t>
      </w:r>
    </w:p>
  </w:footnote>
  <w:footnote w:id="12">
    <w:p w14:paraId="33F7F9F5" w14:textId="77777777" w:rsidR="000F08A2" w:rsidRDefault="000F08A2" w:rsidP="000F08A2">
      <w:pPr>
        <w:pStyle w:val="Voetnoottekst"/>
      </w:pPr>
      <w:r w:rsidRPr="0066699F">
        <w:rPr>
          <w:rStyle w:val="Voetnootmarkering"/>
          <w:rFonts w:ascii="Verdana" w:hAnsi="Verdana"/>
          <w:sz w:val="16"/>
          <w:szCs w:val="16"/>
        </w:rPr>
        <w:footnoteRef/>
      </w:r>
      <w:r w:rsidRPr="0066699F">
        <w:rPr>
          <w:rFonts w:ascii="Verdana" w:hAnsi="Verdana"/>
          <w:sz w:val="16"/>
          <w:szCs w:val="16"/>
        </w:rPr>
        <w:t xml:space="preserve"> </w:t>
      </w:r>
      <w:r>
        <w:rPr>
          <w:rFonts w:ascii="Verdana" w:hAnsi="Verdana"/>
          <w:sz w:val="16"/>
          <w:szCs w:val="16"/>
        </w:rPr>
        <w:t xml:space="preserve">Zie onder meer de uitspraken van de Rechtbank Midden-Nederland: </w:t>
      </w:r>
      <w:hyperlink r:id="rId2" w:history="1">
        <w:r w:rsidRPr="0066699F">
          <w:rPr>
            <w:rStyle w:val="Hyperlink"/>
            <w:rFonts w:ascii="Verdana" w:hAnsi="Verdana"/>
            <w:sz w:val="16"/>
            <w:szCs w:val="16"/>
          </w:rPr>
          <w:t>ECLI:NL:RBMNE:2025:2054</w:t>
        </w:r>
      </w:hyperlink>
      <w:r w:rsidRPr="0066699F">
        <w:rPr>
          <w:rFonts w:ascii="Verdana" w:hAnsi="Verdana"/>
          <w:sz w:val="16"/>
          <w:szCs w:val="16"/>
        </w:rPr>
        <w:t xml:space="preserve">; </w:t>
      </w:r>
      <w:hyperlink r:id="rId3" w:history="1">
        <w:r w:rsidRPr="0066699F">
          <w:rPr>
            <w:rStyle w:val="Hyperlink"/>
            <w:rFonts w:ascii="Verdana" w:hAnsi="Verdana"/>
            <w:sz w:val="16"/>
            <w:szCs w:val="16"/>
          </w:rPr>
          <w:t>ECLI:NL:RBMNE:2025:2056</w:t>
        </w:r>
      </w:hyperlink>
      <w:r w:rsidRPr="0066699F">
        <w:rPr>
          <w:rFonts w:ascii="Verdana" w:hAnsi="Verdana"/>
          <w:sz w:val="16"/>
          <w:szCs w:val="16"/>
        </w:rPr>
        <w:t xml:space="preserve">; </w:t>
      </w:r>
      <w:hyperlink r:id="rId4" w:history="1">
        <w:r w:rsidRPr="0066699F">
          <w:rPr>
            <w:rStyle w:val="Hyperlink"/>
            <w:rFonts w:ascii="Verdana" w:hAnsi="Verdana"/>
            <w:sz w:val="16"/>
            <w:szCs w:val="16"/>
          </w:rPr>
          <w:t>ECLI:NL:RBMNE:2025:2057</w:t>
        </w:r>
      </w:hyperlink>
      <w:r w:rsidRPr="0066699F">
        <w:rPr>
          <w:rFonts w:ascii="Verdana" w:hAnsi="Verdana"/>
          <w:sz w:val="16"/>
          <w:szCs w:val="16"/>
        </w:rPr>
        <w:t xml:space="preserve">; </w:t>
      </w:r>
      <w:hyperlink r:id="rId5" w:history="1">
        <w:r w:rsidRPr="0066699F">
          <w:rPr>
            <w:rStyle w:val="Hyperlink"/>
            <w:rFonts w:ascii="Verdana" w:hAnsi="Verdana"/>
            <w:sz w:val="16"/>
            <w:szCs w:val="16"/>
          </w:rPr>
          <w:t>ECLI:NL:RBMNE:2025:2059</w:t>
        </w:r>
      </w:hyperlink>
      <w:r w:rsidRPr="0066699F">
        <w:rPr>
          <w:rFonts w:ascii="Verdana" w:hAnsi="Verdana"/>
          <w:sz w:val="16"/>
          <w:szCs w:val="16"/>
        </w:rPr>
        <w:t>.</w:t>
      </w:r>
    </w:p>
  </w:footnote>
  <w:footnote w:id="13">
    <w:p w14:paraId="4B3D09F7" w14:textId="77777777" w:rsidR="000F08A2" w:rsidRPr="008952D4" w:rsidRDefault="000F08A2" w:rsidP="000F08A2">
      <w:pPr>
        <w:pStyle w:val="Voetnoottekst"/>
        <w:rPr>
          <w:rFonts w:ascii="Verdana" w:hAnsi="Verdana"/>
          <w:sz w:val="16"/>
          <w:szCs w:val="16"/>
        </w:rPr>
      </w:pPr>
      <w:r w:rsidRPr="008952D4">
        <w:rPr>
          <w:rStyle w:val="Voetnootmarkering"/>
          <w:rFonts w:ascii="Verdana" w:hAnsi="Verdana"/>
          <w:sz w:val="16"/>
          <w:szCs w:val="16"/>
        </w:rPr>
        <w:footnoteRef/>
      </w:r>
      <w:r w:rsidRPr="008952D4">
        <w:rPr>
          <w:rFonts w:ascii="Verdana" w:hAnsi="Verdana"/>
          <w:sz w:val="16"/>
          <w:szCs w:val="16"/>
        </w:rPr>
        <w:t xml:space="preserve"> https://www.justis.nl/registers/register-incassodienstverlening</w:t>
      </w:r>
    </w:p>
  </w:footnote>
  <w:footnote w:id="14">
    <w:p w14:paraId="7FB41A06" w14:textId="77777777" w:rsidR="000F08A2" w:rsidRPr="0066699F" w:rsidRDefault="000F08A2" w:rsidP="000F08A2">
      <w:pPr>
        <w:pStyle w:val="Voetnoottekst"/>
        <w:rPr>
          <w:rFonts w:ascii="Verdana" w:hAnsi="Verdana"/>
          <w:sz w:val="16"/>
          <w:szCs w:val="16"/>
        </w:rPr>
      </w:pPr>
      <w:r w:rsidRPr="0066699F">
        <w:rPr>
          <w:rStyle w:val="Voetnootmarkering"/>
          <w:rFonts w:ascii="Verdana" w:hAnsi="Verdana"/>
          <w:sz w:val="16"/>
          <w:szCs w:val="16"/>
        </w:rPr>
        <w:footnoteRef/>
      </w:r>
      <w:r w:rsidRPr="0066699F">
        <w:rPr>
          <w:rFonts w:ascii="Verdana" w:hAnsi="Verdana"/>
          <w:sz w:val="16"/>
          <w:szCs w:val="16"/>
        </w:rPr>
        <w:t xml:space="preserve"> Kamerstukken II, 2020/21, 35 733, nr. 3</w:t>
      </w:r>
    </w:p>
  </w:footnote>
  <w:footnote w:id="15">
    <w:p w14:paraId="3B575B74" w14:textId="77777777" w:rsidR="000F08A2" w:rsidRPr="0066699F" w:rsidRDefault="000F08A2" w:rsidP="000F08A2">
      <w:pPr>
        <w:pStyle w:val="Voetnoottekst"/>
        <w:rPr>
          <w:rFonts w:ascii="Verdana" w:hAnsi="Verdana"/>
          <w:sz w:val="16"/>
          <w:szCs w:val="16"/>
        </w:rPr>
      </w:pPr>
      <w:r w:rsidRPr="0066699F">
        <w:rPr>
          <w:rStyle w:val="Voetnootmarkering"/>
          <w:rFonts w:ascii="Verdana" w:hAnsi="Verdana"/>
          <w:sz w:val="16"/>
          <w:szCs w:val="16"/>
        </w:rPr>
        <w:footnoteRef/>
      </w:r>
      <w:r w:rsidRPr="0066699F">
        <w:rPr>
          <w:rFonts w:ascii="Verdana" w:hAnsi="Verdana"/>
          <w:sz w:val="16"/>
          <w:szCs w:val="16"/>
        </w:rPr>
        <w:t xml:space="preserve"> Artikel 1, onder 4° van de Wet op economische delicten.</w:t>
      </w:r>
    </w:p>
  </w:footnote>
  <w:footnote w:id="16">
    <w:p w14:paraId="215C53F9" w14:textId="77777777" w:rsidR="000F08A2" w:rsidRPr="0066699F" w:rsidRDefault="000F08A2" w:rsidP="000F08A2">
      <w:pPr>
        <w:pStyle w:val="Voetnoottekst"/>
        <w:rPr>
          <w:rFonts w:ascii="Verdana" w:hAnsi="Verdana"/>
          <w:sz w:val="16"/>
          <w:szCs w:val="16"/>
        </w:rPr>
      </w:pPr>
      <w:r w:rsidRPr="0066699F">
        <w:rPr>
          <w:rStyle w:val="Voetnootmarkering"/>
          <w:rFonts w:ascii="Verdana" w:hAnsi="Verdana"/>
          <w:sz w:val="16"/>
          <w:szCs w:val="16"/>
        </w:rPr>
        <w:footnoteRef/>
      </w:r>
      <w:r w:rsidRPr="0066699F">
        <w:rPr>
          <w:rFonts w:ascii="Verdana" w:hAnsi="Verdana"/>
          <w:sz w:val="16"/>
          <w:szCs w:val="16"/>
        </w:rPr>
        <w:t xml:space="preserve"> </w:t>
      </w:r>
      <w:hyperlink r:id="rId6" w:history="1">
        <w:r w:rsidRPr="0066699F">
          <w:rPr>
            <w:rStyle w:val="Hyperlink"/>
            <w:rFonts w:ascii="Verdana" w:hAnsi="Verdana"/>
            <w:sz w:val="16"/>
            <w:szCs w:val="16"/>
          </w:rPr>
          <w:t>https://www.inspectie-jenv.nl/toezichtgebieden/t/toezicht-op-de-incassomarkt</w:t>
        </w:r>
      </w:hyperlink>
      <w:r w:rsidRPr="0066699F">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7EA9" w14:textId="77777777" w:rsidR="000F08A2" w:rsidRPr="000F08A2" w:rsidRDefault="000F08A2" w:rsidP="000F08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6B5C" w14:textId="77777777" w:rsidR="000F08A2" w:rsidRPr="000F08A2" w:rsidRDefault="000F08A2" w:rsidP="000F08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5FC7" w14:textId="77777777" w:rsidR="000F08A2" w:rsidRPr="000F08A2" w:rsidRDefault="000F08A2" w:rsidP="000F08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A2"/>
    <w:rsid w:val="000F08A2"/>
    <w:rsid w:val="002C3023"/>
    <w:rsid w:val="008558D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A49E4"/>
  <w15:chartTrackingRefBased/>
  <w15:docId w15:val="{6814092D-0E63-4432-A1D8-545D157D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0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0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08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08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08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08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08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08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08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08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08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08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08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08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08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08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08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08A2"/>
    <w:rPr>
      <w:rFonts w:eastAsiaTheme="majorEastAsia" w:cstheme="majorBidi"/>
      <w:color w:val="272727" w:themeColor="text1" w:themeTint="D8"/>
    </w:rPr>
  </w:style>
  <w:style w:type="paragraph" w:styleId="Titel">
    <w:name w:val="Title"/>
    <w:basedOn w:val="Standaard"/>
    <w:next w:val="Standaard"/>
    <w:link w:val="TitelChar"/>
    <w:uiPriority w:val="10"/>
    <w:qFormat/>
    <w:rsid w:val="000F0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08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08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08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08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08A2"/>
    <w:rPr>
      <w:i/>
      <w:iCs/>
      <w:color w:val="404040" w:themeColor="text1" w:themeTint="BF"/>
    </w:rPr>
  </w:style>
  <w:style w:type="paragraph" w:styleId="Lijstalinea">
    <w:name w:val="List Paragraph"/>
    <w:basedOn w:val="Standaard"/>
    <w:uiPriority w:val="34"/>
    <w:qFormat/>
    <w:rsid w:val="000F08A2"/>
    <w:pPr>
      <w:ind w:left="720"/>
      <w:contextualSpacing/>
    </w:pPr>
  </w:style>
  <w:style w:type="character" w:styleId="Intensievebenadrukking">
    <w:name w:val="Intense Emphasis"/>
    <w:basedOn w:val="Standaardalinea-lettertype"/>
    <w:uiPriority w:val="21"/>
    <w:qFormat/>
    <w:rsid w:val="000F08A2"/>
    <w:rPr>
      <w:i/>
      <w:iCs/>
      <w:color w:val="0F4761" w:themeColor="accent1" w:themeShade="BF"/>
    </w:rPr>
  </w:style>
  <w:style w:type="paragraph" w:styleId="Duidelijkcitaat">
    <w:name w:val="Intense Quote"/>
    <w:basedOn w:val="Standaard"/>
    <w:next w:val="Standaard"/>
    <w:link w:val="DuidelijkcitaatChar"/>
    <w:uiPriority w:val="30"/>
    <w:qFormat/>
    <w:rsid w:val="000F0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08A2"/>
    <w:rPr>
      <w:i/>
      <w:iCs/>
      <w:color w:val="0F4761" w:themeColor="accent1" w:themeShade="BF"/>
    </w:rPr>
  </w:style>
  <w:style w:type="character" w:styleId="Intensieveverwijzing">
    <w:name w:val="Intense Reference"/>
    <w:basedOn w:val="Standaardalinea-lettertype"/>
    <w:uiPriority w:val="32"/>
    <w:qFormat/>
    <w:rsid w:val="000F08A2"/>
    <w:rPr>
      <w:b/>
      <w:bCs/>
      <w:smallCaps/>
      <w:color w:val="0F4761" w:themeColor="accent1" w:themeShade="BF"/>
      <w:spacing w:val="5"/>
    </w:rPr>
  </w:style>
  <w:style w:type="character" w:styleId="Hyperlink">
    <w:name w:val="Hyperlink"/>
    <w:basedOn w:val="Standaardalinea-lettertype"/>
    <w:uiPriority w:val="99"/>
    <w:unhideWhenUsed/>
    <w:rsid w:val="000F08A2"/>
    <w:rPr>
      <w:color w:val="467886" w:themeColor="hyperlink"/>
      <w:u w:val="single"/>
    </w:rPr>
  </w:style>
  <w:style w:type="paragraph" w:customStyle="1" w:styleId="Referentiegegevens">
    <w:name w:val="Referentiegegevens"/>
    <w:basedOn w:val="Standaard"/>
    <w:next w:val="Standaard"/>
    <w:rsid w:val="000F08A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F08A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F08A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F08A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0F08A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0F08A2"/>
    <w:rPr>
      <w:kern w:val="0"/>
      <w:sz w:val="20"/>
      <w:szCs w:val="20"/>
      <w14:ligatures w14:val="none"/>
    </w:rPr>
  </w:style>
  <w:style w:type="character" w:styleId="Voetnootmarkering">
    <w:name w:val="footnote reference"/>
    <w:basedOn w:val="Standaardalinea-lettertype"/>
    <w:uiPriority w:val="99"/>
    <w:semiHidden/>
    <w:unhideWhenUsed/>
    <w:rsid w:val="000F08A2"/>
    <w:rPr>
      <w:vertAlign w:val="superscript"/>
    </w:rPr>
  </w:style>
  <w:style w:type="character" w:styleId="Verwijzingopmerking">
    <w:name w:val="annotation reference"/>
    <w:basedOn w:val="Standaardalinea-lettertype"/>
    <w:uiPriority w:val="99"/>
    <w:semiHidden/>
    <w:unhideWhenUsed/>
    <w:rsid w:val="000F08A2"/>
    <w:rPr>
      <w:sz w:val="16"/>
      <w:szCs w:val="16"/>
    </w:rPr>
  </w:style>
  <w:style w:type="paragraph" w:styleId="Tekstopmerking">
    <w:name w:val="annotation text"/>
    <w:basedOn w:val="Standaard"/>
    <w:link w:val="TekstopmerkingChar"/>
    <w:uiPriority w:val="99"/>
    <w:unhideWhenUsed/>
    <w:rsid w:val="000F08A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0F08A2"/>
    <w:rPr>
      <w:rFonts w:ascii="Verdana" w:eastAsia="DejaVu Sans" w:hAnsi="Verdana" w:cs="Lohit Hindi"/>
      <w:color w:val="000000"/>
      <w:kern w:val="0"/>
      <w:sz w:val="20"/>
      <w:szCs w:val="20"/>
      <w:lang w:eastAsia="nl-NL"/>
      <w14:ligatures w14:val="none"/>
    </w:rPr>
  </w:style>
  <w:style w:type="paragraph" w:styleId="Koptekst">
    <w:name w:val="header"/>
    <w:basedOn w:val="Standaard"/>
    <w:link w:val="KoptekstChar"/>
    <w:uiPriority w:val="99"/>
    <w:unhideWhenUsed/>
    <w:rsid w:val="000F08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08A2"/>
  </w:style>
  <w:style w:type="paragraph" w:styleId="Voettekst">
    <w:name w:val="footer"/>
    <w:basedOn w:val="Standaard"/>
    <w:link w:val="VoettekstChar"/>
    <w:uiPriority w:val="99"/>
    <w:unhideWhenUsed/>
    <w:rsid w:val="000F08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08A2"/>
  </w:style>
  <w:style w:type="paragraph" w:styleId="Geenafstand">
    <w:name w:val="No Spacing"/>
    <w:uiPriority w:val="1"/>
    <w:qFormat/>
    <w:rsid w:val="000F08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uitspraken.rechtspraak.nl/details?id=ECLI:NL:RBMNE:2025:2056" TargetMode="External"/><Relationship Id="rId2" Type="http://schemas.openxmlformats.org/officeDocument/2006/relationships/hyperlink" Target="https://uitspraken.rechtspraak.nl/details?id=ECLI:NL:RBMNE:2025:2054" TargetMode="External"/><Relationship Id="rId1" Type="http://schemas.openxmlformats.org/officeDocument/2006/relationships/hyperlink" Target="https://zoek.officielebekendmakingen.nl/kst-24515-800.pdf" TargetMode="External"/><Relationship Id="rId6" Type="http://schemas.openxmlformats.org/officeDocument/2006/relationships/hyperlink" Target="https://www.inspectie-jenv.nl/toezichtgebieden/t/toezicht-op-de-incassomarkt" TargetMode="External"/><Relationship Id="rId5" Type="http://schemas.openxmlformats.org/officeDocument/2006/relationships/hyperlink" Target="https://deeplink.rechtspraak.nl/uitspraak?id=ECLI:NL:RBMNE:2025:2059" TargetMode="External"/><Relationship Id="rId4" Type="http://schemas.openxmlformats.org/officeDocument/2006/relationships/hyperlink" Target="https://uitspraken.rechtspraak.nl/details?id=ECLI:NL:RBMNE:2025:205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3088</ap:Words>
  <ap:Characters>16988</ap:Characters>
  <ap:DocSecurity>0</ap:DocSecurity>
  <ap:Lines>141</ap:Lines>
  <ap:Paragraphs>40</ap:Paragraphs>
  <ap:ScaleCrop>false</ap:ScaleCrop>
  <ap:LinksUpToDate>false</ap:LinksUpToDate>
  <ap:CharactersWithSpaces>20036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2026-02-03T12:27:00.0000000Z</dcterms:created>
  <dcterms:modified xsi:type="dcterms:W3CDTF">2026-02-03T12:28:00.0000000Z</dcterms:modified>
  <version/>
  <category/>
</coreProperties>
</file>