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2B19" w:rsidRDefault="00512B19" w14:paraId="120DF7D9" w14:textId="58CCED52">
      <w:pPr>
        <w:rPr>
          <w:sz w:val="24"/>
        </w:rPr>
      </w:pPr>
      <w:r>
        <w:rPr>
          <w:sz w:val="24"/>
        </w:rPr>
        <w:t xml:space="preserve">Bijlage bij </w:t>
      </w:r>
      <w:r w:rsidR="009C26E2">
        <w:rPr>
          <w:sz w:val="24"/>
        </w:rPr>
        <w:t xml:space="preserve">brief: </w:t>
      </w:r>
      <w:r w:rsidR="008F54F4">
        <w:rPr>
          <w:sz w:val="24"/>
        </w:rPr>
        <w:t>BZ26</w:t>
      </w:r>
      <w:r w:rsidR="00D63C77">
        <w:rPr>
          <w:sz w:val="24"/>
        </w:rPr>
        <w:t>24694</w:t>
      </w:r>
    </w:p>
    <w:p w:rsidR="00512B19" w:rsidRDefault="00512B19" w14:paraId="3CEA0CB5" w14:textId="77777777">
      <w:pPr>
        <w:jc w:val="right"/>
        <w:rPr>
          <w:sz w:val="24"/>
        </w:rPr>
      </w:pPr>
      <w:r>
        <w:rPr>
          <w:sz w:val="24"/>
        </w:rPr>
        <w:t xml:space="preserve"> </w:t>
      </w:r>
    </w:p>
    <w:p w:rsidR="00ED1AD0" w:rsidRDefault="00ED1AD0" w14:paraId="79F66387" w14:textId="77777777">
      <w:pPr>
        <w:pStyle w:val="Heading2"/>
        <w:rPr>
          <w:b/>
        </w:rPr>
      </w:pPr>
    </w:p>
    <w:p w:rsidR="00512B19" w:rsidRDefault="00512B19" w14:paraId="7C5521D5" w14:textId="77777777">
      <w:pPr>
        <w:pStyle w:val="Heading2"/>
        <w:rPr>
          <w:smallCaps w:val="0"/>
          <w:sz w:val="20"/>
        </w:rPr>
      </w:pPr>
      <w:r>
        <w:rPr>
          <w:b/>
        </w:rPr>
        <w:t>Wijzigingen op bestaande reglementen</w:t>
      </w:r>
      <w:r w:rsidR="00851DCB">
        <w:rPr>
          <w:b/>
        </w:rPr>
        <w:t xml:space="preserve"> </w:t>
      </w:r>
      <w:r w:rsidRPr="00851DCB" w:rsidR="00851DCB">
        <w:rPr>
          <w:smallCaps w:val="0"/>
          <w:sz w:val="20"/>
        </w:rPr>
        <w:t>(1958-agreement)</w:t>
      </w:r>
    </w:p>
    <w:p w:rsidR="00516FFF" w:rsidP="00516FFF" w:rsidRDefault="00516FFF" w14:paraId="68FFE8E1" w14:textId="77777777"/>
    <w:p w:rsidR="00516FFF" w:rsidP="00516FFF" w:rsidRDefault="00516FFF" w14:paraId="3C95ED5C" w14:textId="77777777">
      <w:pPr>
        <w:rPr>
          <w:sz w:val="24"/>
          <w:u w:val="single"/>
        </w:rPr>
      </w:pPr>
      <w:r w:rsidRPr="002837A7">
        <w:rPr>
          <w:sz w:val="24"/>
          <w:u w:val="single"/>
        </w:rPr>
        <w:t>ECE-Reglement 0, IWVTA</w:t>
      </w:r>
    </w:p>
    <w:p w:rsidR="002837A7" w:rsidP="00516FFF" w:rsidRDefault="002837A7" w14:paraId="5EBFB24B" w14:textId="77777777">
      <w:pPr>
        <w:rPr>
          <w:sz w:val="24"/>
        </w:rPr>
      </w:pPr>
      <w:r w:rsidRPr="002837A7">
        <w:rPr>
          <w:sz w:val="24"/>
        </w:rPr>
        <w:t>Betreft:</w:t>
      </w:r>
    </w:p>
    <w:p w:rsidRPr="002837A7" w:rsidR="0088351C" w:rsidP="00516FFF" w:rsidRDefault="0088351C" w14:paraId="7B27D935" w14:textId="77777777">
      <w:pPr>
        <w:rPr>
          <w:sz w:val="24"/>
        </w:rPr>
      </w:pPr>
      <w:r w:rsidRPr="0088351C">
        <w:rPr>
          <w:sz w:val="24"/>
        </w:rPr>
        <w:t>Jaarlijkse update van de lijst VN Reglementen als onderdeel van de IWVTA. Een aantal versies is opgehoogd.</w:t>
      </w:r>
    </w:p>
    <w:p w:rsidR="00512B19" w:rsidRDefault="00512B19" w14:paraId="42C4D105" w14:textId="77777777">
      <w:pPr>
        <w:rPr>
          <w:sz w:val="24"/>
          <w:u w:val="single"/>
        </w:rPr>
      </w:pPr>
      <w:bookmarkStart w:name="OLE_LINK1" w:id="0"/>
      <w:bookmarkStart w:name="OLE_LINK2" w:id="1"/>
    </w:p>
    <w:p w:rsidR="00512B19" w:rsidRDefault="00512B19" w14:paraId="139395F2" w14:textId="77777777">
      <w:pPr>
        <w:rPr>
          <w:sz w:val="24"/>
        </w:rPr>
      </w:pPr>
      <w:r>
        <w:rPr>
          <w:sz w:val="24"/>
          <w:u w:val="single"/>
        </w:rPr>
        <w:t>ECE-Reglement 10, radio-ontstoring en EMC</w:t>
      </w:r>
      <w:r w:rsidR="00807165">
        <w:rPr>
          <w:sz w:val="24"/>
          <w:u w:val="single"/>
        </w:rPr>
        <w:t>: agendapunt: 2025/110</w:t>
      </w:r>
    </w:p>
    <w:p w:rsidR="006B32F7" w:rsidP="006B32F7" w:rsidRDefault="006B32F7" w14:paraId="1FEC1253" w14:textId="77777777">
      <w:pPr>
        <w:rPr>
          <w:sz w:val="24"/>
        </w:rPr>
      </w:pPr>
      <w:r>
        <w:rPr>
          <w:sz w:val="24"/>
        </w:rPr>
        <w:t>Betreft</w:t>
      </w:r>
      <w:r w:rsidR="0088351C">
        <w:rPr>
          <w:sz w:val="24"/>
        </w:rPr>
        <w:t>:</w:t>
      </w:r>
    </w:p>
    <w:p w:rsidRPr="0088351C" w:rsidR="0088351C" w:rsidP="0088351C" w:rsidRDefault="0088351C" w14:paraId="3E87B07A" w14:textId="77777777">
      <w:pPr>
        <w:rPr>
          <w:sz w:val="24"/>
        </w:rPr>
      </w:pPr>
      <w:r w:rsidRPr="0088351C">
        <w:rPr>
          <w:sz w:val="24"/>
        </w:rPr>
        <w:t>voorstellen voor R</w:t>
      </w:r>
      <w:r>
        <w:rPr>
          <w:sz w:val="24"/>
        </w:rPr>
        <w:t>egl</w:t>
      </w:r>
      <w:r w:rsidR="00197281">
        <w:rPr>
          <w:sz w:val="24"/>
        </w:rPr>
        <w:t xml:space="preserve">ement </w:t>
      </w:r>
      <w:r w:rsidRPr="0088351C">
        <w:rPr>
          <w:sz w:val="24"/>
        </w:rPr>
        <w:t>10-07, met veel benodigde</w:t>
      </w:r>
    </w:p>
    <w:p w:rsidR="0088351C" w:rsidP="0088351C" w:rsidRDefault="0088351C" w14:paraId="768A063E" w14:textId="77777777">
      <w:pPr>
        <w:rPr>
          <w:sz w:val="24"/>
        </w:rPr>
      </w:pPr>
      <w:r w:rsidRPr="0088351C">
        <w:rPr>
          <w:sz w:val="24"/>
        </w:rPr>
        <w:t>updates (m.n. referenties naar standaarden), verduidelijkingen en correcties.</w:t>
      </w:r>
    </w:p>
    <w:p w:rsidR="00807165" w:rsidP="0088351C" w:rsidRDefault="00807165" w14:paraId="281E7522" w14:textId="77777777">
      <w:pPr>
        <w:rPr>
          <w:sz w:val="24"/>
        </w:rPr>
      </w:pPr>
    </w:p>
    <w:p w:rsidR="00807165" w:rsidP="00807165" w:rsidRDefault="00807165" w14:paraId="33804F87" w14:textId="77777777">
      <w:pPr>
        <w:rPr>
          <w:sz w:val="24"/>
        </w:rPr>
      </w:pPr>
      <w:r>
        <w:rPr>
          <w:sz w:val="24"/>
          <w:u w:val="single"/>
        </w:rPr>
        <w:t>ECE-Reglement 10, radio-ontstoring en EMC: agendapunt:2025/113</w:t>
      </w:r>
    </w:p>
    <w:p w:rsidR="00807165" w:rsidP="0088351C" w:rsidRDefault="00807165" w14:paraId="5C77AE08" w14:textId="77777777">
      <w:pPr>
        <w:rPr>
          <w:sz w:val="24"/>
        </w:rPr>
      </w:pPr>
      <w:r>
        <w:rPr>
          <w:sz w:val="24"/>
        </w:rPr>
        <w:t xml:space="preserve">Betreft: </w:t>
      </w:r>
    </w:p>
    <w:p w:rsidR="00807165" w:rsidP="00807165" w:rsidRDefault="00807165" w14:paraId="765C4763" w14:textId="77777777">
      <w:pPr>
        <w:rPr>
          <w:sz w:val="24"/>
        </w:rPr>
      </w:pPr>
      <w:r w:rsidRPr="00807165">
        <w:rPr>
          <w:sz w:val="24"/>
        </w:rPr>
        <w:t>voorstellen voor R</w:t>
      </w:r>
      <w:r>
        <w:rPr>
          <w:sz w:val="24"/>
        </w:rPr>
        <w:t>egl</w:t>
      </w:r>
      <w:r w:rsidR="00197281">
        <w:rPr>
          <w:sz w:val="24"/>
        </w:rPr>
        <w:t xml:space="preserve">ement </w:t>
      </w:r>
      <w:r w:rsidRPr="00807165">
        <w:rPr>
          <w:sz w:val="24"/>
        </w:rPr>
        <w:t>10-06, met updates van verwijzingen naar de relevante ‘</w:t>
      </w:r>
      <w:proofErr w:type="spellStart"/>
      <w:r w:rsidRPr="00807165">
        <w:rPr>
          <w:sz w:val="24"/>
        </w:rPr>
        <w:t>Schedules</w:t>
      </w:r>
      <w:proofErr w:type="spellEnd"/>
      <w:r w:rsidRPr="00807165">
        <w:rPr>
          <w:sz w:val="24"/>
        </w:rPr>
        <w:t>’ in het ‘1958 Agreement’.</w:t>
      </w:r>
    </w:p>
    <w:p w:rsidR="00512B19" w:rsidRDefault="00512B19" w14:paraId="4D2BA30A" w14:textId="77777777">
      <w:pPr>
        <w:rPr>
          <w:sz w:val="24"/>
        </w:rPr>
      </w:pPr>
    </w:p>
    <w:p w:rsidR="00512B19" w:rsidRDefault="00512B19" w14:paraId="1E1A9D10" w14:textId="77777777">
      <w:pPr>
        <w:rPr>
          <w:sz w:val="24"/>
        </w:rPr>
      </w:pPr>
      <w:r>
        <w:rPr>
          <w:sz w:val="24"/>
          <w:u w:val="single"/>
        </w:rPr>
        <w:t>ECE-Reglement 16, veiligheidsgordels en bevestigingssystemen</w:t>
      </w:r>
    </w:p>
    <w:p w:rsidR="006B32F7" w:rsidP="006B32F7" w:rsidRDefault="006B32F7" w14:paraId="7E082DE6" w14:textId="77777777">
      <w:pPr>
        <w:rPr>
          <w:sz w:val="24"/>
        </w:rPr>
      </w:pPr>
      <w:r>
        <w:rPr>
          <w:sz w:val="24"/>
        </w:rPr>
        <w:t>Betreft</w:t>
      </w:r>
      <w:r w:rsidR="000C5B7B">
        <w:rPr>
          <w:sz w:val="24"/>
        </w:rPr>
        <w:t>:</w:t>
      </w:r>
    </w:p>
    <w:p w:rsidR="000C5B7B" w:rsidP="006B32F7" w:rsidRDefault="000C5B7B" w14:paraId="1AD5CE83" w14:textId="77777777">
      <w:pPr>
        <w:rPr>
          <w:sz w:val="24"/>
        </w:rPr>
      </w:pPr>
      <w:r w:rsidRPr="000C5B7B">
        <w:rPr>
          <w:sz w:val="24"/>
        </w:rPr>
        <w:t xml:space="preserve">het verwijderen van de mogelijkheid de Unique </w:t>
      </w:r>
      <w:proofErr w:type="spellStart"/>
      <w:r w:rsidRPr="000C5B7B">
        <w:rPr>
          <w:sz w:val="24"/>
        </w:rPr>
        <w:t>Identifier</w:t>
      </w:r>
      <w:proofErr w:type="spellEnd"/>
      <w:r w:rsidRPr="000C5B7B">
        <w:rPr>
          <w:sz w:val="24"/>
        </w:rPr>
        <w:t xml:space="preserve"> (UI) te gebruiken i.p.v. de E-mark. De kosten en complexiteit voor het mogelijk maken van de UI wogen niet op tegen de voordelen, waardoor is besloten deze mogelijkheid te schrappen</w:t>
      </w:r>
      <w:r>
        <w:rPr>
          <w:sz w:val="24"/>
        </w:rPr>
        <w:t>.</w:t>
      </w:r>
    </w:p>
    <w:p w:rsidR="00512B19" w:rsidRDefault="00512B19" w14:paraId="1760381B" w14:textId="77777777">
      <w:pPr>
        <w:rPr>
          <w:sz w:val="24"/>
        </w:rPr>
      </w:pPr>
    </w:p>
    <w:p w:rsidR="00512B19" w:rsidRDefault="00512B19" w14:paraId="61552658" w14:textId="77777777">
      <w:pPr>
        <w:rPr>
          <w:sz w:val="24"/>
        </w:rPr>
      </w:pPr>
      <w:r>
        <w:rPr>
          <w:sz w:val="24"/>
          <w:u w:val="single"/>
        </w:rPr>
        <w:t>ECE-Reglement 35, voetpedalen</w:t>
      </w:r>
    </w:p>
    <w:p w:rsidR="006B32F7" w:rsidP="006B32F7" w:rsidRDefault="006B32F7" w14:paraId="1AACE333" w14:textId="77777777">
      <w:pPr>
        <w:rPr>
          <w:sz w:val="24"/>
        </w:rPr>
      </w:pPr>
      <w:r>
        <w:rPr>
          <w:sz w:val="24"/>
        </w:rPr>
        <w:t>Betreft</w:t>
      </w:r>
      <w:r w:rsidR="00C84FD5">
        <w:rPr>
          <w:sz w:val="24"/>
        </w:rPr>
        <w:t>:</w:t>
      </w:r>
    </w:p>
    <w:p w:rsidR="00C84FD5" w:rsidP="00C84FD5" w:rsidRDefault="00C84FD5" w14:paraId="7594DE36" w14:textId="41C1B8B4">
      <w:pPr>
        <w:rPr>
          <w:sz w:val="24"/>
        </w:rPr>
      </w:pPr>
      <w:r>
        <w:rPr>
          <w:sz w:val="24"/>
        </w:rPr>
        <w:t xml:space="preserve">veiligheidsaanpassing i.v.m. eerdere aanpassingen van </w:t>
      </w:r>
      <w:r w:rsidR="00197281">
        <w:rPr>
          <w:sz w:val="24"/>
        </w:rPr>
        <w:t xml:space="preserve">de </w:t>
      </w:r>
      <w:r w:rsidRPr="00C84FD5">
        <w:rPr>
          <w:sz w:val="24"/>
        </w:rPr>
        <w:t>H-</w:t>
      </w:r>
      <w:proofErr w:type="spellStart"/>
      <w:r w:rsidRPr="00C84FD5">
        <w:rPr>
          <w:sz w:val="24"/>
        </w:rPr>
        <w:t>punts</w:t>
      </w:r>
      <w:proofErr w:type="spellEnd"/>
      <w:r w:rsidRPr="00C84FD5">
        <w:rPr>
          <w:sz w:val="24"/>
        </w:rPr>
        <w:t xml:space="preserve"> machine</w:t>
      </w:r>
      <w:r w:rsidR="00FA41B7">
        <w:rPr>
          <w:sz w:val="24"/>
        </w:rPr>
        <w:t>*</w:t>
      </w:r>
      <w:r>
        <w:rPr>
          <w:sz w:val="24"/>
        </w:rPr>
        <w:t>.</w:t>
      </w:r>
      <w:r w:rsidRPr="00C84FD5">
        <w:rPr>
          <w:sz w:val="24"/>
        </w:rPr>
        <w:t xml:space="preserve"> </w:t>
      </w:r>
    </w:p>
    <w:p w:rsidR="00512B19" w:rsidRDefault="00512B19" w14:paraId="6B1DB0C8" w14:textId="77777777">
      <w:pPr>
        <w:rPr>
          <w:sz w:val="24"/>
        </w:rPr>
      </w:pPr>
    </w:p>
    <w:p w:rsidR="00512B19" w:rsidRDefault="00512B19" w14:paraId="6D13C989" w14:textId="77777777">
      <w:pPr>
        <w:rPr>
          <w:sz w:val="24"/>
        </w:rPr>
      </w:pPr>
      <w:r>
        <w:rPr>
          <w:sz w:val="24"/>
          <w:u w:val="single"/>
        </w:rPr>
        <w:t>ECE-Reglement 46, achteruitkijkspiegels auto’s</w:t>
      </w:r>
      <w:r>
        <w:rPr>
          <w:sz w:val="24"/>
        </w:rPr>
        <w:t>.</w:t>
      </w:r>
      <w:r w:rsidRPr="00D57815" w:rsidR="00D57815">
        <w:rPr>
          <w:sz w:val="24"/>
        </w:rPr>
        <w:t xml:space="preserve">   </w:t>
      </w:r>
    </w:p>
    <w:p w:rsidR="006B32F7" w:rsidP="006B32F7" w:rsidRDefault="006B32F7" w14:paraId="2B2787BA" w14:textId="77777777">
      <w:pPr>
        <w:rPr>
          <w:sz w:val="24"/>
        </w:rPr>
      </w:pPr>
      <w:r>
        <w:rPr>
          <w:sz w:val="24"/>
        </w:rPr>
        <w:t>Betreft</w:t>
      </w:r>
      <w:r w:rsidR="00197281">
        <w:rPr>
          <w:sz w:val="24"/>
        </w:rPr>
        <w:t>:</w:t>
      </w:r>
    </w:p>
    <w:p w:rsidR="00197281" w:rsidP="006B32F7" w:rsidRDefault="00197281" w14:paraId="268EC742" w14:textId="77777777">
      <w:pPr>
        <w:rPr>
          <w:sz w:val="24"/>
        </w:rPr>
      </w:pPr>
      <w:r w:rsidRPr="00197281">
        <w:rPr>
          <w:sz w:val="24"/>
        </w:rPr>
        <w:t xml:space="preserve">voorstel met diverse verbeteringen van </w:t>
      </w:r>
      <w:r>
        <w:rPr>
          <w:sz w:val="24"/>
        </w:rPr>
        <w:t>dit Reglement</w:t>
      </w:r>
      <w:r w:rsidRPr="00197281">
        <w:rPr>
          <w:sz w:val="24"/>
        </w:rPr>
        <w:t xml:space="preserve"> m.b.t. uitvoerbaarheid en voorkomen van interpretatieverschillen</w:t>
      </w:r>
      <w:r>
        <w:rPr>
          <w:sz w:val="24"/>
        </w:rPr>
        <w:t>.</w:t>
      </w:r>
    </w:p>
    <w:p w:rsidR="00990FF8" w:rsidRDefault="00990FF8" w14:paraId="4E7EFCE7" w14:textId="77777777">
      <w:pPr>
        <w:rPr>
          <w:sz w:val="24"/>
        </w:rPr>
      </w:pPr>
    </w:p>
    <w:p w:rsidR="00E5235E" w:rsidP="00361A7B" w:rsidRDefault="00361A7B" w14:paraId="78B90028" w14:textId="77777777">
      <w:pPr>
        <w:rPr>
          <w:color w:val="FF0000"/>
          <w:sz w:val="24"/>
        </w:rPr>
      </w:pPr>
      <w:r w:rsidRPr="00155C79">
        <w:rPr>
          <w:sz w:val="24"/>
          <w:u w:val="single"/>
        </w:rPr>
        <w:t>ECE-Reglement 48, installatie van verlichting van auto’s</w:t>
      </w:r>
    </w:p>
    <w:p w:rsidRPr="00E5235E" w:rsidR="00E5235E" w:rsidP="00361A7B" w:rsidRDefault="00E5235E" w14:paraId="6C48015B" w14:textId="77777777">
      <w:pPr>
        <w:rPr>
          <w:sz w:val="24"/>
        </w:rPr>
      </w:pPr>
      <w:r w:rsidRPr="00E5235E">
        <w:rPr>
          <w:sz w:val="24"/>
        </w:rPr>
        <w:t>Betreft:</w:t>
      </w:r>
    </w:p>
    <w:p w:rsidRPr="00E5235E" w:rsidR="00361A7B" w:rsidP="00361A7B" w:rsidRDefault="00E5235E" w14:paraId="2168DF98" w14:textId="77777777">
      <w:pPr>
        <w:rPr>
          <w:sz w:val="24"/>
        </w:rPr>
      </w:pPr>
      <w:r w:rsidRPr="00E5235E">
        <w:rPr>
          <w:sz w:val="24"/>
        </w:rPr>
        <w:t>diverse voorstellen voor R</w:t>
      </w:r>
      <w:r>
        <w:rPr>
          <w:sz w:val="24"/>
        </w:rPr>
        <w:t xml:space="preserve">eglement </w:t>
      </w:r>
      <w:r w:rsidRPr="00E5235E">
        <w:rPr>
          <w:sz w:val="24"/>
        </w:rPr>
        <w:t>48</w:t>
      </w:r>
      <w:r>
        <w:rPr>
          <w:sz w:val="24"/>
        </w:rPr>
        <w:t xml:space="preserve"> </w:t>
      </w:r>
      <w:r w:rsidRPr="00E5235E">
        <w:rPr>
          <w:sz w:val="24"/>
        </w:rPr>
        <w:t xml:space="preserve">om: de huidige restrictie m.b.t. ‘Parking </w:t>
      </w:r>
      <w:proofErr w:type="spellStart"/>
      <w:r w:rsidRPr="00E5235E">
        <w:rPr>
          <w:sz w:val="24"/>
        </w:rPr>
        <w:t>lamps</w:t>
      </w:r>
      <w:proofErr w:type="spellEnd"/>
      <w:r w:rsidRPr="00E5235E">
        <w:rPr>
          <w:sz w:val="24"/>
        </w:rPr>
        <w:t>’ (toegestaan op voertuigen tot 2m breedte) te schrappen; de installatie van zijmarkeringslichten i.c.m. retroreflectoren op de voorste zijdelingse positie van ‘semi trailers’ (opleggers) mogelijk te maken</w:t>
      </w:r>
      <w:r>
        <w:rPr>
          <w:sz w:val="24"/>
        </w:rPr>
        <w:t xml:space="preserve"> en </w:t>
      </w:r>
      <w:r w:rsidRPr="00E5235E">
        <w:rPr>
          <w:sz w:val="24"/>
        </w:rPr>
        <w:t>het introduceren van ‘</w:t>
      </w:r>
      <w:proofErr w:type="spellStart"/>
      <w:r w:rsidRPr="00E5235E">
        <w:rPr>
          <w:sz w:val="24"/>
        </w:rPr>
        <w:t>Reversing</w:t>
      </w:r>
      <w:proofErr w:type="spellEnd"/>
      <w:r w:rsidRPr="00E5235E">
        <w:rPr>
          <w:sz w:val="24"/>
        </w:rPr>
        <w:t xml:space="preserve"> </w:t>
      </w:r>
      <w:proofErr w:type="spellStart"/>
      <w:r w:rsidRPr="00E5235E">
        <w:rPr>
          <w:sz w:val="24"/>
        </w:rPr>
        <w:t>projections</w:t>
      </w:r>
      <w:proofErr w:type="spellEnd"/>
      <w:r w:rsidRPr="00E5235E">
        <w:rPr>
          <w:sz w:val="24"/>
        </w:rPr>
        <w:t xml:space="preserve">’ (‘achteruitrijprojecties’), als een optionele functionaliteit. </w:t>
      </w:r>
      <w:r>
        <w:rPr>
          <w:sz w:val="24"/>
        </w:rPr>
        <w:t>En h</w:t>
      </w:r>
      <w:r w:rsidRPr="00E5235E">
        <w:rPr>
          <w:sz w:val="24"/>
        </w:rPr>
        <w:t>et betreft een projectie op het wegdek, van het licht dat door de achteruitrijlichten wordt uitgestraald of door een extra projector; de installatie van ‘</w:t>
      </w:r>
      <w:proofErr w:type="spellStart"/>
      <w:r w:rsidRPr="00E5235E">
        <w:rPr>
          <w:sz w:val="24"/>
        </w:rPr>
        <w:t>Manoeuvring</w:t>
      </w:r>
      <w:proofErr w:type="spellEnd"/>
      <w:r w:rsidRPr="00E5235E">
        <w:rPr>
          <w:sz w:val="24"/>
        </w:rPr>
        <w:t xml:space="preserve"> </w:t>
      </w:r>
      <w:proofErr w:type="spellStart"/>
      <w:r w:rsidRPr="00E5235E">
        <w:rPr>
          <w:sz w:val="24"/>
        </w:rPr>
        <w:t>lamps</w:t>
      </w:r>
      <w:proofErr w:type="spellEnd"/>
      <w:r w:rsidRPr="00E5235E">
        <w:rPr>
          <w:sz w:val="24"/>
        </w:rPr>
        <w:t>’ ook aan de achterzijde toe te staan; de tijdsduur van de optische indicatie van het ‘</w:t>
      </w:r>
      <w:proofErr w:type="spellStart"/>
      <w:r w:rsidRPr="00E5235E">
        <w:rPr>
          <w:sz w:val="24"/>
        </w:rPr>
        <w:t>Answer</w:t>
      </w:r>
      <w:proofErr w:type="spellEnd"/>
      <w:r w:rsidRPr="00E5235E">
        <w:rPr>
          <w:sz w:val="24"/>
        </w:rPr>
        <w:t xml:space="preserve"> back </w:t>
      </w:r>
      <w:proofErr w:type="spellStart"/>
      <w:r w:rsidRPr="00E5235E">
        <w:rPr>
          <w:sz w:val="24"/>
        </w:rPr>
        <w:t>signal</w:t>
      </w:r>
      <w:proofErr w:type="spellEnd"/>
      <w:r w:rsidRPr="00E5235E">
        <w:rPr>
          <w:sz w:val="24"/>
        </w:rPr>
        <w:t>’ te verduidelijken.</w:t>
      </w:r>
    </w:p>
    <w:p w:rsidR="009C26E2" w:rsidRDefault="009C26E2" w14:paraId="4F569479" w14:textId="77777777">
      <w:pPr>
        <w:rPr>
          <w:sz w:val="24"/>
          <w:u w:val="single"/>
        </w:rPr>
      </w:pPr>
    </w:p>
    <w:p w:rsidR="00512B19" w:rsidRDefault="00512B19" w14:paraId="478AC005" w14:textId="77777777">
      <w:pPr>
        <w:rPr>
          <w:sz w:val="24"/>
        </w:rPr>
      </w:pPr>
      <w:r>
        <w:rPr>
          <w:sz w:val="24"/>
          <w:u w:val="single"/>
        </w:rPr>
        <w:t>ECE-Reglement 49, gasvormige emissies en deeltjes van dieselmotoren</w:t>
      </w:r>
    </w:p>
    <w:p w:rsidR="006B32F7" w:rsidP="006B32F7" w:rsidRDefault="006B32F7" w14:paraId="30F56665" w14:textId="77777777">
      <w:pPr>
        <w:rPr>
          <w:sz w:val="24"/>
        </w:rPr>
      </w:pPr>
      <w:r>
        <w:rPr>
          <w:sz w:val="24"/>
        </w:rPr>
        <w:t>Betreft</w:t>
      </w:r>
      <w:r w:rsidR="00782A6D">
        <w:rPr>
          <w:sz w:val="24"/>
        </w:rPr>
        <w:t>:</w:t>
      </w:r>
    </w:p>
    <w:p w:rsidR="00782A6D" w:rsidP="006B32F7" w:rsidRDefault="00782A6D" w14:paraId="5165FDB8" w14:textId="77777777">
      <w:pPr>
        <w:rPr>
          <w:sz w:val="24"/>
        </w:rPr>
      </w:pPr>
      <w:r>
        <w:rPr>
          <w:sz w:val="24"/>
        </w:rPr>
        <w:t>m</w:t>
      </w:r>
      <w:r w:rsidRPr="00782A6D">
        <w:rPr>
          <w:sz w:val="24"/>
        </w:rPr>
        <w:t>atchen van de scope met UN</w:t>
      </w:r>
      <w:r>
        <w:rPr>
          <w:sz w:val="24"/>
        </w:rPr>
        <w:t xml:space="preserve"> </w:t>
      </w:r>
      <w:r w:rsidRPr="00782A6D">
        <w:rPr>
          <w:sz w:val="24"/>
        </w:rPr>
        <w:t>R</w:t>
      </w:r>
      <w:r>
        <w:rPr>
          <w:sz w:val="24"/>
        </w:rPr>
        <w:t xml:space="preserve">eglement </w:t>
      </w:r>
      <w:r w:rsidRPr="00782A6D">
        <w:rPr>
          <w:sz w:val="24"/>
        </w:rPr>
        <w:t>83 waar voertuigen met een bepaalde referentiemassa alleen met een extensie konden worden aangevraagd.</w:t>
      </w:r>
    </w:p>
    <w:p w:rsidR="009C26E2" w:rsidRDefault="009C26E2" w14:paraId="50C34B31" w14:textId="77777777">
      <w:pPr>
        <w:rPr>
          <w:sz w:val="24"/>
          <w:u w:val="single"/>
        </w:rPr>
      </w:pPr>
    </w:p>
    <w:p w:rsidR="00512B19" w:rsidRDefault="00512B19" w14:paraId="6F287E59" w14:textId="77777777">
      <w:pPr>
        <w:rPr>
          <w:sz w:val="24"/>
        </w:rPr>
      </w:pPr>
      <w:r>
        <w:rPr>
          <w:sz w:val="24"/>
          <w:u w:val="single"/>
        </w:rPr>
        <w:t>ECE-Reglement 62, anti-diefstal (2- en 3-wielers)</w:t>
      </w:r>
    </w:p>
    <w:p w:rsidR="006B32F7" w:rsidP="006B32F7" w:rsidRDefault="006B32F7" w14:paraId="7F841D94" w14:textId="77777777">
      <w:pPr>
        <w:rPr>
          <w:sz w:val="24"/>
        </w:rPr>
      </w:pPr>
      <w:r>
        <w:rPr>
          <w:sz w:val="24"/>
        </w:rPr>
        <w:t>Betreft</w:t>
      </w:r>
      <w:r w:rsidR="00213038">
        <w:rPr>
          <w:sz w:val="24"/>
        </w:rPr>
        <w:t>:</w:t>
      </w:r>
    </w:p>
    <w:p w:rsidR="00213038" w:rsidP="006B32F7" w:rsidRDefault="00C4262C" w14:paraId="0A6FC3B6" w14:textId="5DC2B527">
      <w:pPr>
        <w:rPr>
          <w:sz w:val="24"/>
        </w:rPr>
      </w:pPr>
      <w:r w:rsidRPr="00C4262C">
        <w:rPr>
          <w:sz w:val="24"/>
        </w:rPr>
        <w:t>introductie van de digitale sleutel (bijv. via een smartphone app); deze mogelijkheid kennen we al bij de 4-wielers in UN R</w:t>
      </w:r>
      <w:r>
        <w:rPr>
          <w:sz w:val="24"/>
        </w:rPr>
        <w:t xml:space="preserve">eglement </w:t>
      </w:r>
      <w:r w:rsidRPr="00C4262C">
        <w:rPr>
          <w:sz w:val="24"/>
        </w:rPr>
        <w:t>116 en is nu ook opgenomen in het reglement voor motorfietsen en aanverwante voertuigen met handvaten</w:t>
      </w:r>
      <w:r w:rsidR="008F54F4">
        <w:rPr>
          <w:sz w:val="24"/>
        </w:rPr>
        <w:t>.</w:t>
      </w:r>
    </w:p>
    <w:p w:rsidR="00512B19" w:rsidRDefault="00512B19" w14:paraId="7CB3C3DA" w14:textId="77777777">
      <w:pPr>
        <w:rPr>
          <w:sz w:val="24"/>
        </w:rPr>
      </w:pPr>
    </w:p>
    <w:p w:rsidR="00512B19" w:rsidRDefault="00512B19" w14:paraId="176D7EE1" w14:textId="77777777">
      <w:pPr>
        <w:rPr>
          <w:sz w:val="24"/>
        </w:rPr>
      </w:pPr>
      <w:r>
        <w:rPr>
          <w:sz w:val="24"/>
          <w:u w:val="single"/>
        </w:rPr>
        <w:t>ECE-Reglement 65, speciale waarschuwingslichten (“zwaailampen”)</w:t>
      </w:r>
    </w:p>
    <w:p w:rsidR="006B32F7" w:rsidP="006B32F7" w:rsidRDefault="006B32F7" w14:paraId="5EA93ACE" w14:textId="77777777">
      <w:pPr>
        <w:rPr>
          <w:sz w:val="24"/>
        </w:rPr>
      </w:pPr>
      <w:r>
        <w:rPr>
          <w:sz w:val="24"/>
        </w:rPr>
        <w:t>Betreft</w:t>
      </w:r>
      <w:r w:rsidR="00F15884">
        <w:rPr>
          <w:sz w:val="24"/>
        </w:rPr>
        <w:t>:</w:t>
      </w:r>
    </w:p>
    <w:p w:rsidR="00F15884" w:rsidP="006B32F7" w:rsidRDefault="00F15884" w14:paraId="1D41CC1A" w14:textId="77777777">
      <w:pPr>
        <w:rPr>
          <w:sz w:val="24"/>
        </w:rPr>
      </w:pPr>
      <w:r w:rsidRPr="00F15884">
        <w:rPr>
          <w:sz w:val="24"/>
        </w:rPr>
        <w:t xml:space="preserve">voorstellen voor </w:t>
      </w:r>
      <w:r>
        <w:rPr>
          <w:sz w:val="24"/>
        </w:rPr>
        <w:t xml:space="preserve">UN </w:t>
      </w:r>
      <w:r w:rsidRPr="00F15884">
        <w:rPr>
          <w:sz w:val="24"/>
        </w:rPr>
        <w:t>R</w:t>
      </w:r>
      <w:r>
        <w:rPr>
          <w:sz w:val="24"/>
        </w:rPr>
        <w:t xml:space="preserve">eglement </w:t>
      </w:r>
      <w:r w:rsidRPr="00F15884">
        <w:rPr>
          <w:sz w:val="24"/>
        </w:rPr>
        <w:t>65, met correcties en verder aanpassingen om in de goedkeuringsmarkering van de unit op het voertuig elke kleur aan te geven die de unit kan uitstralen.</w:t>
      </w:r>
    </w:p>
    <w:p w:rsidR="00512B19" w:rsidRDefault="00512B19" w14:paraId="003FBE11" w14:textId="77777777">
      <w:pPr>
        <w:rPr>
          <w:sz w:val="24"/>
        </w:rPr>
      </w:pPr>
    </w:p>
    <w:p w:rsidR="00512B19" w:rsidRDefault="00512B19" w14:paraId="286B43A1" w14:textId="77777777">
      <w:pPr>
        <w:rPr>
          <w:sz w:val="24"/>
        </w:rPr>
      </w:pPr>
      <w:r>
        <w:rPr>
          <w:sz w:val="24"/>
          <w:u w:val="single"/>
        </w:rPr>
        <w:t>ECE-Reglement 73, zijkant afscherming vrachtauto’s</w:t>
      </w:r>
    </w:p>
    <w:p w:rsidR="006B32F7" w:rsidP="006B32F7" w:rsidRDefault="006B32F7" w14:paraId="360E4CD6" w14:textId="77777777">
      <w:pPr>
        <w:rPr>
          <w:sz w:val="24"/>
        </w:rPr>
      </w:pPr>
      <w:r>
        <w:rPr>
          <w:sz w:val="24"/>
        </w:rPr>
        <w:t>Betreft</w:t>
      </w:r>
      <w:r w:rsidR="009624FA">
        <w:rPr>
          <w:sz w:val="24"/>
        </w:rPr>
        <w:t>:</w:t>
      </w:r>
    </w:p>
    <w:p w:rsidR="009624FA" w:rsidP="006B32F7" w:rsidRDefault="009624FA" w14:paraId="5DA66B55" w14:textId="77777777">
      <w:pPr>
        <w:rPr>
          <w:sz w:val="24"/>
        </w:rPr>
      </w:pPr>
      <w:r w:rsidRPr="009624FA">
        <w:rPr>
          <w:sz w:val="24"/>
        </w:rPr>
        <w:t xml:space="preserve">voorstel geïnitieerd door Japan om de hoogte van de zijdelingse afscherming te verlagen van 550 mm naar 450 mm ter verhoging van de veiligheid. </w:t>
      </w:r>
    </w:p>
    <w:p w:rsidR="00512B19" w:rsidRDefault="00512B19" w14:paraId="5470818E" w14:textId="77777777">
      <w:pPr>
        <w:rPr>
          <w:sz w:val="24"/>
        </w:rPr>
      </w:pPr>
    </w:p>
    <w:p w:rsidR="00512B19" w:rsidRDefault="00512B19" w14:paraId="7B271114" w14:textId="77777777">
      <w:pPr>
        <w:rPr>
          <w:sz w:val="24"/>
        </w:rPr>
      </w:pPr>
      <w:r>
        <w:rPr>
          <w:sz w:val="24"/>
          <w:u w:val="single"/>
        </w:rPr>
        <w:t>ECE-Reglement 79, stuurinrichtingen</w:t>
      </w:r>
    </w:p>
    <w:p w:rsidR="006B32F7" w:rsidP="006B32F7" w:rsidRDefault="006B32F7" w14:paraId="24C72D12" w14:textId="77777777">
      <w:pPr>
        <w:rPr>
          <w:sz w:val="24"/>
        </w:rPr>
      </w:pPr>
      <w:r>
        <w:rPr>
          <w:sz w:val="24"/>
        </w:rPr>
        <w:t>Betreft</w:t>
      </w:r>
      <w:r w:rsidR="00C5423A">
        <w:rPr>
          <w:sz w:val="24"/>
        </w:rPr>
        <w:t>:</w:t>
      </w:r>
    </w:p>
    <w:p w:rsidR="00C5423A" w:rsidP="006B32F7" w:rsidRDefault="00C5423A" w14:paraId="0818C84F" w14:textId="77777777">
      <w:pPr>
        <w:rPr>
          <w:sz w:val="24"/>
        </w:rPr>
      </w:pPr>
      <w:r>
        <w:rPr>
          <w:sz w:val="24"/>
        </w:rPr>
        <w:t>a</w:t>
      </w:r>
      <w:r w:rsidRPr="00C5423A">
        <w:rPr>
          <w:sz w:val="24"/>
        </w:rPr>
        <w:t xml:space="preserve">anpassing dat de ACSF-categorieën B2, D en E niet langer onder </w:t>
      </w:r>
      <w:r>
        <w:rPr>
          <w:sz w:val="24"/>
        </w:rPr>
        <w:t xml:space="preserve">UN </w:t>
      </w:r>
      <w:r w:rsidRPr="00C5423A">
        <w:rPr>
          <w:sz w:val="24"/>
        </w:rPr>
        <w:t>R</w:t>
      </w:r>
      <w:r>
        <w:rPr>
          <w:sz w:val="24"/>
        </w:rPr>
        <w:t xml:space="preserve">eglement </w:t>
      </w:r>
      <w:r w:rsidRPr="00C5423A">
        <w:rPr>
          <w:sz w:val="24"/>
        </w:rPr>
        <w:t xml:space="preserve">79 (stuurinrichtingen) zullen vallen maar onder de strengere vereisten van </w:t>
      </w:r>
      <w:r>
        <w:rPr>
          <w:sz w:val="24"/>
        </w:rPr>
        <w:t xml:space="preserve">UN Reglement </w:t>
      </w:r>
      <w:r w:rsidRPr="00C5423A">
        <w:rPr>
          <w:sz w:val="24"/>
        </w:rPr>
        <w:t>171 (DCAS)</w:t>
      </w:r>
      <w:r>
        <w:rPr>
          <w:sz w:val="24"/>
        </w:rPr>
        <w:t>.</w:t>
      </w:r>
    </w:p>
    <w:p w:rsidR="00512B19" w:rsidRDefault="00512B19" w14:paraId="39C93E17" w14:textId="77777777">
      <w:pPr>
        <w:rPr>
          <w:sz w:val="24"/>
        </w:rPr>
      </w:pPr>
    </w:p>
    <w:p w:rsidR="00512B19" w:rsidRDefault="00512B19" w14:paraId="785FC574" w14:textId="77777777">
      <w:pPr>
        <w:rPr>
          <w:sz w:val="24"/>
          <w:u w:val="single"/>
        </w:rPr>
      </w:pPr>
      <w:r>
        <w:rPr>
          <w:sz w:val="24"/>
          <w:u w:val="single"/>
        </w:rPr>
        <w:t>ECE-Reglement 83, gasvormige emissies en deeltjes van personenauto’s en lichte bestelauto’s</w:t>
      </w:r>
    </w:p>
    <w:p w:rsidR="00BA2D83" w:rsidRDefault="00BA2D83" w14:paraId="0D26EFD3" w14:textId="77777777">
      <w:pPr>
        <w:rPr>
          <w:sz w:val="24"/>
        </w:rPr>
      </w:pPr>
      <w:r>
        <w:rPr>
          <w:sz w:val="24"/>
          <w:u w:val="single"/>
        </w:rPr>
        <w:t>agendapunt: 2025/92</w:t>
      </w:r>
    </w:p>
    <w:p w:rsidR="006B32F7" w:rsidP="006B32F7" w:rsidRDefault="006B32F7" w14:paraId="29CB2EB8" w14:textId="77777777">
      <w:pPr>
        <w:rPr>
          <w:sz w:val="24"/>
        </w:rPr>
      </w:pPr>
      <w:r>
        <w:rPr>
          <w:sz w:val="24"/>
        </w:rPr>
        <w:t>Betreft</w:t>
      </w:r>
      <w:r w:rsidR="00BA2D83">
        <w:rPr>
          <w:sz w:val="24"/>
        </w:rPr>
        <w:t>:</w:t>
      </w:r>
    </w:p>
    <w:p w:rsidR="00BA2D83" w:rsidP="006B32F7" w:rsidRDefault="00BA2D83" w14:paraId="72CC241B" w14:textId="77777777">
      <w:pPr>
        <w:rPr>
          <w:sz w:val="24"/>
        </w:rPr>
      </w:pPr>
      <w:r>
        <w:rPr>
          <w:sz w:val="24"/>
        </w:rPr>
        <w:t>u</w:t>
      </w:r>
      <w:r w:rsidRPr="00BA2D83">
        <w:rPr>
          <w:sz w:val="24"/>
        </w:rPr>
        <w:t>pdate van eisen voor de dynamometer voorbereiding voor de Type 6 test waarbij deze wordt gelijkgetrokken met UN GTR 15.</w:t>
      </w:r>
    </w:p>
    <w:p w:rsidR="00BA2D83" w:rsidP="006B32F7" w:rsidRDefault="00BA2D83" w14:paraId="1C9202CB" w14:textId="77777777">
      <w:pPr>
        <w:rPr>
          <w:sz w:val="24"/>
        </w:rPr>
      </w:pPr>
    </w:p>
    <w:p w:rsidR="00BA2D83" w:rsidP="00BA2D83" w:rsidRDefault="00BA2D83" w14:paraId="2881D747" w14:textId="77777777">
      <w:pPr>
        <w:rPr>
          <w:sz w:val="24"/>
          <w:u w:val="single"/>
        </w:rPr>
      </w:pPr>
      <w:r>
        <w:rPr>
          <w:sz w:val="24"/>
          <w:u w:val="single"/>
        </w:rPr>
        <w:t>ECE-Reglement 83, gasvormige emissies en deeltjes van personenauto’s en lichte bestelauto’s</w:t>
      </w:r>
    </w:p>
    <w:p w:rsidR="00BA2D83" w:rsidP="00BA2D83" w:rsidRDefault="00BA2D83" w14:paraId="182C74BE" w14:textId="77777777">
      <w:pPr>
        <w:rPr>
          <w:sz w:val="24"/>
        </w:rPr>
      </w:pPr>
      <w:r>
        <w:rPr>
          <w:sz w:val="24"/>
          <w:u w:val="single"/>
        </w:rPr>
        <w:t>Agendapunt: 2025/96</w:t>
      </w:r>
    </w:p>
    <w:p w:rsidR="00BA2D83" w:rsidP="00BA2D83" w:rsidRDefault="00BA2D83" w14:paraId="7C876E78" w14:textId="77777777">
      <w:pPr>
        <w:rPr>
          <w:sz w:val="24"/>
        </w:rPr>
      </w:pPr>
      <w:r>
        <w:rPr>
          <w:sz w:val="24"/>
        </w:rPr>
        <w:t>Betreft:</w:t>
      </w:r>
    </w:p>
    <w:p w:rsidR="00BA2D83" w:rsidP="006B32F7" w:rsidRDefault="00BA2D83" w14:paraId="72A5DC70" w14:textId="77777777">
      <w:pPr>
        <w:rPr>
          <w:sz w:val="24"/>
        </w:rPr>
      </w:pPr>
      <w:r>
        <w:rPr>
          <w:sz w:val="24"/>
        </w:rPr>
        <w:t>u</w:t>
      </w:r>
      <w:r w:rsidRPr="00BA2D83">
        <w:rPr>
          <w:sz w:val="24"/>
        </w:rPr>
        <w:t>pdate van eisen voor de dynamometer voorbereiding voor de Type 6 test waarbij deze wordt gelijkgetrokken met UN GTR 15. Aanpassen van de scope met UN</w:t>
      </w:r>
      <w:r>
        <w:rPr>
          <w:sz w:val="24"/>
        </w:rPr>
        <w:t xml:space="preserve"> </w:t>
      </w:r>
      <w:r w:rsidRPr="00BA2D83">
        <w:rPr>
          <w:sz w:val="24"/>
        </w:rPr>
        <w:t>R</w:t>
      </w:r>
      <w:r>
        <w:rPr>
          <w:sz w:val="24"/>
        </w:rPr>
        <w:t xml:space="preserve">eglement </w:t>
      </w:r>
      <w:r w:rsidRPr="00BA2D83">
        <w:rPr>
          <w:sz w:val="24"/>
        </w:rPr>
        <w:t>83 waar voertuigen met een bepaalde referentiemassa alleen met een extensie konden worden aangevraagd. Nu kan dit direct bij de eerste aanvraag.</w:t>
      </w:r>
    </w:p>
    <w:p w:rsidR="00512B19" w:rsidRDefault="00512B19" w14:paraId="6006B5CA" w14:textId="77777777">
      <w:pPr>
        <w:rPr>
          <w:sz w:val="24"/>
        </w:rPr>
      </w:pPr>
    </w:p>
    <w:p w:rsidR="00512B19" w:rsidRDefault="00512B19" w14:paraId="7C78DF05" w14:textId="77777777">
      <w:pPr>
        <w:rPr>
          <w:sz w:val="24"/>
        </w:rPr>
      </w:pPr>
      <w:r>
        <w:rPr>
          <w:sz w:val="24"/>
          <w:u w:val="single"/>
        </w:rPr>
        <w:t>ECE-Reglement 90, vervangende remvoeringen</w:t>
      </w:r>
    </w:p>
    <w:p w:rsidR="006B32F7" w:rsidP="006B32F7" w:rsidRDefault="006B32F7" w14:paraId="4410BE73" w14:textId="77777777">
      <w:pPr>
        <w:rPr>
          <w:sz w:val="24"/>
        </w:rPr>
      </w:pPr>
      <w:r>
        <w:rPr>
          <w:sz w:val="24"/>
        </w:rPr>
        <w:t>Betreft</w:t>
      </w:r>
      <w:r w:rsidR="009C6414">
        <w:rPr>
          <w:sz w:val="24"/>
        </w:rPr>
        <w:t>:</w:t>
      </w:r>
    </w:p>
    <w:p w:rsidR="009C6414" w:rsidP="006B32F7" w:rsidRDefault="009C6414" w14:paraId="51671087" w14:textId="7DC42D7E">
      <w:pPr>
        <w:rPr>
          <w:sz w:val="24"/>
        </w:rPr>
      </w:pPr>
      <w:r>
        <w:rPr>
          <w:sz w:val="24"/>
        </w:rPr>
        <w:t>e</w:t>
      </w:r>
      <w:r w:rsidRPr="009C6414">
        <w:rPr>
          <w:sz w:val="24"/>
        </w:rPr>
        <w:t>xplicietere beschrijving van de inloopprocedure van vervangende remvoeringen om daarmee na</w:t>
      </w:r>
      <w:r w:rsidR="008F54F4">
        <w:rPr>
          <w:sz w:val="24"/>
        </w:rPr>
        <w:t>l</w:t>
      </w:r>
      <w:r w:rsidRPr="009C6414">
        <w:rPr>
          <w:sz w:val="24"/>
        </w:rPr>
        <w:t>e</w:t>
      </w:r>
      <w:r w:rsidR="008F54F4">
        <w:rPr>
          <w:sz w:val="24"/>
        </w:rPr>
        <w:t>v</w:t>
      </w:r>
      <w:r w:rsidRPr="009C6414">
        <w:rPr>
          <w:sz w:val="24"/>
        </w:rPr>
        <w:t>ingsproblemen bij markttoezicht te helpen voorkomen</w:t>
      </w:r>
      <w:r>
        <w:rPr>
          <w:sz w:val="24"/>
        </w:rPr>
        <w:t>.</w:t>
      </w:r>
    </w:p>
    <w:p w:rsidR="00512B19" w:rsidRDefault="00512B19" w14:paraId="79F1E135" w14:textId="77777777">
      <w:pPr>
        <w:rPr>
          <w:sz w:val="24"/>
        </w:rPr>
      </w:pPr>
    </w:p>
    <w:p w:rsidR="00512B19" w:rsidRDefault="00512B19" w14:paraId="4F59AA1C" w14:textId="77777777">
      <w:pPr>
        <w:rPr>
          <w:sz w:val="24"/>
        </w:rPr>
      </w:pPr>
      <w:r>
        <w:rPr>
          <w:sz w:val="24"/>
          <w:u w:val="single"/>
        </w:rPr>
        <w:t xml:space="preserve">ECE-Reglement 100, </w:t>
      </w:r>
      <w:r w:rsidR="003F0236">
        <w:rPr>
          <w:sz w:val="24"/>
          <w:u w:val="single"/>
        </w:rPr>
        <w:t>elektrische</w:t>
      </w:r>
      <w:r>
        <w:rPr>
          <w:sz w:val="24"/>
          <w:u w:val="single"/>
        </w:rPr>
        <w:t xml:space="preserve"> voertuigen</w:t>
      </w:r>
    </w:p>
    <w:p w:rsidR="006B32F7" w:rsidP="006B32F7" w:rsidRDefault="006B32F7" w14:paraId="3DDFD7C1" w14:textId="77777777">
      <w:pPr>
        <w:rPr>
          <w:sz w:val="24"/>
        </w:rPr>
      </w:pPr>
      <w:r>
        <w:rPr>
          <w:sz w:val="24"/>
        </w:rPr>
        <w:t>Betreft</w:t>
      </w:r>
      <w:r w:rsidR="00454AC4">
        <w:rPr>
          <w:sz w:val="24"/>
        </w:rPr>
        <w:t>:</w:t>
      </w:r>
    </w:p>
    <w:p w:rsidR="00454AC4" w:rsidP="006B32F7" w:rsidRDefault="00454AC4" w14:paraId="4F64C9F3" w14:textId="77777777">
      <w:pPr>
        <w:rPr>
          <w:sz w:val="24"/>
        </w:rPr>
      </w:pPr>
      <w:r w:rsidRPr="00454AC4">
        <w:rPr>
          <w:sz w:val="24"/>
        </w:rPr>
        <w:t>Franse taalcorrectie om betekenis in lijn te brengen met de Engelse versie</w:t>
      </w:r>
      <w:r>
        <w:rPr>
          <w:sz w:val="24"/>
        </w:rPr>
        <w:t>.</w:t>
      </w:r>
    </w:p>
    <w:p w:rsidR="009C26E2" w:rsidRDefault="009C26E2" w14:paraId="68A44A03" w14:textId="77777777">
      <w:pPr>
        <w:rPr>
          <w:sz w:val="24"/>
          <w:u w:val="single"/>
        </w:rPr>
      </w:pPr>
    </w:p>
    <w:p w:rsidR="00512B19" w:rsidRDefault="00FB6016" w14:paraId="01B85406" w14:textId="77777777">
      <w:pPr>
        <w:rPr>
          <w:sz w:val="24"/>
        </w:rPr>
      </w:pPr>
      <w:r>
        <w:rPr>
          <w:sz w:val="24"/>
          <w:u w:val="single"/>
        </w:rPr>
        <w:t>E</w:t>
      </w:r>
      <w:r w:rsidR="00512B19">
        <w:rPr>
          <w:sz w:val="24"/>
          <w:u w:val="single"/>
        </w:rPr>
        <w:t>CE-Reglement 105, vervoer gevaarlijke stoffen</w:t>
      </w:r>
    </w:p>
    <w:p w:rsidR="006B32F7" w:rsidP="006B32F7" w:rsidRDefault="006B32F7" w14:paraId="177C121F" w14:textId="77777777">
      <w:pPr>
        <w:rPr>
          <w:sz w:val="24"/>
        </w:rPr>
      </w:pPr>
      <w:r>
        <w:rPr>
          <w:sz w:val="24"/>
        </w:rPr>
        <w:t>Betreft</w:t>
      </w:r>
      <w:r w:rsidR="00FB6016">
        <w:rPr>
          <w:sz w:val="24"/>
        </w:rPr>
        <w:t>:</w:t>
      </w:r>
    </w:p>
    <w:p w:rsidR="00FB6016" w:rsidP="006B32F7" w:rsidRDefault="00FB6016" w14:paraId="0DCFDBA0" w14:textId="6A123EB8">
      <w:pPr>
        <w:rPr>
          <w:sz w:val="24"/>
        </w:rPr>
      </w:pPr>
      <w:r>
        <w:rPr>
          <w:sz w:val="24"/>
        </w:rPr>
        <w:t>c</w:t>
      </w:r>
      <w:r w:rsidRPr="00FB6016">
        <w:rPr>
          <w:sz w:val="24"/>
        </w:rPr>
        <w:t>orrectie van het Reglement om het in lijn te brengen met de ADR-2025</w:t>
      </w:r>
      <w:r w:rsidR="008F54F4">
        <w:rPr>
          <w:sz w:val="24"/>
        </w:rPr>
        <w:t>.</w:t>
      </w:r>
    </w:p>
    <w:p w:rsidR="00512B19" w:rsidRDefault="00512B19" w14:paraId="7A29419E" w14:textId="77777777">
      <w:pPr>
        <w:rPr>
          <w:sz w:val="24"/>
        </w:rPr>
      </w:pPr>
    </w:p>
    <w:p w:rsidR="00512B19" w:rsidRDefault="00512B19" w14:paraId="1BC748F4" w14:textId="77777777">
      <w:pPr>
        <w:rPr>
          <w:sz w:val="24"/>
        </w:rPr>
      </w:pPr>
      <w:r>
        <w:rPr>
          <w:sz w:val="24"/>
          <w:u w:val="single"/>
        </w:rPr>
        <w:t>ECE-Reglement 107, autobussen</w:t>
      </w:r>
    </w:p>
    <w:p w:rsidR="006B32F7" w:rsidP="006B32F7" w:rsidRDefault="006B32F7" w14:paraId="47468A8A" w14:textId="77777777">
      <w:pPr>
        <w:rPr>
          <w:sz w:val="24"/>
        </w:rPr>
      </w:pPr>
      <w:r>
        <w:rPr>
          <w:sz w:val="24"/>
        </w:rPr>
        <w:t>Betreft</w:t>
      </w:r>
      <w:r w:rsidR="00334088">
        <w:rPr>
          <w:sz w:val="24"/>
        </w:rPr>
        <w:t>:</w:t>
      </w:r>
    </w:p>
    <w:p w:rsidR="00334088" w:rsidP="006B32F7" w:rsidRDefault="00334088" w14:paraId="783D9810" w14:textId="77777777">
      <w:pPr>
        <w:rPr>
          <w:sz w:val="24"/>
        </w:rPr>
      </w:pPr>
      <w:r w:rsidRPr="00334088">
        <w:rPr>
          <w:sz w:val="24"/>
        </w:rPr>
        <w:t>voorstel ter verbetering van de toegankelijkheid van klasse 1 bussen voor personen met verminderde mobiliteit (breed gezien)</w:t>
      </w:r>
      <w:r>
        <w:rPr>
          <w:sz w:val="24"/>
        </w:rPr>
        <w:t>.</w:t>
      </w:r>
    </w:p>
    <w:p w:rsidR="00512B19" w:rsidRDefault="00512B19" w14:paraId="6DFF8609" w14:textId="77777777">
      <w:pPr>
        <w:rPr>
          <w:sz w:val="24"/>
        </w:rPr>
      </w:pPr>
    </w:p>
    <w:p w:rsidRPr="00D4010F" w:rsidR="00512B19" w:rsidRDefault="00512B19" w14:paraId="7EC5FA95" w14:textId="77777777">
      <w:pPr>
        <w:rPr>
          <w:sz w:val="24"/>
          <w:u w:val="single"/>
        </w:rPr>
      </w:pPr>
      <w:r w:rsidRPr="00D4010F">
        <w:rPr>
          <w:sz w:val="24"/>
          <w:u w:val="single"/>
        </w:rPr>
        <w:t>ECE-Reglement 121, verklikkerlichten en indicatoren</w:t>
      </w:r>
    </w:p>
    <w:p w:rsidR="00D4010F" w:rsidRDefault="00D4010F" w14:paraId="0C2B14F4" w14:textId="77777777">
      <w:pPr>
        <w:rPr>
          <w:sz w:val="24"/>
        </w:rPr>
      </w:pPr>
      <w:r>
        <w:rPr>
          <w:sz w:val="24"/>
        </w:rPr>
        <w:t>Betreft</w:t>
      </w:r>
      <w:r w:rsidR="00F07800">
        <w:rPr>
          <w:sz w:val="24"/>
        </w:rPr>
        <w:t>:</w:t>
      </w:r>
    </w:p>
    <w:p w:rsidRPr="00D4010F" w:rsidR="00F07800" w:rsidRDefault="00F07800" w14:paraId="6BCF7AA0" w14:textId="77777777">
      <w:pPr>
        <w:rPr>
          <w:sz w:val="24"/>
        </w:rPr>
      </w:pPr>
      <w:r w:rsidRPr="00F07800">
        <w:rPr>
          <w:sz w:val="24"/>
        </w:rPr>
        <w:t>update met verwijzing naar de laatste versie van ISO 2575:2021</w:t>
      </w:r>
      <w:r>
        <w:rPr>
          <w:sz w:val="24"/>
        </w:rPr>
        <w:t>.</w:t>
      </w:r>
    </w:p>
    <w:bookmarkEnd w:id="0"/>
    <w:bookmarkEnd w:id="1"/>
    <w:p w:rsidR="003C0826" w:rsidP="00891C51" w:rsidRDefault="003C0826" w14:paraId="11A04FDA" w14:textId="77777777">
      <w:pPr>
        <w:rPr>
          <w:sz w:val="24"/>
        </w:rPr>
      </w:pPr>
    </w:p>
    <w:p w:rsidR="00891C51" w:rsidP="00891C51" w:rsidRDefault="004A2C9D" w14:paraId="4E241E42" w14:textId="77777777">
      <w:pPr>
        <w:rPr>
          <w:sz w:val="24"/>
        </w:rPr>
      </w:pPr>
      <w:r>
        <w:rPr>
          <w:sz w:val="24"/>
          <w:u w:val="single"/>
        </w:rPr>
        <w:t xml:space="preserve">ECE-Reglement </w:t>
      </w:r>
      <w:r w:rsidRPr="00C425EC" w:rsidR="00891C51">
        <w:rPr>
          <w:sz w:val="24"/>
          <w:u w:val="single"/>
        </w:rPr>
        <w:t>12</w:t>
      </w:r>
      <w:r>
        <w:rPr>
          <w:sz w:val="24"/>
          <w:u w:val="single"/>
        </w:rPr>
        <w:t>7</w:t>
      </w:r>
      <w:r w:rsidRPr="00C425EC" w:rsidR="00891C51">
        <w:rPr>
          <w:sz w:val="24"/>
          <w:u w:val="single"/>
        </w:rPr>
        <w:t xml:space="preserve">, </w:t>
      </w:r>
      <w:r w:rsidR="00891C51">
        <w:rPr>
          <w:sz w:val="24"/>
          <w:u w:val="single"/>
        </w:rPr>
        <w:t>voetganger veiligheid</w:t>
      </w:r>
    </w:p>
    <w:p w:rsidR="00891C51" w:rsidP="00891C51" w:rsidRDefault="003C0826" w14:paraId="5AA9AF6E" w14:textId="77777777">
      <w:pPr>
        <w:autoSpaceDE w:val="0"/>
        <w:autoSpaceDN w:val="0"/>
        <w:adjustRightInd w:val="0"/>
        <w:rPr>
          <w:sz w:val="24"/>
        </w:rPr>
      </w:pPr>
      <w:r w:rsidRPr="004A2C9D">
        <w:rPr>
          <w:sz w:val="24"/>
        </w:rPr>
        <w:t>Betreft</w:t>
      </w:r>
      <w:r w:rsidR="005F0787">
        <w:rPr>
          <w:sz w:val="24"/>
        </w:rPr>
        <w:t>:</w:t>
      </w:r>
    </w:p>
    <w:p w:rsidRPr="004A2C9D" w:rsidR="005F0787" w:rsidP="00891C51" w:rsidRDefault="005F0787" w14:paraId="3ABBE68E" w14:textId="77777777">
      <w:pPr>
        <w:autoSpaceDE w:val="0"/>
        <w:autoSpaceDN w:val="0"/>
        <w:adjustRightInd w:val="0"/>
        <w:rPr>
          <w:sz w:val="24"/>
        </w:rPr>
      </w:pPr>
      <w:r w:rsidRPr="005F0787">
        <w:rPr>
          <w:sz w:val="24"/>
        </w:rPr>
        <w:t xml:space="preserve">kleine correctie om </w:t>
      </w:r>
      <w:r>
        <w:rPr>
          <w:sz w:val="24"/>
        </w:rPr>
        <w:t>U</w:t>
      </w:r>
      <w:r w:rsidRPr="005F0787">
        <w:rPr>
          <w:sz w:val="24"/>
        </w:rPr>
        <w:t>N Reglement 127 terug in lijn te brengen met de GTR-9 waar deze van is afgeleid.</w:t>
      </w:r>
    </w:p>
    <w:p w:rsidR="00922AC9" w:rsidP="004A2C9D" w:rsidRDefault="00922AC9" w14:paraId="55889606" w14:textId="77777777">
      <w:pPr>
        <w:rPr>
          <w:sz w:val="24"/>
          <w:u w:val="single"/>
        </w:rPr>
      </w:pPr>
    </w:p>
    <w:p w:rsidRPr="00AB3A1D" w:rsidR="004A2C9D" w:rsidP="004A2C9D" w:rsidRDefault="004A2C9D" w14:paraId="73F0461C" w14:textId="77777777">
      <w:pPr>
        <w:rPr>
          <w:sz w:val="24"/>
          <w:u w:val="single"/>
        </w:rPr>
      </w:pPr>
      <w:r w:rsidRPr="00AB3A1D">
        <w:rPr>
          <w:sz w:val="24"/>
          <w:u w:val="single"/>
        </w:rPr>
        <w:t>ECE-Reglement 1</w:t>
      </w:r>
      <w:r>
        <w:rPr>
          <w:sz w:val="24"/>
          <w:u w:val="single"/>
        </w:rPr>
        <w:t>29</w:t>
      </w:r>
      <w:r w:rsidRPr="00AB3A1D">
        <w:rPr>
          <w:sz w:val="24"/>
          <w:u w:val="single"/>
        </w:rPr>
        <w:t xml:space="preserve">, </w:t>
      </w:r>
      <w:r w:rsidR="006D5EF9">
        <w:rPr>
          <w:sz w:val="24"/>
          <w:u w:val="single"/>
        </w:rPr>
        <w:t>k</w:t>
      </w:r>
      <w:r w:rsidRPr="00AB3A1D">
        <w:rPr>
          <w:sz w:val="24"/>
          <w:u w:val="single"/>
        </w:rPr>
        <w:t>inderbeveiligingsmiddelen</w:t>
      </w:r>
    </w:p>
    <w:p w:rsidR="00922AC9" w:rsidP="004A2C9D" w:rsidRDefault="004A2C9D" w14:paraId="63BE8985" w14:textId="77777777">
      <w:pPr>
        <w:rPr>
          <w:sz w:val="24"/>
        </w:rPr>
      </w:pPr>
      <w:r w:rsidRPr="00AB3A1D">
        <w:rPr>
          <w:sz w:val="24"/>
        </w:rPr>
        <w:t>Betreft</w:t>
      </w:r>
      <w:r w:rsidR="00922AC9">
        <w:rPr>
          <w:sz w:val="24"/>
        </w:rPr>
        <w:t>:</w:t>
      </w:r>
    </w:p>
    <w:p w:rsidRPr="00AB3A1D" w:rsidR="004A2C9D" w:rsidP="004A2C9D" w:rsidRDefault="00922AC9" w14:paraId="1FAE9C25" w14:textId="77777777">
      <w:pPr>
        <w:rPr>
          <w:sz w:val="24"/>
        </w:rPr>
      </w:pPr>
      <w:r w:rsidRPr="00922AC9">
        <w:rPr>
          <w:sz w:val="24"/>
        </w:rPr>
        <w:t xml:space="preserve">uitbreiding van de definitie van module, om ook booster </w:t>
      </w:r>
      <w:proofErr w:type="spellStart"/>
      <w:r w:rsidRPr="00922AC9">
        <w:rPr>
          <w:sz w:val="24"/>
        </w:rPr>
        <w:t>seats</w:t>
      </w:r>
      <w:proofErr w:type="spellEnd"/>
      <w:r w:rsidRPr="00922AC9">
        <w:rPr>
          <w:sz w:val="24"/>
        </w:rPr>
        <w:t xml:space="preserve"> onderdeel te kunnen laten zijn van een module. Werd al toegepast door diverse </w:t>
      </w:r>
      <w:proofErr w:type="spellStart"/>
      <w:r w:rsidRPr="00922AC9">
        <w:rPr>
          <w:sz w:val="24"/>
        </w:rPr>
        <w:t>Typegoedkeuringsautoriteiten</w:t>
      </w:r>
      <w:proofErr w:type="spellEnd"/>
      <w:r w:rsidRPr="00922AC9">
        <w:rPr>
          <w:sz w:val="24"/>
        </w:rPr>
        <w:t xml:space="preserve"> en is hiermee officieel</w:t>
      </w:r>
      <w:r>
        <w:rPr>
          <w:sz w:val="24"/>
        </w:rPr>
        <w:t>.</w:t>
      </w:r>
    </w:p>
    <w:p w:rsidRPr="00DA05DC" w:rsidR="00C1358D" w:rsidP="00891C51" w:rsidRDefault="00C1358D" w14:paraId="08A8EF57" w14:textId="77777777">
      <w:pPr>
        <w:rPr>
          <w:sz w:val="24"/>
          <w:u w:val="single"/>
        </w:rPr>
      </w:pPr>
    </w:p>
    <w:p w:rsidRPr="00500D74" w:rsidR="00891C51" w:rsidP="00891C51" w:rsidRDefault="00891C51" w14:paraId="53F2A369" w14:textId="77777777">
      <w:pPr>
        <w:rPr>
          <w:sz w:val="24"/>
          <w:lang w:val="en-GB"/>
        </w:rPr>
      </w:pPr>
      <w:r w:rsidRPr="00500D74">
        <w:rPr>
          <w:sz w:val="24"/>
          <w:u w:val="single"/>
          <w:lang w:val="en-GB"/>
        </w:rPr>
        <w:t>ECE-</w:t>
      </w:r>
      <w:proofErr w:type="spellStart"/>
      <w:r w:rsidRPr="00500D74">
        <w:rPr>
          <w:sz w:val="24"/>
          <w:u w:val="single"/>
          <w:lang w:val="en-GB"/>
        </w:rPr>
        <w:t>Reglement</w:t>
      </w:r>
      <w:proofErr w:type="spellEnd"/>
      <w:r w:rsidRPr="00500D74">
        <w:rPr>
          <w:sz w:val="24"/>
          <w:u w:val="single"/>
          <w:lang w:val="en-GB"/>
        </w:rPr>
        <w:t xml:space="preserve"> 1</w:t>
      </w:r>
      <w:r w:rsidR="00990FF8">
        <w:rPr>
          <w:sz w:val="24"/>
          <w:u w:val="single"/>
          <w:lang w:val="en-GB"/>
        </w:rPr>
        <w:t>31</w:t>
      </w:r>
      <w:r w:rsidRPr="00500D74">
        <w:rPr>
          <w:sz w:val="24"/>
          <w:u w:val="single"/>
          <w:lang w:val="en-GB"/>
        </w:rPr>
        <w:t>, Advanced Emergency Braking Systems</w:t>
      </w:r>
      <w:r w:rsidRPr="008A4D48">
        <w:rPr>
          <w:sz w:val="24"/>
          <w:lang w:val="en-GB"/>
        </w:rPr>
        <w:t>.</w:t>
      </w:r>
      <w:r w:rsidR="00364BE7">
        <w:rPr>
          <w:sz w:val="24"/>
          <w:lang w:val="en-GB"/>
        </w:rPr>
        <w:t>(AEBS)</w:t>
      </w:r>
      <w:r w:rsidRPr="008A4D48">
        <w:rPr>
          <w:sz w:val="24"/>
          <w:lang w:val="en-GB"/>
        </w:rPr>
        <w:t xml:space="preserve">  </w:t>
      </w:r>
    </w:p>
    <w:p w:rsidR="0016618D" w:rsidP="00AA46CD" w:rsidRDefault="00AB3A1D" w14:paraId="1E73E5F0" w14:textId="77777777">
      <w:pPr>
        <w:rPr>
          <w:sz w:val="24"/>
        </w:rPr>
      </w:pPr>
      <w:r>
        <w:rPr>
          <w:sz w:val="24"/>
        </w:rPr>
        <w:t>Betreft</w:t>
      </w:r>
      <w:r w:rsidR="00C1358D">
        <w:rPr>
          <w:sz w:val="24"/>
        </w:rPr>
        <w:t>:</w:t>
      </w:r>
    </w:p>
    <w:p w:rsidR="00C1358D" w:rsidP="00AA46CD" w:rsidRDefault="00C1358D" w14:paraId="5F48E627" w14:textId="77777777">
      <w:pPr>
        <w:rPr>
          <w:sz w:val="24"/>
        </w:rPr>
      </w:pPr>
      <w:r>
        <w:rPr>
          <w:sz w:val="24"/>
        </w:rPr>
        <w:t>o</w:t>
      </w:r>
      <w:r w:rsidRPr="00C1358D">
        <w:rPr>
          <w:sz w:val="24"/>
        </w:rPr>
        <w:t xml:space="preserve">verhevelen van de mogelijkheid tot virtueel i.p.v. fysiek testen van </w:t>
      </w:r>
      <w:r>
        <w:rPr>
          <w:sz w:val="24"/>
        </w:rPr>
        <w:t xml:space="preserve">UN </w:t>
      </w:r>
      <w:r w:rsidRPr="00C1358D">
        <w:rPr>
          <w:sz w:val="24"/>
        </w:rPr>
        <w:t>R</w:t>
      </w:r>
      <w:r>
        <w:rPr>
          <w:sz w:val="24"/>
        </w:rPr>
        <w:t xml:space="preserve">eglement </w:t>
      </w:r>
      <w:r w:rsidRPr="00C1358D">
        <w:rPr>
          <w:sz w:val="24"/>
        </w:rPr>
        <w:t xml:space="preserve">152 naar </w:t>
      </w:r>
      <w:r>
        <w:rPr>
          <w:sz w:val="24"/>
        </w:rPr>
        <w:t xml:space="preserve">UN </w:t>
      </w:r>
      <w:r w:rsidRPr="00C1358D">
        <w:rPr>
          <w:sz w:val="24"/>
        </w:rPr>
        <w:t>R</w:t>
      </w:r>
      <w:r>
        <w:rPr>
          <w:sz w:val="24"/>
        </w:rPr>
        <w:t xml:space="preserve">eglement </w:t>
      </w:r>
      <w:r w:rsidRPr="00C1358D">
        <w:rPr>
          <w:sz w:val="24"/>
        </w:rPr>
        <w:t>13</w:t>
      </w:r>
      <w:r>
        <w:rPr>
          <w:sz w:val="24"/>
        </w:rPr>
        <w:t>1.</w:t>
      </w:r>
    </w:p>
    <w:p w:rsidR="00364BE7" w:rsidP="00AA46CD" w:rsidRDefault="00364BE7" w14:paraId="0AB24854" w14:textId="77777777">
      <w:pPr>
        <w:rPr>
          <w:sz w:val="24"/>
        </w:rPr>
      </w:pPr>
    </w:p>
    <w:p w:rsidRPr="00D61752" w:rsidR="008E1E87" w:rsidP="008E1E87" w:rsidRDefault="008E1E87" w14:paraId="748D700A" w14:textId="77777777">
      <w:pPr>
        <w:rPr>
          <w:sz w:val="24"/>
        </w:rPr>
      </w:pPr>
      <w:r w:rsidRPr="00D61752">
        <w:rPr>
          <w:sz w:val="24"/>
          <w:u w:val="single"/>
        </w:rPr>
        <w:t xml:space="preserve">ECE-Reglement </w:t>
      </w:r>
      <w:r w:rsidR="00D61752">
        <w:rPr>
          <w:sz w:val="24"/>
          <w:u w:val="single"/>
        </w:rPr>
        <w:t xml:space="preserve">134, </w:t>
      </w:r>
      <w:r w:rsidRPr="00D61752" w:rsidR="00D61752">
        <w:rPr>
          <w:sz w:val="24"/>
          <w:u w:val="single"/>
        </w:rPr>
        <w:t>Waterstof- en brandstofcelvoertuigen (HFCV)</w:t>
      </w:r>
      <w:r w:rsidR="001D1DA0">
        <w:rPr>
          <w:sz w:val="24"/>
          <w:u w:val="single"/>
        </w:rPr>
        <w:t xml:space="preserve"> agendapunt: 2025/130</w:t>
      </w:r>
    </w:p>
    <w:p w:rsidR="008E1E87" w:rsidP="008E1E87" w:rsidRDefault="008E1E87" w14:paraId="7110324E" w14:textId="77777777">
      <w:pPr>
        <w:rPr>
          <w:sz w:val="24"/>
        </w:rPr>
      </w:pPr>
      <w:r>
        <w:rPr>
          <w:sz w:val="24"/>
        </w:rPr>
        <w:t>Betreft</w:t>
      </w:r>
      <w:r w:rsidR="004D48A2">
        <w:rPr>
          <w:sz w:val="24"/>
        </w:rPr>
        <w:t>:</w:t>
      </w:r>
    </w:p>
    <w:p w:rsidR="004D48A2" w:rsidP="008E1E87" w:rsidRDefault="004D48A2" w14:paraId="1566D226" w14:textId="77777777">
      <w:pPr>
        <w:rPr>
          <w:sz w:val="24"/>
        </w:rPr>
      </w:pPr>
      <w:r w:rsidRPr="004D48A2">
        <w:rPr>
          <w:sz w:val="24"/>
        </w:rPr>
        <w:t xml:space="preserve">implementatie van GTR-13 amendement 1 in </w:t>
      </w:r>
      <w:r>
        <w:rPr>
          <w:sz w:val="24"/>
        </w:rPr>
        <w:t>UN</w:t>
      </w:r>
      <w:r w:rsidRPr="004D48A2">
        <w:rPr>
          <w:sz w:val="24"/>
        </w:rPr>
        <w:t xml:space="preserve"> R</w:t>
      </w:r>
      <w:r>
        <w:rPr>
          <w:sz w:val="24"/>
        </w:rPr>
        <w:t xml:space="preserve">eglement </w:t>
      </w:r>
      <w:r w:rsidRPr="004D48A2">
        <w:rPr>
          <w:sz w:val="24"/>
        </w:rPr>
        <w:t xml:space="preserve">127, waarbij de eisen voor zgn. "remote </w:t>
      </w:r>
      <w:proofErr w:type="spellStart"/>
      <w:r w:rsidRPr="004D48A2">
        <w:rPr>
          <w:sz w:val="24"/>
        </w:rPr>
        <w:t>TPRDs</w:t>
      </w:r>
      <w:proofErr w:type="spellEnd"/>
      <w:r w:rsidRPr="004D48A2">
        <w:rPr>
          <w:sz w:val="24"/>
        </w:rPr>
        <w:t>" en hun toevoerleidingen wordt geregeld.</w:t>
      </w:r>
    </w:p>
    <w:p w:rsidR="008E1E87" w:rsidP="00901A2C" w:rsidRDefault="008E1E87" w14:paraId="2498C05E" w14:textId="77777777">
      <w:pPr>
        <w:rPr>
          <w:sz w:val="24"/>
        </w:rPr>
      </w:pPr>
    </w:p>
    <w:p w:rsidRPr="00D61752" w:rsidR="001D1DA0" w:rsidP="001D1DA0" w:rsidRDefault="001D1DA0" w14:paraId="13189158" w14:textId="77777777">
      <w:pPr>
        <w:rPr>
          <w:sz w:val="24"/>
        </w:rPr>
      </w:pPr>
      <w:r w:rsidRPr="00D61752">
        <w:rPr>
          <w:sz w:val="24"/>
          <w:u w:val="single"/>
        </w:rPr>
        <w:t xml:space="preserve">ECE-Reglement </w:t>
      </w:r>
      <w:r>
        <w:rPr>
          <w:sz w:val="24"/>
          <w:u w:val="single"/>
        </w:rPr>
        <w:t xml:space="preserve">134, </w:t>
      </w:r>
      <w:r w:rsidRPr="00D61752">
        <w:rPr>
          <w:sz w:val="24"/>
          <w:u w:val="single"/>
        </w:rPr>
        <w:t>Waterstof- en brandstofcelvoertuigen (HFCV)</w:t>
      </w:r>
      <w:r>
        <w:rPr>
          <w:sz w:val="24"/>
          <w:u w:val="single"/>
        </w:rPr>
        <w:t xml:space="preserve"> agendapunt: 2025/131</w:t>
      </w:r>
    </w:p>
    <w:p w:rsidR="001D1DA0" w:rsidP="001D1DA0" w:rsidRDefault="001D1DA0" w14:paraId="308CA37A" w14:textId="77777777">
      <w:pPr>
        <w:rPr>
          <w:sz w:val="24"/>
        </w:rPr>
      </w:pPr>
      <w:r>
        <w:rPr>
          <w:sz w:val="24"/>
        </w:rPr>
        <w:t>Betreft:</w:t>
      </w:r>
    </w:p>
    <w:p w:rsidR="001D1DA0" w:rsidP="00901A2C" w:rsidRDefault="001D1DA0" w14:paraId="1E68563D" w14:textId="77777777">
      <w:pPr>
        <w:rPr>
          <w:sz w:val="24"/>
        </w:rPr>
      </w:pPr>
      <w:r w:rsidRPr="001D1DA0">
        <w:rPr>
          <w:sz w:val="24"/>
        </w:rPr>
        <w:t>verwijzing naar de laatste versie van ISO 17268-1:2025</w:t>
      </w:r>
      <w:r>
        <w:rPr>
          <w:sz w:val="24"/>
        </w:rPr>
        <w:t>.</w:t>
      </w:r>
    </w:p>
    <w:p w:rsidR="00581120" w:rsidP="00901A2C" w:rsidRDefault="00581120" w14:paraId="23C1309D" w14:textId="77777777">
      <w:pPr>
        <w:rPr>
          <w:sz w:val="24"/>
        </w:rPr>
      </w:pPr>
    </w:p>
    <w:p w:rsidRPr="002A00EE" w:rsidR="002306B3" w:rsidP="002306B3" w:rsidRDefault="002306B3" w14:paraId="4572B154" w14:textId="77777777">
      <w:pPr>
        <w:rPr>
          <w:sz w:val="24"/>
          <w:u w:val="single"/>
        </w:rPr>
      </w:pPr>
      <w:r w:rsidRPr="00581120">
        <w:rPr>
          <w:sz w:val="24"/>
          <w:u w:val="single"/>
        </w:rPr>
        <w:t xml:space="preserve">ECE-Reglement </w:t>
      </w:r>
      <w:r w:rsidRPr="002A00EE" w:rsidR="00EA3C1A">
        <w:rPr>
          <w:sz w:val="24"/>
          <w:u w:val="single"/>
        </w:rPr>
        <w:t>145</w:t>
      </w:r>
      <w:r w:rsidR="002A00EE">
        <w:rPr>
          <w:sz w:val="24"/>
          <w:u w:val="single"/>
        </w:rPr>
        <w:t>,</w:t>
      </w:r>
      <w:r w:rsidRPr="002A00EE" w:rsidR="00EA3C1A">
        <w:rPr>
          <w:sz w:val="24"/>
          <w:u w:val="single"/>
        </w:rPr>
        <w:t xml:space="preserve"> ISOFIX verankeringssystemen, ISOFIX top </w:t>
      </w:r>
      <w:proofErr w:type="spellStart"/>
      <w:r w:rsidRPr="002A00EE" w:rsidR="00EA3C1A">
        <w:rPr>
          <w:sz w:val="24"/>
          <w:u w:val="single"/>
        </w:rPr>
        <w:t>tether</w:t>
      </w:r>
      <w:proofErr w:type="spellEnd"/>
      <w:r w:rsidRPr="002A00EE" w:rsidR="00EA3C1A">
        <w:rPr>
          <w:sz w:val="24"/>
          <w:u w:val="single"/>
        </w:rPr>
        <w:t xml:space="preserve"> verankeringen en i-</w:t>
      </w:r>
      <w:proofErr w:type="spellStart"/>
      <w:r w:rsidRPr="002A00EE" w:rsidR="00EA3C1A">
        <w:rPr>
          <w:sz w:val="24"/>
          <w:u w:val="single"/>
        </w:rPr>
        <w:t>Size</w:t>
      </w:r>
      <w:proofErr w:type="spellEnd"/>
      <w:r w:rsidRPr="002A00EE" w:rsidR="00EA3C1A">
        <w:rPr>
          <w:sz w:val="24"/>
          <w:u w:val="single"/>
        </w:rPr>
        <w:t xml:space="preserve"> zitposities</w:t>
      </w:r>
    </w:p>
    <w:p w:rsidR="001D1DA0" w:rsidP="002306B3" w:rsidRDefault="002306B3" w14:paraId="5C09C97E" w14:textId="77777777">
      <w:pPr>
        <w:rPr>
          <w:sz w:val="24"/>
        </w:rPr>
      </w:pPr>
      <w:r>
        <w:rPr>
          <w:sz w:val="24"/>
        </w:rPr>
        <w:t>Betreft</w:t>
      </w:r>
      <w:r w:rsidR="001D1DA0">
        <w:rPr>
          <w:sz w:val="24"/>
        </w:rPr>
        <w:t>:</w:t>
      </w:r>
    </w:p>
    <w:p w:rsidR="002306B3" w:rsidP="002306B3" w:rsidRDefault="001D1DA0" w14:paraId="7E83C8C7" w14:textId="77777777">
      <w:pPr>
        <w:rPr>
          <w:sz w:val="24"/>
        </w:rPr>
      </w:pPr>
      <w:r w:rsidRPr="001D1DA0">
        <w:rPr>
          <w:sz w:val="24"/>
        </w:rPr>
        <w:t xml:space="preserve">correctie van een verwijzing naar </w:t>
      </w:r>
      <w:r>
        <w:rPr>
          <w:sz w:val="24"/>
        </w:rPr>
        <w:t>U</w:t>
      </w:r>
      <w:r w:rsidRPr="001D1DA0">
        <w:rPr>
          <w:sz w:val="24"/>
        </w:rPr>
        <w:t>N R</w:t>
      </w:r>
      <w:r>
        <w:rPr>
          <w:sz w:val="24"/>
        </w:rPr>
        <w:t xml:space="preserve">eglement </w:t>
      </w:r>
      <w:r w:rsidRPr="001D1DA0">
        <w:rPr>
          <w:sz w:val="24"/>
        </w:rPr>
        <w:t>14</w:t>
      </w:r>
      <w:r>
        <w:rPr>
          <w:sz w:val="24"/>
        </w:rPr>
        <w:t>.</w:t>
      </w:r>
      <w:r w:rsidR="002306B3">
        <w:rPr>
          <w:sz w:val="24"/>
        </w:rPr>
        <w:t xml:space="preserve"> </w:t>
      </w:r>
    </w:p>
    <w:p w:rsidR="00581120" w:rsidP="00901A2C" w:rsidRDefault="00581120" w14:paraId="20BA6A9D" w14:textId="77777777">
      <w:pPr>
        <w:rPr>
          <w:sz w:val="24"/>
        </w:rPr>
      </w:pPr>
    </w:p>
    <w:p w:rsidR="002306B3" w:rsidP="002306B3" w:rsidRDefault="002306B3" w14:paraId="2A98C74D" w14:textId="77777777">
      <w:pPr>
        <w:rPr>
          <w:sz w:val="24"/>
        </w:rPr>
      </w:pPr>
      <w:r w:rsidRPr="00581120">
        <w:rPr>
          <w:sz w:val="24"/>
          <w:u w:val="single"/>
        </w:rPr>
        <w:t xml:space="preserve">ECE-Reglement </w:t>
      </w:r>
      <w:r w:rsidRPr="00656013" w:rsidR="00656013">
        <w:rPr>
          <w:sz w:val="24"/>
          <w:u w:val="single"/>
        </w:rPr>
        <w:t>148</w:t>
      </w:r>
      <w:r w:rsidR="002A00EE">
        <w:rPr>
          <w:sz w:val="24"/>
          <w:u w:val="single"/>
        </w:rPr>
        <w:t xml:space="preserve">, </w:t>
      </w:r>
      <w:r w:rsidRPr="00656013" w:rsidR="00656013">
        <w:rPr>
          <w:sz w:val="24"/>
          <w:u w:val="single"/>
        </w:rPr>
        <w:t>Lichtsignaalinrichtingen (LSD)</w:t>
      </w:r>
    </w:p>
    <w:p w:rsidR="00B31080" w:rsidP="002306B3" w:rsidRDefault="002306B3" w14:paraId="4222ACA4" w14:textId="77777777">
      <w:pPr>
        <w:rPr>
          <w:sz w:val="24"/>
        </w:rPr>
      </w:pPr>
      <w:r>
        <w:rPr>
          <w:sz w:val="24"/>
        </w:rPr>
        <w:t>Betreft</w:t>
      </w:r>
      <w:r w:rsidR="00B31080">
        <w:rPr>
          <w:sz w:val="24"/>
        </w:rPr>
        <w:t>:</w:t>
      </w:r>
    </w:p>
    <w:p w:rsidR="002306B3" w:rsidP="00B31080" w:rsidRDefault="00B31080" w14:paraId="4745D6FC" w14:textId="77777777">
      <w:pPr>
        <w:rPr>
          <w:sz w:val="24"/>
        </w:rPr>
      </w:pPr>
      <w:r w:rsidRPr="00B31080">
        <w:rPr>
          <w:sz w:val="24"/>
        </w:rPr>
        <w:t xml:space="preserve">voorstellen voor </w:t>
      </w:r>
      <w:r>
        <w:rPr>
          <w:sz w:val="24"/>
        </w:rPr>
        <w:t xml:space="preserve">UN </w:t>
      </w:r>
      <w:r w:rsidRPr="00B31080">
        <w:rPr>
          <w:sz w:val="24"/>
        </w:rPr>
        <w:t>R</w:t>
      </w:r>
      <w:r>
        <w:rPr>
          <w:sz w:val="24"/>
        </w:rPr>
        <w:t>eglement</w:t>
      </w:r>
      <w:r w:rsidRPr="00B31080">
        <w:rPr>
          <w:sz w:val="24"/>
        </w:rPr>
        <w:t>148-01, het introduceren van ‘</w:t>
      </w:r>
      <w:proofErr w:type="spellStart"/>
      <w:r w:rsidRPr="00B31080">
        <w:rPr>
          <w:sz w:val="24"/>
        </w:rPr>
        <w:t>Reversing</w:t>
      </w:r>
      <w:proofErr w:type="spellEnd"/>
      <w:r w:rsidRPr="00B31080">
        <w:rPr>
          <w:sz w:val="24"/>
        </w:rPr>
        <w:t xml:space="preserve"> </w:t>
      </w:r>
      <w:proofErr w:type="spellStart"/>
      <w:r w:rsidRPr="00B31080">
        <w:rPr>
          <w:sz w:val="24"/>
        </w:rPr>
        <w:t>projections</w:t>
      </w:r>
      <w:proofErr w:type="spellEnd"/>
      <w:r w:rsidRPr="00B31080">
        <w:rPr>
          <w:sz w:val="24"/>
        </w:rPr>
        <w:t>’ (‘achteruitrijprojecties’), als een optionele functionaliteit. Het betreft een projectie op het wegdek, van het licht dat door de achteruitrijlichten wordt uitgestraald of door een extra projector.</w:t>
      </w:r>
      <w:r w:rsidR="002306B3">
        <w:rPr>
          <w:sz w:val="24"/>
        </w:rPr>
        <w:t xml:space="preserve"> </w:t>
      </w:r>
    </w:p>
    <w:p w:rsidRPr="002A00EE" w:rsidR="002306B3" w:rsidP="00901A2C" w:rsidRDefault="002306B3" w14:paraId="5D555F5B" w14:textId="77777777">
      <w:pPr>
        <w:rPr>
          <w:sz w:val="24"/>
          <w:u w:val="single"/>
        </w:rPr>
      </w:pPr>
    </w:p>
    <w:p w:rsidR="009C26E2" w:rsidP="002306B3" w:rsidRDefault="009C26E2" w14:paraId="2F380FC9" w14:textId="77777777">
      <w:pPr>
        <w:rPr>
          <w:sz w:val="24"/>
          <w:u w:val="single"/>
        </w:rPr>
      </w:pPr>
    </w:p>
    <w:p w:rsidR="009C26E2" w:rsidP="002306B3" w:rsidRDefault="009C26E2" w14:paraId="14C250D0" w14:textId="77777777">
      <w:pPr>
        <w:rPr>
          <w:sz w:val="24"/>
          <w:u w:val="single"/>
        </w:rPr>
      </w:pPr>
    </w:p>
    <w:p w:rsidR="009C26E2" w:rsidP="002306B3" w:rsidRDefault="009C26E2" w14:paraId="7DA2F747" w14:textId="77777777">
      <w:pPr>
        <w:rPr>
          <w:sz w:val="24"/>
          <w:u w:val="single"/>
        </w:rPr>
      </w:pPr>
    </w:p>
    <w:p w:rsidRPr="002A00EE" w:rsidR="002306B3" w:rsidP="002306B3" w:rsidRDefault="002306B3" w14:paraId="6FF55614" w14:textId="77777777">
      <w:pPr>
        <w:rPr>
          <w:sz w:val="24"/>
          <w:u w:val="single"/>
        </w:rPr>
      </w:pPr>
      <w:r w:rsidRPr="002A00EE">
        <w:rPr>
          <w:sz w:val="24"/>
          <w:u w:val="single"/>
        </w:rPr>
        <w:lastRenderedPageBreak/>
        <w:t xml:space="preserve">ECE-Reglement </w:t>
      </w:r>
      <w:hyperlink w:history="1" r:id="rId7">
        <w:r w:rsidRPr="002A00EE" w:rsidR="00336E90">
          <w:rPr>
            <w:sz w:val="24"/>
            <w:u w:val="single"/>
          </w:rPr>
          <w:t>149</w:t>
        </w:r>
        <w:r w:rsidRPr="002A00EE" w:rsidR="002A00EE">
          <w:rPr>
            <w:sz w:val="24"/>
            <w:u w:val="single"/>
          </w:rPr>
          <w:t>,</w:t>
        </w:r>
        <w:r w:rsidRPr="002A00EE" w:rsidR="00336E90">
          <w:rPr>
            <w:sz w:val="24"/>
            <w:u w:val="single"/>
          </w:rPr>
          <w:t xml:space="preserve"> Wegverlichtingsinrichtingen (RID)</w:t>
        </w:r>
      </w:hyperlink>
      <w:r w:rsidRPr="002A00EE" w:rsidR="00336E90">
        <w:rPr>
          <w:rFonts w:ascii="Arial" w:hAnsi="Arial" w:cs="Arial"/>
          <w:color w:val="333333"/>
          <w:u w:val="single"/>
          <w:shd w:val="clear" w:color="auto" w:fill="FFFFFF"/>
        </w:rPr>
        <w:t> </w:t>
      </w:r>
    </w:p>
    <w:p w:rsidR="002306B3" w:rsidP="002306B3" w:rsidRDefault="002306B3" w14:paraId="31F41DB3" w14:textId="77777777">
      <w:pPr>
        <w:rPr>
          <w:sz w:val="24"/>
        </w:rPr>
      </w:pPr>
      <w:r>
        <w:rPr>
          <w:sz w:val="24"/>
        </w:rPr>
        <w:t>Betreft</w:t>
      </w:r>
      <w:r w:rsidR="00CF3163">
        <w:rPr>
          <w:sz w:val="24"/>
        </w:rPr>
        <w:t>:</w:t>
      </w:r>
    </w:p>
    <w:p w:rsidR="00CF3163" w:rsidP="002306B3" w:rsidRDefault="00CF3163" w14:paraId="7D242D2C" w14:textId="77777777">
      <w:pPr>
        <w:rPr>
          <w:sz w:val="24"/>
        </w:rPr>
      </w:pPr>
      <w:r w:rsidRPr="00CF3163">
        <w:rPr>
          <w:sz w:val="24"/>
        </w:rPr>
        <w:t xml:space="preserve">voorstellen voor </w:t>
      </w:r>
      <w:r>
        <w:rPr>
          <w:sz w:val="24"/>
        </w:rPr>
        <w:t xml:space="preserve">UN </w:t>
      </w:r>
      <w:r w:rsidRPr="00CF3163">
        <w:rPr>
          <w:sz w:val="24"/>
        </w:rPr>
        <w:t>R</w:t>
      </w:r>
      <w:r>
        <w:rPr>
          <w:sz w:val="24"/>
        </w:rPr>
        <w:t xml:space="preserve">eglement </w:t>
      </w:r>
      <w:r w:rsidRPr="00CF3163">
        <w:rPr>
          <w:sz w:val="24"/>
        </w:rPr>
        <w:t xml:space="preserve">149-01, met correcties (nummering in par. 4.11 te corrigeren) en verduidelijkingen (par. 6.1.1 voor </w:t>
      </w:r>
      <w:proofErr w:type="spellStart"/>
      <w:r w:rsidRPr="00CF3163">
        <w:rPr>
          <w:sz w:val="24"/>
        </w:rPr>
        <w:t>C.o.P</w:t>
      </w:r>
      <w:proofErr w:type="spellEnd"/>
      <w:r w:rsidRPr="00CF3163">
        <w:rPr>
          <w:sz w:val="24"/>
        </w:rPr>
        <w:t>. te verduidelijken door verwijzing naar Annex 8, par. 4, toe te voegen).</w:t>
      </w:r>
    </w:p>
    <w:p w:rsidR="002306B3" w:rsidP="00901A2C" w:rsidRDefault="002306B3" w14:paraId="6FE5E652" w14:textId="77777777">
      <w:pPr>
        <w:rPr>
          <w:sz w:val="24"/>
        </w:rPr>
      </w:pPr>
    </w:p>
    <w:p w:rsidR="002306B3" w:rsidP="002306B3" w:rsidRDefault="002306B3" w14:paraId="61C1C302" w14:textId="77777777">
      <w:pPr>
        <w:rPr>
          <w:sz w:val="24"/>
        </w:rPr>
      </w:pPr>
      <w:r w:rsidRPr="00581120">
        <w:rPr>
          <w:sz w:val="24"/>
          <w:u w:val="single"/>
        </w:rPr>
        <w:t>ECE-Reglement</w:t>
      </w:r>
      <w:r w:rsidR="002F6675">
        <w:rPr>
          <w:sz w:val="24"/>
          <w:u w:val="single"/>
        </w:rPr>
        <w:t xml:space="preserve"> </w:t>
      </w:r>
      <w:r w:rsidRPr="002F6675" w:rsidR="002F6675">
        <w:rPr>
          <w:sz w:val="24"/>
          <w:u w:val="single"/>
        </w:rPr>
        <w:t>154 - Wereldwijd geharmoniseerde testprocedure voor lichte voertuigen (WLTP)</w:t>
      </w:r>
    </w:p>
    <w:p w:rsidR="007C3E7D" w:rsidP="002306B3" w:rsidRDefault="007C3E7D" w14:paraId="6163213B" w14:textId="77777777">
      <w:pPr>
        <w:rPr>
          <w:sz w:val="24"/>
        </w:rPr>
      </w:pPr>
      <w:r>
        <w:rPr>
          <w:sz w:val="24"/>
        </w:rPr>
        <w:t>Betreft:</w:t>
      </w:r>
    </w:p>
    <w:p w:rsidR="002306B3" w:rsidP="002306B3" w:rsidRDefault="009708D6" w14:paraId="32FEB7CA" w14:textId="77777777">
      <w:pPr>
        <w:rPr>
          <w:sz w:val="24"/>
        </w:rPr>
      </w:pPr>
      <w:r>
        <w:rPr>
          <w:sz w:val="24"/>
        </w:rPr>
        <w:t>v</w:t>
      </w:r>
      <w:r w:rsidRPr="009708D6">
        <w:rPr>
          <w:sz w:val="24"/>
        </w:rPr>
        <w:t>erbeteringen ingevoerd die ook al in de 02 en 03 series zijn geïmplementeerd. Extra overgangsbepalingen en PEV run-in. Aanpassing van het informatiedocument zodat het beter overeenkomt met het typegoedkeuringscertificaat.</w:t>
      </w:r>
      <w:r w:rsidR="002306B3">
        <w:rPr>
          <w:sz w:val="24"/>
        </w:rPr>
        <w:t xml:space="preserve"> </w:t>
      </w:r>
    </w:p>
    <w:p w:rsidR="002306B3" w:rsidP="00901A2C" w:rsidRDefault="002306B3" w14:paraId="70DD94AD" w14:textId="77777777">
      <w:pPr>
        <w:rPr>
          <w:sz w:val="24"/>
        </w:rPr>
      </w:pPr>
    </w:p>
    <w:p w:rsidR="002306B3" w:rsidP="002306B3" w:rsidRDefault="002306B3" w14:paraId="7F9D97F2" w14:textId="77777777">
      <w:pPr>
        <w:rPr>
          <w:sz w:val="24"/>
        </w:rPr>
      </w:pPr>
      <w:r w:rsidRPr="00581120">
        <w:rPr>
          <w:sz w:val="24"/>
          <w:u w:val="single"/>
        </w:rPr>
        <w:t xml:space="preserve">ECE-Reglement </w:t>
      </w:r>
      <w:r w:rsidRPr="002F6675" w:rsidR="002F6675">
        <w:rPr>
          <w:sz w:val="24"/>
          <w:u w:val="single"/>
        </w:rPr>
        <w:t>156 - Software-update en software-update managementsysteem</w:t>
      </w:r>
    </w:p>
    <w:p w:rsidR="000C0C8A" w:rsidP="002306B3" w:rsidRDefault="002306B3" w14:paraId="5BDB1CB8" w14:textId="77777777">
      <w:pPr>
        <w:rPr>
          <w:sz w:val="24"/>
        </w:rPr>
      </w:pPr>
      <w:r>
        <w:rPr>
          <w:sz w:val="24"/>
        </w:rPr>
        <w:t>Betreft</w:t>
      </w:r>
      <w:r w:rsidR="000C0C8A">
        <w:rPr>
          <w:sz w:val="24"/>
        </w:rPr>
        <w:t>:</w:t>
      </w:r>
    </w:p>
    <w:p w:rsidR="002306B3" w:rsidP="002306B3" w:rsidRDefault="00CB1220" w14:paraId="7FE997C8" w14:textId="77777777">
      <w:pPr>
        <w:rPr>
          <w:sz w:val="24"/>
        </w:rPr>
      </w:pPr>
      <w:r>
        <w:rPr>
          <w:sz w:val="24"/>
        </w:rPr>
        <w:t>v</w:t>
      </w:r>
      <w:r w:rsidRPr="00CB1220">
        <w:rPr>
          <w:sz w:val="24"/>
        </w:rPr>
        <w:t>erduidelijkingen m.b.t. de herleidbaarheid van soft- en hardware versies</w:t>
      </w:r>
      <w:r>
        <w:rPr>
          <w:sz w:val="24"/>
        </w:rPr>
        <w:t>.</w:t>
      </w:r>
    </w:p>
    <w:p w:rsidR="002306B3" w:rsidP="00901A2C" w:rsidRDefault="002306B3" w14:paraId="3F70C4CC" w14:textId="77777777">
      <w:pPr>
        <w:rPr>
          <w:sz w:val="24"/>
        </w:rPr>
      </w:pPr>
    </w:p>
    <w:p w:rsidR="002306B3" w:rsidP="002306B3" w:rsidRDefault="002306B3" w14:paraId="643AAABC" w14:textId="77777777">
      <w:pPr>
        <w:rPr>
          <w:sz w:val="24"/>
        </w:rPr>
      </w:pPr>
      <w:r w:rsidRPr="00581120">
        <w:rPr>
          <w:sz w:val="24"/>
          <w:u w:val="single"/>
        </w:rPr>
        <w:t xml:space="preserve">ECE-Reglement </w:t>
      </w:r>
      <w:r w:rsidR="00C27992">
        <w:rPr>
          <w:sz w:val="24"/>
          <w:u w:val="single"/>
        </w:rPr>
        <w:t>171, DCAS</w:t>
      </w:r>
    </w:p>
    <w:p w:rsidR="002306B3" w:rsidP="002306B3" w:rsidRDefault="002306B3" w14:paraId="39B4EC54" w14:textId="77777777">
      <w:pPr>
        <w:rPr>
          <w:sz w:val="24"/>
        </w:rPr>
      </w:pPr>
      <w:r>
        <w:rPr>
          <w:sz w:val="24"/>
        </w:rPr>
        <w:t xml:space="preserve">Betreft </w:t>
      </w:r>
      <w:r w:rsidR="00D822B5">
        <w:rPr>
          <w:sz w:val="24"/>
        </w:rPr>
        <w:t>:</w:t>
      </w:r>
    </w:p>
    <w:p w:rsidRPr="00D822B5" w:rsidR="00D822B5" w:rsidP="00D822B5" w:rsidRDefault="00D822B5" w14:paraId="6CDB19EB" w14:textId="77777777">
      <w:pPr>
        <w:rPr>
          <w:sz w:val="24"/>
        </w:rPr>
      </w:pPr>
      <w:r w:rsidRPr="00D822B5">
        <w:rPr>
          <w:sz w:val="24"/>
        </w:rPr>
        <w:t xml:space="preserve">1. Verwijderen van nog ten onrechte aanwezige referentie naar 'System </w:t>
      </w:r>
      <w:proofErr w:type="spellStart"/>
      <w:r w:rsidRPr="00D822B5">
        <w:rPr>
          <w:sz w:val="24"/>
        </w:rPr>
        <w:t>Initiated</w:t>
      </w:r>
      <w:proofErr w:type="spellEnd"/>
      <w:r w:rsidRPr="00D822B5">
        <w:rPr>
          <w:sz w:val="24"/>
        </w:rPr>
        <w:t xml:space="preserve"> Manoeuvre' in </w:t>
      </w:r>
      <w:r>
        <w:rPr>
          <w:sz w:val="24"/>
        </w:rPr>
        <w:t xml:space="preserve">UN </w:t>
      </w:r>
      <w:r w:rsidRPr="00D822B5">
        <w:rPr>
          <w:sz w:val="24"/>
        </w:rPr>
        <w:t>R</w:t>
      </w:r>
      <w:r>
        <w:rPr>
          <w:sz w:val="24"/>
        </w:rPr>
        <w:t xml:space="preserve">eglement </w:t>
      </w:r>
      <w:r w:rsidRPr="00D822B5">
        <w:rPr>
          <w:sz w:val="24"/>
        </w:rPr>
        <w:t>171_00</w:t>
      </w:r>
      <w:r>
        <w:rPr>
          <w:sz w:val="24"/>
        </w:rPr>
        <w:t>.</w:t>
      </w:r>
    </w:p>
    <w:p w:rsidR="00D822B5" w:rsidP="00D822B5" w:rsidRDefault="00D822B5" w14:paraId="2C7E508C" w14:textId="77777777">
      <w:pPr>
        <w:rPr>
          <w:sz w:val="24"/>
        </w:rPr>
      </w:pPr>
      <w:r w:rsidRPr="00D822B5">
        <w:rPr>
          <w:sz w:val="24"/>
        </w:rPr>
        <w:t>2. Richtlijnen voor het gebruik van de DETA-database</w:t>
      </w:r>
      <w:r>
        <w:rPr>
          <w:sz w:val="24"/>
        </w:rPr>
        <w:t>.</w:t>
      </w:r>
    </w:p>
    <w:p w:rsidR="002306B3" w:rsidP="00901A2C" w:rsidRDefault="002306B3" w14:paraId="04E4CE39" w14:textId="77777777">
      <w:pPr>
        <w:rPr>
          <w:sz w:val="24"/>
        </w:rPr>
      </w:pPr>
    </w:p>
    <w:p w:rsidR="002306B3" w:rsidP="002306B3" w:rsidRDefault="002306B3" w14:paraId="58C81F7F" w14:textId="77777777">
      <w:pPr>
        <w:rPr>
          <w:sz w:val="24"/>
        </w:rPr>
      </w:pPr>
      <w:r w:rsidRPr="00581120">
        <w:rPr>
          <w:sz w:val="24"/>
          <w:u w:val="single"/>
        </w:rPr>
        <w:t>ECE-</w:t>
      </w:r>
      <w:r w:rsidRPr="00581120" w:rsidR="00DE5539">
        <w:rPr>
          <w:sz w:val="24"/>
          <w:u w:val="single"/>
        </w:rPr>
        <w:t>Reglement 173</w:t>
      </w:r>
      <w:r w:rsidR="006C5B7F">
        <w:rPr>
          <w:sz w:val="24"/>
          <w:u w:val="single"/>
        </w:rPr>
        <w:t>,</w:t>
      </w:r>
      <w:r w:rsidRPr="006C5B7F" w:rsidR="006C5B7F">
        <w:rPr>
          <w:sz w:val="24"/>
          <w:u w:val="single"/>
        </w:rPr>
        <w:t xml:space="preserve"> Installatie van veiligheidssystemen voor inzittenden</w:t>
      </w:r>
    </w:p>
    <w:p w:rsidR="00DE5539" w:rsidP="002306B3" w:rsidRDefault="002306B3" w14:paraId="106D2D39" w14:textId="77777777">
      <w:pPr>
        <w:rPr>
          <w:sz w:val="24"/>
        </w:rPr>
      </w:pPr>
      <w:r>
        <w:rPr>
          <w:sz w:val="24"/>
        </w:rPr>
        <w:t>Betreft</w:t>
      </w:r>
      <w:r w:rsidR="00DE5539">
        <w:rPr>
          <w:sz w:val="24"/>
        </w:rPr>
        <w:t>:</w:t>
      </w:r>
    </w:p>
    <w:p w:rsidR="002306B3" w:rsidP="002306B3" w:rsidRDefault="003875E5" w14:paraId="476C8E44" w14:textId="77777777">
      <w:pPr>
        <w:rPr>
          <w:sz w:val="24"/>
        </w:rPr>
      </w:pPr>
      <w:r w:rsidRPr="003875E5">
        <w:rPr>
          <w:sz w:val="24"/>
        </w:rPr>
        <w:t>kleine correctieve aanpassingen van de ISOFIX blokken en hun weergaven en bijgaande tekst.</w:t>
      </w:r>
    </w:p>
    <w:p w:rsidR="002306B3" w:rsidP="00901A2C" w:rsidRDefault="002306B3" w14:paraId="2A9AA723" w14:textId="77777777">
      <w:pPr>
        <w:rPr>
          <w:sz w:val="24"/>
        </w:rPr>
      </w:pPr>
    </w:p>
    <w:p w:rsidR="002306B3" w:rsidP="002306B3" w:rsidRDefault="002306B3" w14:paraId="58AC9F63" w14:textId="77777777">
      <w:pPr>
        <w:rPr>
          <w:sz w:val="24"/>
        </w:rPr>
      </w:pPr>
      <w:r w:rsidRPr="00581120">
        <w:rPr>
          <w:sz w:val="24"/>
          <w:u w:val="single"/>
        </w:rPr>
        <w:t>ECE-</w:t>
      </w:r>
      <w:r w:rsidRPr="00581120" w:rsidR="006F1819">
        <w:rPr>
          <w:sz w:val="24"/>
          <w:u w:val="single"/>
        </w:rPr>
        <w:t>Reglement 174</w:t>
      </w:r>
      <w:r w:rsidRPr="006C5B7F" w:rsidR="006C5B7F">
        <w:t xml:space="preserve"> </w:t>
      </w:r>
      <w:proofErr w:type="spellStart"/>
      <w:r w:rsidRPr="006C5B7F" w:rsidR="006C5B7F">
        <w:rPr>
          <w:sz w:val="24"/>
          <w:u w:val="single"/>
        </w:rPr>
        <w:t>Veiligheidsgordelwaarschuwers</w:t>
      </w:r>
      <w:proofErr w:type="spellEnd"/>
    </w:p>
    <w:p w:rsidR="006F1819" w:rsidP="002306B3" w:rsidRDefault="002306B3" w14:paraId="716B8828" w14:textId="77777777">
      <w:pPr>
        <w:rPr>
          <w:sz w:val="24"/>
        </w:rPr>
      </w:pPr>
      <w:r>
        <w:rPr>
          <w:sz w:val="24"/>
        </w:rPr>
        <w:t>Betreft</w:t>
      </w:r>
      <w:r w:rsidR="006F1819">
        <w:rPr>
          <w:sz w:val="24"/>
        </w:rPr>
        <w:t>:</w:t>
      </w:r>
    </w:p>
    <w:p w:rsidR="002306B3" w:rsidP="002306B3" w:rsidRDefault="006F1819" w14:paraId="455355A6" w14:textId="77777777">
      <w:pPr>
        <w:rPr>
          <w:sz w:val="24"/>
        </w:rPr>
      </w:pPr>
      <w:r w:rsidRPr="006F1819">
        <w:rPr>
          <w:sz w:val="24"/>
        </w:rPr>
        <w:t>correctie van de verwijzing naar bepaalde paragrafen</w:t>
      </w:r>
      <w:r>
        <w:rPr>
          <w:sz w:val="24"/>
        </w:rPr>
        <w:t>.</w:t>
      </w:r>
    </w:p>
    <w:p w:rsidR="002306B3" w:rsidP="00901A2C" w:rsidRDefault="002306B3" w14:paraId="2909A988" w14:textId="77777777">
      <w:pPr>
        <w:rPr>
          <w:sz w:val="24"/>
        </w:rPr>
      </w:pPr>
    </w:p>
    <w:p w:rsidR="002306B3" w:rsidP="002306B3" w:rsidRDefault="006F1819" w14:paraId="72B99348" w14:textId="77777777">
      <w:pPr>
        <w:rPr>
          <w:sz w:val="24"/>
        </w:rPr>
      </w:pPr>
      <w:r w:rsidRPr="006F1819">
        <w:rPr>
          <w:sz w:val="24"/>
          <w:u w:val="single"/>
        </w:rPr>
        <w:t>ECE-Reglement 175, (ACPE) acceleratiecontrole voor pedaalfout</w:t>
      </w:r>
      <w:r w:rsidRPr="00581120" w:rsidR="002306B3">
        <w:rPr>
          <w:sz w:val="24"/>
          <w:u w:val="single"/>
        </w:rPr>
        <w:t xml:space="preserve"> </w:t>
      </w:r>
    </w:p>
    <w:p w:rsidR="006F1819" w:rsidP="002306B3" w:rsidRDefault="002306B3" w14:paraId="545418EE" w14:textId="77777777">
      <w:pPr>
        <w:rPr>
          <w:sz w:val="24"/>
        </w:rPr>
      </w:pPr>
      <w:r>
        <w:rPr>
          <w:sz w:val="24"/>
        </w:rPr>
        <w:t>Betreft</w:t>
      </w:r>
      <w:r w:rsidR="006F1819">
        <w:rPr>
          <w:sz w:val="24"/>
        </w:rPr>
        <w:t>:</w:t>
      </w:r>
    </w:p>
    <w:p w:rsidR="002306B3" w:rsidP="002306B3" w:rsidRDefault="006F1819" w14:paraId="394D5254" w14:textId="77777777">
      <w:pPr>
        <w:rPr>
          <w:sz w:val="24"/>
        </w:rPr>
      </w:pPr>
      <w:r>
        <w:rPr>
          <w:sz w:val="24"/>
        </w:rPr>
        <w:t>t</w:t>
      </w:r>
      <w:r w:rsidRPr="006F1819">
        <w:rPr>
          <w:sz w:val="24"/>
        </w:rPr>
        <w:t>oevoeging dat als het systeem niet binnen zes seconden na inschakelen van de aandrijflijn gereed is, dit duidelijk aan de bestuurder kenbaar moet worden gemaakt</w:t>
      </w:r>
      <w:r>
        <w:rPr>
          <w:sz w:val="24"/>
        </w:rPr>
        <w:t>.</w:t>
      </w:r>
    </w:p>
    <w:p w:rsidR="002306B3" w:rsidP="00901A2C" w:rsidRDefault="002306B3" w14:paraId="665C419F" w14:textId="77777777">
      <w:pPr>
        <w:rPr>
          <w:sz w:val="24"/>
        </w:rPr>
      </w:pPr>
    </w:p>
    <w:p w:rsidR="002306B3" w:rsidP="002306B3" w:rsidRDefault="002306B3" w14:paraId="7C4E5A2F" w14:textId="77777777">
      <w:pPr>
        <w:rPr>
          <w:sz w:val="24"/>
        </w:rPr>
      </w:pPr>
      <w:r w:rsidRPr="00581120">
        <w:rPr>
          <w:sz w:val="24"/>
          <w:u w:val="single"/>
        </w:rPr>
        <w:t xml:space="preserve">ECE-Reglement </w:t>
      </w:r>
      <w:r w:rsidR="00AD1656">
        <w:rPr>
          <w:sz w:val="24"/>
          <w:u w:val="single"/>
        </w:rPr>
        <w:t xml:space="preserve">176, </w:t>
      </w:r>
      <w:r w:rsidRPr="00AD1656" w:rsidR="00AD1656">
        <w:rPr>
          <w:sz w:val="24"/>
          <w:u w:val="single"/>
        </w:rPr>
        <w:t>Assistentiesystemen voor het gezichtsveld</w:t>
      </w:r>
    </w:p>
    <w:p w:rsidR="003B63E8" w:rsidP="002306B3" w:rsidRDefault="002306B3" w14:paraId="64E6ACB7" w14:textId="77777777">
      <w:pPr>
        <w:rPr>
          <w:sz w:val="24"/>
        </w:rPr>
      </w:pPr>
      <w:r>
        <w:rPr>
          <w:sz w:val="24"/>
        </w:rPr>
        <w:t>Betreft</w:t>
      </w:r>
      <w:r w:rsidR="003B63E8">
        <w:rPr>
          <w:sz w:val="24"/>
        </w:rPr>
        <w:t>:</w:t>
      </w:r>
    </w:p>
    <w:p w:rsidR="002306B3" w:rsidP="002306B3" w:rsidRDefault="003B63E8" w14:paraId="007CDB33" w14:textId="77777777">
      <w:pPr>
        <w:rPr>
          <w:sz w:val="24"/>
        </w:rPr>
      </w:pPr>
      <w:r w:rsidRPr="003B63E8">
        <w:rPr>
          <w:sz w:val="24"/>
        </w:rPr>
        <w:t>kleine aanpassing die een reset van de FVA instellingen toestaat nadat de accu losgekoppeld is geweest</w:t>
      </w:r>
      <w:r>
        <w:rPr>
          <w:sz w:val="24"/>
        </w:rPr>
        <w:t>.</w:t>
      </w:r>
    </w:p>
    <w:p w:rsidR="002306B3" w:rsidP="00901A2C" w:rsidRDefault="002306B3" w14:paraId="50F1EA86" w14:textId="77777777">
      <w:pPr>
        <w:rPr>
          <w:sz w:val="24"/>
        </w:rPr>
      </w:pPr>
    </w:p>
    <w:p w:rsidR="002306B3" w:rsidP="00901A2C" w:rsidRDefault="002306B3" w14:paraId="6BBEFCF5" w14:textId="77777777">
      <w:pPr>
        <w:rPr>
          <w:sz w:val="24"/>
        </w:rPr>
      </w:pPr>
    </w:p>
    <w:p w:rsidRPr="00744FDA" w:rsidR="00744FDA" w:rsidP="00744FDA" w:rsidRDefault="00744FDA" w14:paraId="1D23499E" w14:textId="77777777">
      <w:pPr>
        <w:rPr>
          <w:sz w:val="24"/>
          <w:u w:val="single"/>
        </w:rPr>
      </w:pPr>
      <w:r w:rsidRPr="00744FDA">
        <w:rPr>
          <w:sz w:val="24"/>
        </w:rPr>
        <w:t>*</w:t>
      </w:r>
      <w:r w:rsidRPr="00744FDA">
        <w:rPr>
          <w:sz w:val="24"/>
          <w:u w:val="single"/>
        </w:rPr>
        <w:t>Uitleg bij ECE-Reglement: 35, Voetpedalen</w:t>
      </w:r>
    </w:p>
    <w:p w:rsidRPr="00744FDA" w:rsidR="00744FDA" w:rsidP="00744FDA" w:rsidRDefault="00744FDA" w14:paraId="6DCC015F" w14:textId="77777777">
      <w:pPr>
        <w:rPr>
          <w:sz w:val="24"/>
        </w:rPr>
      </w:pPr>
      <w:r w:rsidRPr="00744FDA">
        <w:rPr>
          <w:sz w:val="24"/>
          <w:u w:val="single"/>
        </w:rPr>
        <w:t>De H-</w:t>
      </w:r>
      <w:proofErr w:type="spellStart"/>
      <w:r w:rsidRPr="00744FDA">
        <w:rPr>
          <w:sz w:val="24"/>
          <w:u w:val="single"/>
        </w:rPr>
        <w:t>punts</w:t>
      </w:r>
      <w:proofErr w:type="spellEnd"/>
      <w:r w:rsidRPr="00744FDA">
        <w:rPr>
          <w:sz w:val="24"/>
          <w:u w:val="single"/>
        </w:rPr>
        <w:t xml:space="preserve"> machine</w:t>
      </w:r>
      <w:r w:rsidRPr="00744FDA">
        <w:rPr>
          <w:sz w:val="24"/>
        </w:rPr>
        <w:t>,</w:t>
      </w:r>
    </w:p>
    <w:p w:rsidRPr="00744FDA" w:rsidR="00744FDA" w:rsidP="00744FDA" w:rsidRDefault="00744FDA" w14:paraId="465D8496" w14:textId="77777777">
      <w:pPr>
        <w:rPr>
          <w:sz w:val="24"/>
        </w:rPr>
      </w:pPr>
      <w:r w:rsidRPr="00744FDA">
        <w:rPr>
          <w:sz w:val="24"/>
        </w:rPr>
        <w:t>is het apparaat waarmee het heuppunt (punt waaromheen de heup draait) van een stoel wordt bepaald. Deze wordt vergeleken met het referentiepunt (R-punt, SRP) van de stoel en het H-punt moet binnen bepaalde toleranties van het R-punt vallen. Het R-punt wordt gebruikt om allerlei zichtvelden, hoofdsteunhoogtes, dummy instellingen en dergelijke aan te relateren.</w:t>
      </w:r>
    </w:p>
    <w:p w:rsidRPr="00744FDA" w:rsidR="00744FDA" w:rsidP="00744FDA" w:rsidRDefault="00744FDA" w14:paraId="0CB437B3" w14:textId="77777777">
      <w:pPr>
        <w:rPr>
          <w:sz w:val="24"/>
        </w:rPr>
      </w:pPr>
      <w:r w:rsidRPr="00744FDA">
        <w:rPr>
          <w:sz w:val="24"/>
        </w:rPr>
        <w:lastRenderedPageBreak/>
        <w:t>De H-</w:t>
      </w:r>
      <w:proofErr w:type="spellStart"/>
      <w:r w:rsidRPr="00744FDA">
        <w:rPr>
          <w:sz w:val="24"/>
        </w:rPr>
        <w:t>punts</w:t>
      </w:r>
      <w:proofErr w:type="spellEnd"/>
      <w:r w:rsidRPr="00744FDA">
        <w:rPr>
          <w:sz w:val="24"/>
        </w:rPr>
        <w:t xml:space="preserve"> meting wordt in de wetgeving beschreven in R.E.3. (voor alle UN Reglementen onder de 1958 Agreement) en er wordt rechtstreeks verwezen naar ISO 6549 (zowel de 1980 als de 1999 versie) voor alle Global Technical </w:t>
      </w:r>
      <w:proofErr w:type="spellStart"/>
      <w:r w:rsidRPr="00744FDA">
        <w:rPr>
          <w:sz w:val="24"/>
        </w:rPr>
        <w:t>Regulations</w:t>
      </w:r>
      <w:proofErr w:type="spellEnd"/>
      <w:r w:rsidRPr="00744FDA">
        <w:rPr>
          <w:sz w:val="24"/>
        </w:rPr>
        <w:t xml:space="preserve"> (</w:t>
      </w:r>
      <w:proofErr w:type="spellStart"/>
      <w:r w:rsidRPr="00744FDA">
        <w:rPr>
          <w:sz w:val="24"/>
        </w:rPr>
        <w:t>GTRs</w:t>
      </w:r>
      <w:proofErr w:type="spellEnd"/>
      <w:r w:rsidRPr="00744FDA">
        <w:rPr>
          <w:sz w:val="24"/>
        </w:rPr>
        <w:t>) onder de 1998 Agreement.</w:t>
      </w:r>
    </w:p>
    <w:p w:rsidR="002306B3" w:rsidP="00744FDA" w:rsidRDefault="00744FDA" w14:paraId="18FB25FD" w14:textId="78C99342">
      <w:pPr>
        <w:rPr>
          <w:sz w:val="24"/>
        </w:rPr>
      </w:pPr>
      <w:r w:rsidRPr="00744FDA">
        <w:rPr>
          <w:sz w:val="24"/>
        </w:rPr>
        <w:t xml:space="preserve">Er bestaat al jarenlang de wens en noodzaak om de referenties te corrigeren en in lijn te brengen met elkaar. Dit is een aantal jaar geleden geïnitieerd in een werkgroep geleid door Duitsland, vervolgens door gegaan onder leiderschap van Spanje en vervolgens tot stilstand gekomen terwijl elke vergadering van de GRSP er weer op werd aangedrongen dit opnieuw op te pakken. Onder voorzitterschap van NL is een Taskforce hiermee weer aan de slag gegaan. Dit heeft uiteindelijk geleid tot het opnemen van een meetprocedure voor het H-punt, </w:t>
      </w:r>
      <w:proofErr w:type="spellStart"/>
      <w:r w:rsidRPr="00744FDA">
        <w:rPr>
          <w:sz w:val="24"/>
        </w:rPr>
        <w:t>calibratieprocedure</w:t>
      </w:r>
      <w:proofErr w:type="spellEnd"/>
      <w:r w:rsidRPr="00744FDA">
        <w:rPr>
          <w:sz w:val="24"/>
        </w:rPr>
        <w:t xml:space="preserve"> van de H-</w:t>
      </w:r>
      <w:proofErr w:type="spellStart"/>
      <w:r w:rsidRPr="00744FDA">
        <w:rPr>
          <w:sz w:val="24"/>
        </w:rPr>
        <w:t>puntsmachine</w:t>
      </w:r>
      <w:proofErr w:type="spellEnd"/>
      <w:r w:rsidRPr="00744FDA">
        <w:rPr>
          <w:sz w:val="24"/>
        </w:rPr>
        <w:t xml:space="preserve"> in Mutual </w:t>
      </w:r>
      <w:proofErr w:type="spellStart"/>
      <w:r w:rsidRPr="00744FDA">
        <w:rPr>
          <w:sz w:val="24"/>
        </w:rPr>
        <w:t>Resolution</w:t>
      </w:r>
      <w:proofErr w:type="spellEnd"/>
      <w:r w:rsidRPr="00744FDA">
        <w:rPr>
          <w:sz w:val="24"/>
        </w:rPr>
        <w:t xml:space="preserve"> 1 (M.R.1.) plus het verwijzen naar deze M.R.1. voor de H-</w:t>
      </w:r>
      <w:proofErr w:type="spellStart"/>
      <w:r w:rsidRPr="00744FDA">
        <w:rPr>
          <w:sz w:val="24"/>
        </w:rPr>
        <w:t>puntsmeting</w:t>
      </w:r>
      <w:proofErr w:type="spellEnd"/>
      <w:r w:rsidRPr="00744FDA">
        <w:rPr>
          <w:sz w:val="24"/>
        </w:rPr>
        <w:t xml:space="preserve"> en </w:t>
      </w:r>
      <w:proofErr w:type="spellStart"/>
      <w:r w:rsidRPr="00744FDA">
        <w:rPr>
          <w:sz w:val="24"/>
        </w:rPr>
        <w:t>calibratie</w:t>
      </w:r>
      <w:proofErr w:type="spellEnd"/>
      <w:r w:rsidRPr="00744FDA">
        <w:rPr>
          <w:sz w:val="24"/>
        </w:rPr>
        <w:t xml:space="preserve"> in alle UN Reglementen (23) en UN </w:t>
      </w:r>
      <w:proofErr w:type="spellStart"/>
      <w:r w:rsidRPr="00744FDA">
        <w:rPr>
          <w:sz w:val="24"/>
        </w:rPr>
        <w:t>GTRs</w:t>
      </w:r>
      <w:proofErr w:type="spellEnd"/>
      <w:r w:rsidRPr="00744FDA">
        <w:rPr>
          <w:sz w:val="24"/>
        </w:rPr>
        <w:t xml:space="preserve"> (3).</w:t>
      </w:r>
    </w:p>
    <w:p w:rsidR="002306B3" w:rsidP="00901A2C" w:rsidRDefault="002306B3" w14:paraId="75ED0C6F" w14:textId="77777777">
      <w:pPr>
        <w:rPr>
          <w:sz w:val="24"/>
        </w:rPr>
      </w:pPr>
    </w:p>
    <w:p w:rsidR="002306B3" w:rsidP="00901A2C" w:rsidRDefault="002306B3" w14:paraId="22030100" w14:textId="77777777">
      <w:pPr>
        <w:rPr>
          <w:sz w:val="24"/>
        </w:rPr>
      </w:pPr>
    </w:p>
    <w:p w:rsidR="002306B3" w:rsidP="00901A2C" w:rsidRDefault="002306B3" w14:paraId="684A2E72" w14:textId="77777777">
      <w:pPr>
        <w:rPr>
          <w:sz w:val="24"/>
        </w:rPr>
      </w:pPr>
    </w:p>
    <w:p w:rsidR="002306B3" w:rsidP="00901A2C" w:rsidRDefault="002306B3" w14:paraId="00E4B644" w14:textId="77777777">
      <w:pPr>
        <w:rPr>
          <w:sz w:val="24"/>
        </w:rPr>
      </w:pPr>
    </w:p>
    <w:p w:rsidR="002306B3" w:rsidP="00901A2C" w:rsidRDefault="002306B3" w14:paraId="613102ED" w14:textId="77777777">
      <w:pPr>
        <w:rPr>
          <w:sz w:val="24"/>
        </w:rPr>
      </w:pPr>
    </w:p>
    <w:p w:rsidR="002306B3" w:rsidP="00901A2C" w:rsidRDefault="002306B3" w14:paraId="304A2F18" w14:textId="77777777">
      <w:pPr>
        <w:rPr>
          <w:sz w:val="24"/>
        </w:rPr>
      </w:pPr>
    </w:p>
    <w:p w:rsidR="008F54F4" w:rsidP="00182307" w:rsidRDefault="008F54F4" w14:paraId="7FF8FB90" w14:textId="77777777">
      <w:pPr>
        <w:rPr>
          <w:b/>
          <w:smallCaps/>
          <w:sz w:val="24"/>
          <w:szCs w:val="24"/>
        </w:rPr>
      </w:pPr>
    </w:p>
    <w:p w:rsidRPr="00D63C77" w:rsidR="00570A50" w:rsidRDefault="00570A50" w14:paraId="703F502D" w14:textId="77777777">
      <w:pPr>
        <w:rPr>
          <w:sz w:val="24"/>
        </w:rPr>
      </w:pPr>
    </w:p>
    <w:p w:rsidRPr="00D63C77" w:rsidR="001054FE" w:rsidP="001054FE" w:rsidRDefault="001054FE" w14:paraId="47F3CD0D" w14:textId="77777777">
      <w:pPr>
        <w:rPr>
          <w:sz w:val="24"/>
          <w:u w:val="single"/>
        </w:rPr>
      </w:pPr>
      <w:r w:rsidRPr="00D63C77">
        <w:rPr>
          <w:sz w:val="24"/>
        </w:rPr>
        <w:tab/>
      </w:r>
      <w:r w:rsidRPr="00D63C77">
        <w:rPr>
          <w:sz w:val="24"/>
        </w:rPr>
        <w:tab/>
      </w:r>
      <w:r w:rsidRPr="00D63C77">
        <w:rPr>
          <w:sz w:val="24"/>
        </w:rPr>
        <w:tab/>
      </w:r>
      <w:r w:rsidRPr="00D63C77">
        <w:rPr>
          <w:sz w:val="24"/>
        </w:rPr>
        <w:tab/>
      </w:r>
      <w:r w:rsidRPr="00D63C77">
        <w:rPr>
          <w:sz w:val="24"/>
        </w:rPr>
        <w:tab/>
      </w:r>
      <w:r w:rsidRPr="00D63C77">
        <w:rPr>
          <w:sz w:val="24"/>
        </w:rPr>
        <w:tab/>
      </w:r>
      <w:r w:rsidRPr="00D63C77">
        <w:rPr>
          <w:sz w:val="24"/>
        </w:rPr>
        <w:tab/>
      </w:r>
      <w:r w:rsidRPr="00D63C77">
        <w:rPr>
          <w:sz w:val="24"/>
        </w:rPr>
        <w:tab/>
      </w:r>
      <w:r w:rsidRPr="00D63C77">
        <w:rPr>
          <w:sz w:val="24"/>
        </w:rPr>
        <w:tab/>
      </w:r>
      <w:r w:rsidRPr="00D63C77">
        <w:rPr>
          <w:sz w:val="24"/>
        </w:rPr>
        <w:tab/>
      </w:r>
      <w:r w:rsidRPr="00D63C77">
        <w:rPr>
          <w:sz w:val="24"/>
        </w:rPr>
        <w:tab/>
      </w:r>
    </w:p>
    <w:p w:rsidRPr="00D63C77" w:rsidR="001054FE" w:rsidRDefault="001054FE" w14:paraId="6F0E4B8E" w14:textId="77777777">
      <w:pPr>
        <w:rPr>
          <w:sz w:val="24"/>
        </w:rPr>
      </w:pPr>
    </w:p>
    <w:p w:rsidRPr="00D63C77" w:rsidR="00141BF9" w:rsidRDefault="00141BF9" w14:paraId="12756CA4" w14:textId="77777777">
      <w:pPr>
        <w:rPr>
          <w:sz w:val="24"/>
        </w:rPr>
      </w:pPr>
    </w:p>
    <w:p w:rsidRPr="00D63C77" w:rsidR="00141BF9" w:rsidRDefault="00141BF9" w14:paraId="3DD59257" w14:textId="77777777">
      <w:pPr>
        <w:rPr>
          <w:sz w:val="24"/>
        </w:rPr>
      </w:pPr>
    </w:p>
    <w:p w:rsidRPr="00D63C77" w:rsidR="00141BF9" w:rsidRDefault="00141BF9" w14:paraId="455BE760" w14:textId="77777777">
      <w:pPr>
        <w:rPr>
          <w:sz w:val="24"/>
        </w:rPr>
      </w:pPr>
    </w:p>
    <w:p w:rsidRPr="00D63C77" w:rsidR="00141BF9" w:rsidRDefault="00141BF9" w14:paraId="71C82A8F" w14:textId="77777777">
      <w:pPr>
        <w:rPr>
          <w:sz w:val="24"/>
        </w:rPr>
      </w:pPr>
    </w:p>
    <w:p w:rsidRPr="00D63C77" w:rsidR="00141BF9" w:rsidRDefault="00141BF9" w14:paraId="2715A43D" w14:textId="77777777">
      <w:pPr>
        <w:rPr>
          <w:sz w:val="24"/>
        </w:rPr>
      </w:pPr>
    </w:p>
    <w:p w:rsidRPr="00D63C77" w:rsidR="00141BF9" w:rsidRDefault="00141BF9" w14:paraId="044A8E68" w14:textId="77777777">
      <w:pPr>
        <w:rPr>
          <w:sz w:val="24"/>
        </w:rPr>
      </w:pPr>
    </w:p>
    <w:p w:rsidRPr="00D63C77" w:rsidR="00141BF9" w:rsidRDefault="00141BF9" w14:paraId="3B45E1E1" w14:textId="77777777">
      <w:pPr>
        <w:rPr>
          <w:sz w:val="24"/>
        </w:rPr>
      </w:pPr>
    </w:p>
    <w:p w:rsidRPr="00D63C77" w:rsidR="00141BF9" w:rsidRDefault="00141BF9" w14:paraId="02F75420" w14:textId="77777777">
      <w:pPr>
        <w:rPr>
          <w:sz w:val="24"/>
        </w:rPr>
      </w:pPr>
    </w:p>
    <w:p w:rsidRPr="00D63C77" w:rsidR="00141BF9" w:rsidRDefault="00141BF9" w14:paraId="65630BDE" w14:textId="77777777">
      <w:pPr>
        <w:rPr>
          <w:sz w:val="24"/>
        </w:rPr>
      </w:pPr>
    </w:p>
    <w:p w:rsidRPr="00D63C77" w:rsidR="00141BF9" w:rsidRDefault="00141BF9" w14:paraId="23CB1EFE" w14:textId="77777777">
      <w:pPr>
        <w:rPr>
          <w:sz w:val="24"/>
        </w:rPr>
      </w:pPr>
    </w:p>
    <w:p w:rsidRPr="00D63C77" w:rsidR="00141BF9" w:rsidRDefault="00141BF9" w14:paraId="4270AA80" w14:textId="77777777">
      <w:pPr>
        <w:rPr>
          <w:sz w:val="24"/>
        </w:rPr>
      </w:pPr>
    </w:p>
    <w:p w:rsidRPr="00D63C77" w:rsidR="00141BF9" w:rsidRDefault="00141BF9" w14:paraId="7749BB20" w14:textId="77777777">
      <w:pPr>
        <w:rPr>
          <w:sz w:val="24"/>
        </w:rPr>
      </w:pPr>
    </w:p>
    <w:p w:rsidRPr="00D63C77" w:rsidR="00141BF9" w:rsidRDefault="00141BF9" w14:paraId="629CB787" w14:textId="77777777">
      <w:pPr>
        <w:rPr>
          <w:sz w:val="24"/>
        </w:rPr>
      </w:pPr>
    </w:p>
    <w:p w:rsidRPr="00D63C77" w:rsidR="00141BF9" w:rsidRDefault="00141BF9" w14:paraId="3139AE74" w14:textId="77777777">
      <w:pPr>
        <w:rPr>
          <w:sz w:val="24"/>
        </w:rPr>
      </w:pPr>
    </w:p>
    <w:p w:rsidRPr="00D63C77" w:rsidR="00141BF9" w:rsidRDefault="00141BF9" w14:paraId="0CE66E03" w14:textId="77777777">
      <w:pPr>
        <w:rPr>
          <w:sz w:val="24"/>
        </w:rPr>
      </w:pPr>
    </w:p>
    <w:p w:rsidRPr="00D63C77" w:rsidR="00141BF9" w:rsidRDefault="00141BF9" w14:paraId="7F1722B5" w14:textId="77777777">
      <w:pPr>
        <w:rPr>
          <w:sz w:val="24"/>
        </w:rPr>
      </w:pPr>
    </w:p>
    <w:sectPr w:rsidRPr="00D63C77" w:rsidR="00141BF9">
      <w:footerReference w:type="default" r:id="rId8"/>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5C2B2" w14:textId="77777777" w:rsidR="008F54F4" w:rsidRDefault="008F54F4" w:rsidP="008F54F4">
      <w:r>
        <w:separator/>
      </w:r>
    </w:p>
  </w:endnote>
  <w:endnote w:type="continuationSeparator" w:id="0">
    <w:p w14:paraId="5FCC5CD0" w14:textId="77777777" w:rsidR="008F54F4" w:rsidRDefault="008F54F4" w:rsidP="008F5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082260"/>
      <w:docPartObj>
        <w:docPartGallery w:val="Page Numbers (Bottom of Page)"/>
        <w:docPartUnique/>
      </w:docPartObj>
    </w:sdtPr>
    <w:sdtEndPr/>
    <w:sdtContent>
      <w:p w14:paraId="41A09159" w14:textId="6C7BCE09" w:rsidR="008F54F4" w:rsidRDefault="008F54F4">
        <w:pPr>
          <w:pStyle w:val="Footer"/>
          <w:jc w:val="right"/>
        </w:pPr>
        <w:r>
          <w:fldChar w:fldCharType="begin"/>
        </w:r>
        <w:r>
          <w:instrText>PAGE   \* MERGEFORMAT</w:instrText>
        </w:r>
        <w:r>
          <w:fldChar w:fldCharType="separate"/>
        </w:r>
        <w:r>
          <w:t>2</w:t>
        </w:r>
        <w:r>
          <w:fldChar w:fldCharType="end"/>
        </w:r>
      </w:p>
    </w:sdtContent>
  </w:sdt>
  <w:p w14:paraId="62502F8C" w14:textId="77777777" w:rsidR="008F54F4" w:rsidRDefault="008F5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ECFDF" w14:textId="77777777" w:rsidR="008F54F4" w:rsidRDefault="008F54F4" w:rsidP="008F54F4">
      <w:r>
        <w:separator/>
      </w:r>
    </w:p>
  </w:footnote>
  <w:footnote w:type="continuationSeparator" w:id="0">
    <w:p w14:paraId="6CA180EC" w14:textId="77777777" w:rsidR="008F54F4" w:rsidRDefault="008F54F4" w:rsidP="008F5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DDB"/>
    <w:multiLevelType w:val="singleLevel"/>
    <w:tmpl w:val="652CBF22"/>
    <w:lvl w:ilvl="0">
      <w:start w:val="865"/>
      <w:numFmt w:val="decimal"/>
      <w:lvlText w:val="%1"/>
      <w:lvlJc w:val="left"/>
      <w:pPr>
        <w:tabs>
          <w:tab w:val="num" w:pos="705"/>
        </w:tabs>
        <w:ind w:left="705" w:hanging="705"/>
      </w:pPr>
      <w:rPr>
        <w:rFonts w:hint="default"/>
      </w:rPr>
    </w:lvl>
  </w:abstractNum>
  <w:abstractNum w:abstractNumId="1" w15:restartNumberingAfterBreak="0">
    <w:nsid w:val="0D4D675F"/>
    <w:multiLevelType w:val="singleLevel"/>
    <w:tmpl w:val="0413000F"/>
    <w:lvl w:ilvl="0">
      <w:start w:val="1"/>
      <w:numFmt w:val="decimal"/>
      <w:lvlText w:val="%1."/>
      <w:lvlJc w:val="left"/>
      <w:pPr>
        <w:tabs>
          <w:tab w:val="num" w:pos="360"/>
        </w:tabs>
        <w:ind w:left="360" w:hanging="360"/>
      </w:pPr>
    </w:lvl>
  </w:abstractNum>
  <w:abstractNum w:abstractNumId="2" w15:restartNumberingAfterBreak="0">
    <w:nsid w:val="0F880E18"/>
    <w:multiLevelType w:val="singleLevel"/>
    <w:tmpl w:val="424CD118"/>
    <w:lvl w:ilvl="0">
      <w:start w:val="1"/>
      <w:numFmt w:val="decimal"/>
      <w:lvlText w:val="%1."/>
      <w:lvlJc w:val="left"/>
      <w:pPr>
        <w:tabs>
          <w:tab w:val="num" w:pos="705"/>
        </w:tabs>
        <w:ind w:left="705" w:hanging="705"/>
      </w:pPr>
      <w:rPr>
        <w:rFonts w:hint="default"/>
      </w:rPr>
    </w:lvl>
  </w:abstractNum>
  <w:abstractNum w:abstractNumId="3" w15:restartNumberingAfterBreak="0">
    <w:nsid w:val="297E6EB6"/>
    <w:multiLevelType w:val="singleLevel"/>
    <w:tmpl w:val="0413000F"/>
    <w:lvl w:ilvl="0">
      <w:start w:val="1"/>
      <w:numFmt w:val="decimal"/>
      <w:lvlText w:val="%1."/>
      <w:lvlJc w:val="left"/>
      <w:pPr>
        <w:tabs>
          <w:tab w:val="num" w:pos="360"/>
        </w:tabs>
        <w:ind w:left="360" w:hanging="360"/>
      </w:pPr>
    </w:lvl>
  </w:abstractNum>
  <w:abstractNum w:abstractNumId="4" w15:restartNumberingAfterBreak="0">
    <w:nsid w:val="50E10867"/>
    <w:multiLevelType w:val="hybridMultilevel"/>
    <w:tmpl w:val="32F8DB36"/>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1372199"/>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7F4A1E83"/>
    <w:multiLevelType w:val="singleLevel"/>
    <w:tmpl w:val="7746460A"/>
    <w:lvl w:ilvl="0">
      <w:start w:val="855"/>
      <w:numFmt w:val="decimal"/>
      <w:lvlText w:val="%1"/>
      <w:lvlJc w:val="left"/>
      <w:pPr>
        <w:tabs>
          <w:tab w:val="num" w:pos="705"/>
        </w:tabs>
        <w:ind w:left="705" w:hanging="705"/>
      </w:pPr>
      <w:rPr>
        <w:rFonts w:hint="default"/>
      </w:rPr>
    </w:lvl>
  </w:abstractNum>
  <w:abstractNum w:abstractNumId="7" w15:restartNumberingAfterBreak="0">
    <w:nsid w:val="7FE95A67"/>
    <w:multiLevelType w:val="singleLevel"/>
    <w:tmpl w:val="C5444CA0"/>
    <w:lvl w:ilvl="0">
      <w:start w:val="873"/>
      <w:numFmt w:val="decimal"/>
      <w:lvlText w:val="%1"/>
      <w:lvlJc w:val="left"/>
      <w:pPr>
        <w:tabs>
          <w:tab w:val="num" w:pos="705"/>
        </w:tabs>
        <w:ind w:left="705" w:hanging="705"/>
      </w:pPr>
      <w:rPr>
        <w:rFonts w:hint="default"/>
      </w:rPr>
    </w:lvl>
  </w:abstractNum>
  <w:num w:numId="1" w16cid:durableId="591428479">
    <w:abstractNumId w:val="2"/>
  </w:num>
  <w:num w:numId="2" w16cid:durableId="281428374">
    <w:abstractNumId w:val="5"/>
  </w:num>
  <w:num w:numId="3" w16cid:durableId="1764719118">
    <w:abstractNumId w:val="3"/>
  </w:num>
  <w:num w:numId="4" w16cid:durableId="1006370997">
    <w:abstractNumId w:val="1"/>
  </w:num>
  <w:num w:numId="5" w16cid:durableId="1207256879">
    <w:abstractNumId w:val="7"/>
  </w:num>
  <w:num w:numId="6" w16cid:durableId="340014297">
    <w:abstractNumId w:val="0"/>
  </w:num>
  <w:num w:numId="7" w16cid:durableId="798836497">
    <w:abstractNumId w:val="6"/>
  </w:num>
  <w:num w:numId="8" w16cid:durableId="1669140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BB5"/>
    <w:rsid w:val="00005A42"/>
    <w:rsid w:val="000C0C8A"/>
    <w:rsid w:val="000C5B7B"/>
    <w:rsid w:val="000F355D"/>
    <w:rsid w:val="001054FE"/>
    <w:rsid w:val="00141BF9"/>
    <w:rsid w:val="00155C79"/>
    <w:rsid w:val="0016618D"/>
    <w:rsid w:val="001738AF"/>
    <w:rsid w:val="00182307"/>
    <w:rsid w:val="00197281"/>
    <w:rsid w:val="001C6BB5"/>
    <w:rsid w:val="001D1DA0"/>
    <w:rsid w:val="001D4968"/>
    <w:rsid w:val="00213038"/>
    <w:rsid w:val="002306B3"/>
    <w:rsid w:val="0025699C"/>
    <w:rsid w:val="002702CC"/>
    <w:rsid w:val="002837A7"/>
    <w:rsid w:val="00292226"/>
    <w:rsid w:val="002A00EE"/>
    <w:rsid w:val="002A7ED8"/>
    <w:rsid w:val="002D53F6"/>
    <w:rsid w:val="002F48C8"/>
    <w:rsid w:val="002F6675"/>
    <w:rsid w:val="00321A30"/>
    <w:rsid w:val="00321A74"/>
    <w:rsid w:val="00334088"/>
    <w:rsid w:val="00336E90"/>
    <w:rsid w:val="00360CF4"/>
    <w:rsid w:val="00361A7B"/>
    <w:rsid w:val="00361FD6"/>
    <w:rsid w:val="00364BE7"/>
    <w:rsid w:val="003875E5"/>
    <w:rsid w:val="003B63E8"/>
    <w:rsid w:val="003C0826"/>
    <w:rsid w:val="003D1AD4"/>
    <w:rsid w:val="003F0236"/>
    <w:rsid w:val="00411EE1"/>
    <w:rsid w:val="00436CE4"/>
    <w:rsid w:val="0045139A"/>
    <w:rsid w:val="00454AC4"/>
    <w:rsid w:val="0046298C"/>
    <w:rsid w:val="00463125"/>
    <w:rsid w:val="004863E9"/>
    <w:rsid w:val="004A2C9D"/>
    <w:rsid w:val="004B1966"/>
    <w:rsid w:val="004B2116"/>
    <w:rsid w:val="004B5A9C"/>
    <w:rsid w:val="004D48A2"/>
    <w:rsid w:val="00510D31"/>
    <w:rsid w:val="00512B19"/>
    <w:rsid w:val="00516FFF"/>
    <w:rsid w:val="00542FFC"/>
    <w:rsid w:val="00564B98"/>
    <w:rsid w:val="00570A50"/>
    <w:rsid w:val="00581120"/>
    <w:rsid w:val="005A779F"/>
    <w:rsid w:val="005B285A"/>
    <w:rsid w:val="005C1A4B"/>
    <w:rsid w:val="005C3B78"/>
    <w:rsid w:val="005E2A3D"/>
    <w:rsid w:val="005F0787"/>
    <w:rsid w:val="0063149B"/>
    <w:rsid w:val="00656013"/>
    <w:rsid w:val="00671A33"/>
    <w:rsid w:val="006757D7"/>
    <w:rsid w:val="00675E80"/>
    <w:rsid w:val="00676EE2"/>
    <w:rsid w:val="006B0984"/>
    <w:rsid w:val="006B32F7"/>
    <w:rsid w:val="006C420C"/>
    <w:rsid w:val="006C5B7F"/>
    <w:rsid w:val="006D222B"/>
    <w:rsid w:val="006D5EF9"/>
    <w:rsid w:val="006E00E6"/>
    <w:rsid w:val="006F1819"/>
    <w:rsid w:val="00716A11"/>
    <w:rsid w:val="00716F3E"/>
    <w:rsid w:val="00744FDA"/>
    <w:rsid w:val="00782A6D"/>
    <w:rsid w:val="00793C95"/>
    <w:rsid w:val="007C24DA"/>
    <w:rsid w:val="007C3E7D"/>
    <w:rsid w:val="00807165"/>
    <w:rsid w:val="00851DCB"/>
    <w:rsid w:val="00860A2D"/>
    <w:rsid w:val="0088351C"/>
    <w:rsid w:val="008919FE"/>
    <w:rsid w:val="00891C51"/>
    <w:rsid w:val="008A48B0"/>
    <w:rsid w:val="008E1E87"/>
    <w:rsid w:val="008E2962"/>
    <w:rsid w:val="008E5C98"/>
    <w:rsid w:val="008E642D"/>
    <w:rsid w:val="008F54F4"/>
    <w:rsid w:val="00901A2C"/>
    <w:rsid w:val="0091059B"/>
    <w:rsid w:val="00922AC9"/>
    <w:rsid w:val="00942B0C"/>
    <w:rsid w:val="009624FA"/>
    <w:rsid w:val="009708D6"/>
    <w:rsid w:val="00975DF6"/>
    <w:rsid w:val="00990FF8"/>
    <w:rsid w:val="009A1B22"/>
    <w:rsid w:val="009C26E2"/>
    <w:rsid w:val="009C6414"/>
    <w:rsid w:val="009F42C2"/>
    <w:rsid w:val="00A9539F"/>
    <w:rsid w:val="00AA46CD"/>
    <w:rsid w:val="00AA65D4"/>
    <w:rsid w:val="00AB3A1D"/>
    <w:rsid w:val="00AD1656"/>
    <w:rsid w:val="00AE7F2C"/>
    <w:rsid w:val="00B04ECA"/>
    <w:rsid w:val="00B13B67"/>
    <w:rsid w:val="00B31080"/>
    <w:rsid w:val="00B33750"/>
    <w:rsid w:val="00B406BF"/>
    <w:rsid w:val="00B60239"/>
    <w:rsid w:val="00BA2D83"/>
    <w:rsid w:val="00BA5FAB"/>
    <w:rsid w:val="00BD35AB"/>
    <w:rsid w:val="00C1358D"/>
    <w:rsid w:val="00C27992"/>
    <w:rsid w:val="00C4262C"/>
    <w:rsid w:val="00C5423A"/>
    <w:rsid w:val="00C57560"/>
    <w:rsid w:val="00C84FD5"/>
    <w:rsid w:val="00CB1220"/>
    <w:rsid w:val="00CF3163"/>
    <w:rsid w:val="00D07CFC"/>
    <w:rsid w:val="00D161C4"/>
    <w:rsid w:val="00D4010F"/>
    <w:rsid w:val="00D57815"/>
    <w:rsid w:val="00D61752"/>
    <w:rsid w:val="00D63C77"/>
    <w:rsid w:val="00D822B5"/>
    <w:rsid w:val="00D94A5A"/>
    <w:rsid w:val="00DA05DC"/>
    <w:rsid w:val="00DE013C"/>
    <w:rsid w:val="00DE5539"/>
    <w:rsid w:val="00E30EF8"/>
    <w:rsid w:val="00E5187C"/>
    <w:rsid w:val="00E5235E"/>
    <w:rsid w:val="00EA22A1"/>
    <w:rsid w:val="00EA3893"/>
    <w:rsid w:val="00EA3C1A"/>
    <w:rsid w:val="00EB4649"/>
    <w:rsid w:val="00EC53AB"/>
    <w:rsid w:val="00ED107A"/>
    <w:rsid w:val="00ED1AD0"/>
    <w:rsid w:val="00EE5B0C"/>
    <w:rsid w:val="00EE6A64"/>
    <w:rsid w:val="00F0231A"/>
    <w:rsid w:val="00F03CA3"/>
    <w:rsid w:val="00F07800"/>
    <w:rsid w:val="00F15884"/>
    <w:rsid w:val="00F20421"/>
    <w:rsid w:val="00F24AA2"/>
    <w:rsid w:val="00F24E11"/>
    <w:rsid w:val="00F31268"/>
    <w:rsid w:val="00F621DF"/>
    <w:rsid w:val="00FA41B7"/>
    <w:rsid w:val="00FB6016"/>
    <w:rsid w:val="00FC3C50"/>
    <w:rsid w:val="00FC7A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B203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705"/>
      <w:outlineLvl w:val="0"/>
    </w:pPr>
    <w:rPr>
      <w:sz w:val="24"/>
    </w:rPr>
  </w:style>
  <w:style w:type="paragraph" w:styleId="Heading2">
    <w:name w:val="heading 2"/>
    <w:basedOn w:val="Normal"/>
    <w:next w:val="Normal"/>
    <w:qFormat/>
    <w:pPr>
      <w:keepNext/>
      <w:outlineLvl w:val="1"/>
    </w:pPr>
    <w:rPr>
      <w:smallCaps/>
      <w:sz w:val="24"/>
    </w:rPr>
  </w:style>
  <w:style w:type="paragraph" w:styleId="Heading3">
    <w:name w:val="heading 3"/>
    <w:basedOn w:val="Normal"/>
    <w:next w:val="Normal"/>
    <w:qFormat/>
    <w:pPr>
      <w:keepNext/>
      <w:outlineLvl w:val="2"/>
    </w:pPr>
    <w:rPr>
      <w:b/>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05"/>
    </w:pPr>
    <w:rPr>
      <w:sz w:val="24"/>
    </w:rPr>
  </w:style>
  <w:style w:type="character" w:styleId="Hyperlink">
    <w:name w:val="Hyperlink"/>
    <w:uiPriority w:val="99"/>
    <w:unhideWhenUsed/>
    <w:rsid w:val="00336E90"/>
    <w:rPr>
      <w:color w:val="0000FF"/>
      <w:u w:val="single"/>
    </w:rPr>
  </w:style>
  <w:style w:type="paragraph" w:styleId="Header">
    <w:name w:val="header"/>
    <w:basedOn w:val="Normal"/>
    <w:link w:val="HeaderChar"/>
    <w:rsid w:val="008F54F4"/>
    <w:pPr>
      <w:tabs>
        <w:tab w:val="center" w:pos="4513"/>
        <w:tab w:val="right" w:pos="9026"/>
      </w:tabs>
    </w:pPr>
  </w:style>
  <w:style w:type="character" w:customStyle="1" w:styleId="HeaderChar">
    <w:name w:val="Header Char"/>
    <w:basedOn w:val="DefaultParagraphFont"/>
    <w:link w:val="Header"/>
    <w:rsid w:val="008F54F4"/>
  </w:style>
  <w:style w:type="paragraph" w:styleId="Footer">
    <w:name w:val="footer"/>
    <w:basedOn w:val="Normal"/>
    <w:link w:val="FooterChar"/>
    <w:uiPriority w:val="99"/>
    <w:rsid w:val="008F54F4"/>
    <w:pPr>
      <w:tabs>
        <w:tab w:val="center" w:pos="4513"/>
        <w:tab w:val="right" w:pos="9026"/>
      </w:tabs>
    </w:pPr>
  </w:style>
  <w:style w:type="character" w:customStyle="1" w:styleId="FooterChar">
    <w:name w:val="Footer Char"/>
    <w:basedOn w:val="DefaultParagraphFont"/>
    <w:link w:val="Footer"/>
    <w:uiPriority w:val="99"/>
    <w:rsid w:val="008F5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203">
      <w:marLeft w:val="0"/>
      <w:marRight w:val="0"/>
      <w:marTop w:val="0"/>
      <w:marBottom w:val="0"/>
      <w:divBdr>
        <w:top w:val="none" w:sz="0" w:space="0" w:color="auto"/>
        <w:left w:val="none" w:sz="0" w:space="0" w:color="auto"/>
        <w:bottom w:val="none" w:sz="0" w:space="0" w:color="auto"/>
        <w:right w:val="none" w:sz="0" w:space="0" w:color="auto"/>
      </w:divBdr>
    </w:div>
    <w:div w:id="103501212">
      <w:bodyDiv w:val="1"/>
      <w:marLeft w:val="0"/>
      <w:marRight w:val="0"/>
      <w:marTop w:val="0"/>
      <w:marBottom w:val="0"/>
      <w:divBdr>
        <w:top w:val="none" w:sz="0" w:space="0" w:color="auto"/>
        <w:left w:val="none" w:sz="0" w:space="0" w:color="auto"/>
        <w:bottom w:val="none" w:sz="0" w:space="0" w:color="auto"/>
        <w:right w:val="none" w:sz="0" w:space="0" w:color="auto"/>
      </w:divBdr>
    </w:div>
    <w:div w:id="184577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nece.org/transport/documents/2021/05/standards/un-regulation-no-149-road-illumination-devices-r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21b6238-8359-4a58-8064-607e0430c4c4}" enabled="1" method="Standard" siteId="{150cfa2a-f5d3-460a-ae30-e92179b1b1a9}" contentBits="0" removed="0"/>
</clbl:labelList>
</file>

<file path=docProps/app.xml><?xml version="1.0" encoding="utf-8"?>
<ap:Properties xmlns:vt="http://schemas.openxmlformats.org/officeDocument/2006/docPropsVTypes" xmlns:ap="http://schemas.openxmlformats.org/officeDocument/2006/extended-properties">
  <ap:Pages>5</ap:Pages>
  <ap:Words>1232</ap:Words>
  <ap:Characters>8101</ap:Characters>
  <ap:DocSecurity>0</ap:DocSecurity>
  <ap:Lines>67</ap:Lines>
  <ap:Paragraphs>18</ap:Paragraphs>
  <ap:ScaleCrop>false</ap:ScaleCrop>
  <ap:LinksUpToDate>false</ap:LinksUpToDate>
  <ap:CharactersWithSpaces>9315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2026-02-02T12:27:00.0000000Z</dcterms:created>
  <dcterms:modified xsi:type="dcterms:W3CDTF">2026-02-02T12:27:00.0000000Z</dcterms:modified>
  <dc:description>------------------------</dc:description>
  <version/>
  <category/>
</coreProperties>
</file>