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19C" w:rsidP="008B619C" w:rsidRDefault="008B619C" w14:paraId="6DDD9287" w14:textId="0AB48AB5">
      <w:pPr>
        <w:jc w:val="center"/>
        <w:rPr>
          <w:rFonts w:ascii="Verdana" w:hAnsi="Verdana"/>
          <w:b/>
          <w:bCs/>
        </w:rPr>
      </w:pPr>
      <w:r>
        <w:rPr>
          <w:rFonts w:ascii="Verdana" w:hAnsi="Verdana"/>
          <w:b/>
          <w:bCs/>
        </w:rPr>
        <w:t>Verslag van de bijeenkomst van de informele Raad Justitie en Binnenlandse Zaken, 22 en 23 januari 2026</w:t>
      </w:r>
    </w:p>
    <w:p w:rsidR="008B619C" w:rsidP="008B619C" w:rsidRDefault="008B619C" w14:paraId="0ADA9A97" w14:textId="77777777">
      <w:pPr>
        <w:jc w:val="center"/>
        <w:rPr>
          <w:rFonts w:ascii="Verdana" w:hAnsi="Verdana"/>
          <w:b/>
          <w:bCs/>
        </w:rPr>
      </w:pPr>
    </w:p>
    <w:p w:rsidR="008B619C" w:rsidP="00527A86" w:rsidRDefault="008B619C" w14:paraId="226F253A" w14:textId="216135EF">
      <w:pPr>
        <w:pStyle w:val="Lijstalinea"/>
        <w:numPr>
          <w:ilvl w:val="0"/>
          <w:numId w:val="1"/>
        </w:numPr>
        <w:jc w:val="both"/>
        <w:rPr>
          <w:rFonts w:ascii="Verdana" w:hAnsi="Verdana"/>
          <w:b/>
          <w:bCs/>
        </w:rPr>
      </w:pPr>
      <w:r>
        <w:rPr>
          <w:rFonts w:ascii="Verdana" w:hAnsi="Verdana"/>
          <w:b/>
          <w:bCs/>
        </w:rPr>
        <w:t>Binnenlandse</w:t>
      </w:r>
      <w:r w:rsidR="00527A86">
        <w:rPr>
          <w:rFonts w:ascii="Verdana" w:hAnsi="Verdana"/>
          <w:b/>
          <w:bCs/>
        </w:rPr>
        <w:t xml:space="preserve"> </w:t>
      </w:r>
      <w:r>
        <w:rPr>
          <w:rFonts w:ascii="Verdana" w:hAnsi="Verdana"/>
          <w:b/>
          <w:bCs/>
        </w:rPr>
        <w:t>Zaken</w:t>
      </w:r>
    </w:p>
    <w:p w:rsidRPr="00527A86" w:rsidR="00527A86" w:rsidP="00527A86" w:rsidRDefault="00527A86" w14:paraId="38785675" w14:textId="77777777">
      <w:pPr>
        <w:pStyle w:val="Lijstalinea"/>
        <w:jc w:val="both"/>
        <w:rPr>
          <w:rFonts w:ascii="Verdana" w:hAnsi="Verdana"/>
          <w:b/>
          <w:bCs/>
        </w:rPr>
      </w:pPr>
    </w:p>
    <w:p w:rsidRPr="008B619C" w:rsidR="008B619C" w:rsidP="008B619C" w:rsidRDefault="008B619C" w14:paraId="52D27C54" w14:textId="6FCE7E04">
      <w:pPr>
        <w:pStyle w:val="Lijstalinea"/>
        <w:numPr>
          <w:ilvl w:val="0"/>
          <w:numId w:val="2"/>
        </w:numPr>
        <w:jc w:val="both"/>
        <w:rPr>
          <w:rFonts w:ascii="Verdana" w:hAnsi="Verdana"/>
          <w:b/>
          <w:bCs/>
          <w:sz w:val="18"/>
          <w:szCs w:val="18"/>
        </w:rPr>
      </w:pPr>
      <w:r>
        <w:rPr>
          <w:rFonts w:ascii="Verdana" w:hAnsi="Verdana"/>
          <w:b/>
          <w:bCs/>
          <w:sz w:val="18"/>
          <w:szCs w:val="18"/>
          <w:lang w:val="nl-BE"/>
        </w:rPr>
        <w:t xml:space="preserve">Werksessie I - </w:t>
      </w:r>
      <w:r w:rsidRPr="004649E9">
        <w:rPr>
          <w:rFonts w:ascii="Verdana" w:hAnsi="Verdana"/>
          <w:b/>
          <w:bCs/>
          <w:sz w:val="18"/>
          <w:szCs w:val="18"/>
          <w:lang w:val="nl-BE"/>
        </w:rPr>
        <w:t>Duurzame benaderingen van terugkeer en</w:t>
      </w:r>
      <w:r>
        <w:rPr>
          <w:rFonts w:ascii="Verdana" w:hAnsi="Verdana"/>
          <w:b/>
          <w:bCs/>
          <w:sz w:val="18"/>
          <w:szCs w:val="18"/>
          <w:lang w:val="nl-BE"/>
        </w:rPr>
        <w:t xml:space="preserve"> herintegratie</w:t>
      </w:r>
    </w:p>
    <w:p w:rsidRPr="00B325E4" w:rsidR="00E97CC7" w:rsidP="008B619C" w:rsidRDefault="00864E86" w14:paraId="2ED6341A" w14:textId="54C85540">
      <w:pPr>
        <w:jc w:val="both"/>
        <w:rPr>
          <w:rFonts w:ascii="Verdana" w:hAnsi="Verdana"/>
          <w:sz w:val="18"/>
          <w:szCs w:val="18"/>
        </w:rPr>
      </w:pPr>
      <w:r w:rsidRPr="00864E86">
        <w:rPr>
          <w:rFonts w:ascii="Verdana" w:hAnsi="Verdana"/>
          <w:sz w:val="18"/>
          <w:szCs w:val="18"/>
        </w:rPr>
        <w:t xml:space="preserve">De </w:t>
      </w:r>
      <w:r w:rsidR="007E723D">
        <w:rPr>
          <w:rFonts w:ascii="Verdana" w:hAnsi="Verdana"/>
          <w:sz w:val="18"/>
          <w:szCs w:val="18"/>
        </w:rPr>
        <w:t xml:space="preserve">informele </w:t>
      </w:r>
      <w:r w:rsidRPr="00864E86">
        <w:rPr>
          <w:rFonts w:ascii="Verdana" w:hAnsi="Verdana"/>
          <w:sz w:val="18"/>
          <w:szCs w:val="18"/>
        </w:rPr>
        <w:t xml:space="preserve">Raad wisselde aan de hand van twee presentaties (één van de Internationale Organisatie voor Migratie (IOM) en één van </w:t>
      </w:r>
      <w:proofErr w:type="spellStart"/>
      <w:r w:rsidRPr="00864E86">
        <w:rPr>
          <w:rFonts w:ascii="Verdana" w:hAnsi="Verdana"/>
          <w:sz w:val="18"/>
          <w:szCs w:val="18"/>
        </w:rPr>
        <w:t>Frontex</w:t>
      </w:r>
      <w:proofErr w:type="spellEnd"/>
      <w:r w:rsidRPr="00864E86">
        <w:rPr>
          <w:rFonts w:ascii="Verdana" w:hAnsi="Verdana"/>
          <w:sz w:val="18"/>
          <w:szCs w:val="18"/>
        </w:rPr>
        <w:t xml:space="preserve"> over (vrijwillige) terugkeer en herintegratie) van gedachten over het bevorderen van terugkeer vanuit de EU en herintegratie in landen van herkomst. Er was brede consensus onder de lidstaten dat vrijwillige terugkeer het uitgangspunt is</w:t>
      </w:r>
      <w:r w:rsidR="007E723D">
        <w:rPr>
          <w:rFonts w:ascii="Verdana" w:hAnsi="Verdana"/>
          <w:sz w:val="18"/>
          <w:szCs w:val="18"/>
        </w:rPr>
        <w:t>,</w:t>
      </w:r>
      <w:r w:rsidRPr="00864E86">
        <w:rPr>
          <w:rFonts w:ascii="Verdana" w:hAnsi="Verdana"/>
          <w:sz w:val="18"/>
          <w:szCs w:val="18"/>
        </w:rPr>
        <w:t xml:space="preserve"> maar dat het kunnen effectueren van gedwongen vertrek noodzakelijk is voor het goed functioneren van het Europese asiel- en migratiesysteem. In dat kader benadrukte Nederland, net zoals een meerderheid van de lidstaten, het belang van het snel bereiken van een conclusie in de </w:t>
      </w:r>
      <w:proofErr w:type="spellStart"/>
      <w:r w:rsidRPr="00864E86">
        <w:rPr>
          <w:rFonts w:ascii="Verdana" w:hAnsi="Verdana"/>
          <w:sz w:val="18"/>
          <w:szCs w:val="18"/>
        </w:rPr>
        <w:t>triloog</w:t>
      </w:r>
      <w:proofErr w:type="spellEnd"/>
      <w:r w:rsidRPr="00864E86">
        <w:rPr>
          <w:rFonts w:ascii="Verdana" w:hAnsi="Verdana"/>
          <w:sz w:val="18"/>
          <w:szCs w:val="18"/>
        </w:rPr>
        <w:t xml:space="preserve"> over de terugkeerverordening. Nederland heeft, net als veel andere lidstaten, ingebracht dat alle tot de EU ter beschikking staande instrumenten (zoals brede partnerschappen, visum- en handelsinstrumenten) ingezet dienen te worden voor het verbeteren van terugkeersamenwerking met derde landen. Meerdere lidstaten onderstreepten het belang van een geïntensiveerde coördinatie en informatie-uitwisseling tussen lidstaten en een (sterkere) rol voor </w:t>
      </w:r>
      <w:proofErr w:type="spellStart"/>
      <w:r w:rsidRPr="00864E86">
        <w:rPr>
          <w:rFonts w:ascii="Verdana" w:hAnsi="Verdana"/>
          <w:sz w:val="18"/>
          <w:szCs w:val="18"/>
        </w:rPr>
        <w:t>Frontex</w:t>
      </w:r>
      <w:proofErr w:type="spellEnd"/>
      <w:r w:rsidRPr="00864E86">
        <w:rPr>
          <w:rFonts w:ascii="Verdana" w:hAnsi="Verdana"/>
          <w:sz w:val="18"/>
          <w:szCs w:val="18"/>
        </w:rPr>
        <w:t xml:space="preserve"> in de ondersteuning bij terugkeer</w:t>
      </w:r>
      <w:r w:rsidR="00673828">
        <w:rPr>
          <w:rFonts w:ascii="Verdana" w:hAnsi="Verdana"/>
          <w:sz w:val="18"/>
          <w:szCs w:val="18"/>
        </w:rPr>
        <w:t>.</w:t>
      </w:r>
    </w:p>
    <w:p w:rsidR="008B619C" w:rsidP="008B619C" w:rsidRDefault="008B619C" w14:paraId="3021D6BB" w14:textId="748B7154">
      <w:pPr>
        <w:pStyle w:val="Lijstalinea"/>
        <w:numPr>
          <w:ilvl w:val="0"/>
          <w:numId w:val="2"/>
        </w:numPr>
        <w:jc w:val="both"/>
        <w:rPr>
          <w:rFonts w:ascii="Verdana" w:hAnsi="Verdana"/>
          <w:b/>
          <w:bCs/>
          <w:sz w:val="18"/>
          <w:szCs w:val="18"/>
        </w:rPr>
      </w:pPr>
      <w:r>
        <w:rPr>
          <w:rFonts w:ascii="Verdana" w:hAnsi="Verdana"/>
          <w:b/>
          <w:bCs/>
          <w:sz w:val="18"/>
          <w:szCs w:val="18"/>
        </w:rPr>
        <w:t>Werklunch – Terugkeer naar Syrië en Afghanistan</w:t>
      </w:r>
    </w:p>
    <w:p w:rsidRPr="00D4362E" w:rsidR="00E97CC7" w:rsidP="008B619C" w:rsidRDefault="0049380C" w14:paraId="7EB5E7E7" w14:textId="0245D545">
      <w:pPr>
        <w:jc w:val="both"/>
        <w:rPr>
          <w:rFonts w:ascii="Verdana" w:hAnsi="Verdana"/>
          <w:sz w:val="18"/>
          <w:szCs w:val="18"/>
        </w:rPr>
      </w:pPr>
      <w:r w:rsidRPr="0049380C">
        <w:rPr>
          <w:rFonts w:ascii="Verdana" w:hAnsi="Verdana"/>
          <w:sz w:val="18"/>
          <w:szCs w:val="18"/>
        </w:rPr>
        <w:t xml:space="preserve">In de werklunch wisselde de </w:t>
      </w:r>
      <w:r w:rsidR="007E723D">
        <w:rPr>
          <w:rFonts w:ascii="Verdana" w:hAnsi="Verdana"/>
          <w:sz w:val="18"/>
          <w:szCs w:val="18"/>
        </w:rPr>
        <w:t xml:space="preserve">informele </w:t>
      </w:r>
      <w:r w:rsidRPr="0049380C">
        <w:rPr>
          <w:rFonts w:ascii="Verdana" w:hAnsi="Verdana"/>
          <w:sz w:val="18"/>
          <w:szCs w:val="18"/>
        </w:rPr>
        <w:t>Raad van gedachten over terugkeer naar Syrië en Afghanistan. Ten aanzien van terugkeer vanuit de EU naar Syrië was er brede consensus in de Raad dat het bevorderen van terugkeer, zowel vrijwillig als op termijn gedwongen, van belang is. De meerderheid van de lidstaten, waaronder Nederland, steunde het voorstel van het Voorzitterschap voor een gecoördineerd actieplan op Syrië. Het voorstel behelst een actieplan opgesteld door de Europese Commissie in samenwerking met de Syrische autoriteiten en gericht op een integrale aanpak om terugkeer vanuit zowel de EU als de regio te bevorderen en irreguliere migratie tegen te gaan</w:t>
      </w:r>
      <w:r w:rsidR="00751D80">
        <w:rPr>
          <w:rFonts w:ascii="Verdana" w:hAnsi="Verdana"/>
          <w:sz w:val="18"/>
          <w:szCs w:val="18"/>
        </w:rPr>
        <w:t>. Het actieplan</w:t>
      </w:r>
      <w:r w:rsidRPr="0049380C">
        <w:rPr>
          <w:rFonts w:ascii="Verdana" w:hAnsi="Verdana"/>
          <w:sz w:val="18"/>
          <w:szCs w:val="18"/>
        </w:rPr>
        <w:t xml:space="preserve"> zal daarom onder andere ook gericht zijn op het verbeteren van de socio-economische</w:t>
      </w:r>
      <w:r w:rsidR="00751D80">
        <w:rPr>
          <w:rFonts w:ascii="Verdana" w:hAnsi="Verdana"/>
          <w:sz w:val="18"/>
          <w:szCs w:val="18"/>
        </w:rPr>
        <w:t xml:space="preserve"> omstandigheden</w:t>
      </w:r>
      <w:r w:rsidRPr="0049380C">
        <w:rPr>
          <w:rFonts w:ascii="Verdana" w:hAnsi="Verdana"/>
          <w:sz w:val="18"/>
          <w:szCs w:val="18"/>
        </w:rPr>
        <w:t xml:space="preserve"> in Syrië. Verschillende lidstaten gaven aan voor zowel Syrië als Afghanistan dat de terugkeer van personen die een gevaar vormen voor de nationale veiligheid of openbare orde prioriteit heeft. Ook was er brede steun voor het bevorderen van terugkeer van </w:t>
      </w:r>
      <w:proofErr w:type="spellStart"/>
      <w:r w:rsidRPr="0049380C">
        <w:rPr>
          <w:rFonts w:ascii="Verdana" w:hAnsi="Verdana"/>
          <w:sz w:val="18"/>
          <w:szCs w:val="18"/>
        </w:rPr>
        <w:t>vertrekplichtigen</w:t>
      </w:r>
      <w:proofErr w:type="spellEnd"/>
      <w:r w:rsidRPr="0049380C">
        <w:rPr>
          <w:rFonts w:ascii="Verdana" w:hAnsi="Verdana"/>
          <w:sz w:val="18"/>
          <w:szCs w:val="18"/>
        </w:rPr>
        <w:t xml:space="preserve"> naar Afghanistan. In navolging van de gezamenlijke brief van twintig lidstaten,</w:t>
      </w:r>
      <w:r>
        <w:rPr>
          <w:rStyle w:val="Voetnootmarkering"/>
          <w:rFonts w:ascii="Verdana" w:hAnsi="Verdana"/>
          <w:sz w:val="18"/>
          <w:szCs w:val="18"/>
        </w:rPr>
        <w:footnoteReference w:id="1"/>
      </w:r>
      <w:r w:rsidRPr="0049380C">
        <w:rPr>
          <w:rFonts w:ascii="Verdana" w:hAnsi="Verdana"/>
          <w:sz w:val="18"/>
          <w:szCs w:val="18"/>
        </w:rPr>
        <w:t xml:space="preserve"> inclusief Nederland, waarin werd opgeroepen tot een EU-benadering voor het bevorderen van terugkeer naar Afghanistan, heeft de Commissie verschillende acties ondernomen</w:t>
      </w:r>
      <w:r w:rsidR="00751D80">
        <w:rPr>
          <w:rFonts w:ascii="Verdana" w:hAnsi="Verdana"/>
          <w:sz w:val="18"/>
          <w:szCs w:val="18"/>
        </w:rPr>
        <w:t>,</w:t>
      </w:r>
      <w:r w:rsidRPr="0049380C">
        <w:rPr>
          <w:rFonts w:ascii="Verdana" w:hAnsi="Verdana"/>
          <w:sz w:val="18"/>
          <w:szCs w:val="18"/>
        </w:rPr>
        <w:t xml:space="preserve"> waaronder een operationeel bezoek aan Afghanistan. </w:t>
      </w:r>
      <w:r w:rsidR="007E723D">
        <w:rPr>
          <w:rFonts w:ascii="Verdana" w:hAnsi="Verdana"/>
          <w:sz w:val="18"/>
          <w:szCs w:val="18"/>
        </w:rPr>
        <w:t>Tijdens</w:t>
      </w:r>
      <w:r w:rsidRPr="0049380C">
        <w:rPr>
          <w:rFonts w:ascii="Verdana" w:hAnsi="Verdana"/>
          <w:sz w:val="18"/>
          <w:szCs w:val="18"/>
        </w:rPr>
        <w:t xml:space="preserve"> de </w:t>
      </w:r>
      <w:r w:rsidR="007E723D">
        <w:rPr>
          <w:rFonts w:ascii="Verdana" w:hAnsi="Verdana"/>
          <w:sz w:val="18"/>
          <w:szCs w:val="18"/>
        </w:rPr>
        <w:t xml:space="preserve">informele </w:t>
      </w:r>
      <w:r w:rsidRPr="0049380C">
        <w:rPr>
          <w:rFonts w:ascii="Verdana" w:hAnsi="Verdana"/>
          <w:sz w:val="18"/>
          <w:szCs w:val="18"/>
        </w:rPr>
        <w:t xml:space="preserve">Raad werden deze activiteiten verwelkomd en sprak een meerderheid van lidstaten, waaronder Nederland, steun uit voor de continuering van de inzet van de Commissie. Nederland heeft daarnaast, net als verschillende andere lidstaten, aandacht gevraagd voor het niet normaliseren van de relatie met de </w:t>
      </w:r>
      <w:proofErr w:type="spellStart"/>
      <w:r w:rsidRPr="007E723D">
        <w:rPr>
          <w:rFonts w:ascii="Verdana" w:hAnsi="Verdana"/>
          <w:i/>
          <w:iCs/>
          <w:sz w:val="18"/>
          <w:szCs w:val="18"/>
        </w:rPr>
        <w:t>de</w:t>
      </w:r>
      <w:proofErr w:type="spellEnd"/>
      <w:r w:rsidRPr="007E723D">
        <w:rPr>
          <w:rFonts w:ascii="Verdana" w:hAnsi="Verdana"/>
          <w:i/>
          <w:iCs/>
          <w:sz w:val="18"/>
          <w:szCs w:val="18"/>
        </w:rPr>
        <w:t xml:space="preserve"> facto</w:t>
      </w:r>
      <w:r w:rsidRPr="0049380C">
        <w:rPr>
          <w:rFonts w:ascii="Verdana" w:hAnsi="Verdana"/>
          <w:sz w:val="18"/>
          <w:szCs w:val="18"/>
        </w:rPr>
        <w:t xml:space="preserve"> autoriteiten</w:t>
      </w:r>
      <w:r w:rsidRPr="00864E86" w:rsidR="00864E86">
        <w:rPr>
          <w:rFonts w:ascii="Verdana" w:hAnsi="Verdana"/>
          <w:sz w:val="18"/>
          <w:szCs w:val="18"/>
        </w:rPr>
        <w:t>.</w:t>
      </w:r>
    </w:p>
    <w:p w:rsidR="00CD5CE6" w:rsidP="00CD5CE6" w:rsidRDefault="008B619C" w14:paraId="0D5C8FE6" w14:textId="759F8547">
      <w:pPr>
        <w:pStyle w:val="Lijstalinea"/>
        <w:numPr>
          <w:ilvl w:val="0"/>
          <w:numId w:val="2"/>
        </w:numPr>
        <w:jc w:val="both"/>
        <w:rPr>
          <w:rFonts w:ascii="Verdana" w:hAnsi="Verdana"/>
          <w:b/>
          <w:bCs/>
          <w:sz w:val="18"/>
          <w:szCs w:val="18"/>
        </w:rPr>
      </w:pPr>
      <w:r>
        <w:rPr>
          <w:rFonts w:ascii="Verdana" w:hAnsi="Verdana"/>
          <w:b/>
          <w:bCs/>
          <w:sz w:val="18"/>
          <w:szCs w:val="18"/>
        </w:rPr>
        <w:t xml:space="preserve">Werksessie II - </w:t>
      </w:r>
      <w:r w:rsidRPr="00C423F6">
        <w:rPr>
          <w:rFonts w:ascii="Verdana" w:hAnsi="Verdana"/>
          <w:b/>
          <w:bCs/>
          <w:sz w:val="18"/>
          <w:szCs w:val="18"/>
        </w:rPr>
        <w:t>Versterken van het Schengengebied: Interne veiligheidsmaatregelen o</w:t>
      </w:r>
      <w:r>
        <w:rPr>
          <w:rFonts w:ascii="Verdana" w:hAnsi="Verdana"/>
          <w:b/>
          <w:bCs/>
          <w:sz w:val="18"/>
          <w:szCs w:val="18"/>
        </w:rPr>
        <w:t>m</w:t>
      </w:r>
      <w:r w:rsidRPr="00C423F6">
        <w:rPr>
          <w:rFonts w:ascii="Verdana" w:hAnsi="Verdana"/>
          <w:b/>
          <w:bCs/>
          <w:sz w:val="18"/>
          <w:szCs w:val="18"/>
        </w:rPr>
        <w:t xml:space="preserve"> secundaire migratie binnen Schengen te</w:t>
      </w:r>
      <w:r>
        <w:rPr>
          <w:rFonts w:ascii="Verdana" w:hAnsi="Verdana"/>
          <w:b/>
          <w:bCs/>
          <w:sz w:val="18"/>
          <w:szCs w:val="18"/>
        </w:rPr>
        <w:t xml:space="preserve"> voorkomen</w:t>
      </w:r>
    </w:p>
    <w:p w:rsidRPr="00062DE9" w:rsidR="00E97CC7" w:rsidP="00864E86" w:rsidRDefault="00864E86" w14:paraId="4EC43C8A" w14:textId="7E8B1A4F">
      <w:pPr>
        <w:jc w:val="both"/>
        <w:rPr>
          <w:rFonts w:ascii="Verdana" w:hAnsi="Verdana"/>
          <w:sz w:val="18"/>
          <w:szCs w:val="18"/>
        </w:rPr>
      </w:pPr>
      <w:r w:rsidRPr="00864E86">
        <w:rPr>
          <w:rFonts w:ascii="Verdana" w:hAnsi="Verdana"/>
          <w:sz w:val="18"/>
          <w:szCs w:val="18"/>
        </w:rPr>
        <w:t>Het Cypriotisch</w:t>
      </w:r>
      <w:r w:rsidR="007E723D">
        <w:rPr>
          <w:rFonts w:ascii="Verdana" w:hAnsi="Verdana"/>
          <w:sz w:val="18"/>
          <w:szCs w:val="18"/>
        </w:rPr>
        <w:t>e</w:t>
      </w:r>
      <w:r w:rsidRPr="00864E86">
        <w:rPr>
          <w:rFonts w:ascii="Verdana" w:hAnsi="Verdana"/>
          <w:sz w:val="18"/>
          <w:szCs w:val="18"/>
        </w:rPr>
        <w:t xml:space="preserve"> </w:t>
      </w:r>
      <w:r w:rsidR="007E723D">
        <w:rPr>
          <w:rFonts w:ascii="Verdana" w:hAnsi="Verdana"/>
          <w:sz w:val="18"/>
          <w:szCs w:val="18"/>
        </w:rPr>
        <w:t>v</w:t>
      </w:r>
      <w:r w:rsidRPr="00864E86">
        <w:rPr>
          <w:rFonts w:ascii="Verdana" w:hAnsi="Verdana"/>
          <w:sz w:val="18"/>
          <w:szCs w:val="18"/>
        </w:rPr>
        <w:t xml:space="preserve">oorzitterschap gaf in deze sessie een presentatie over de nationale maatregelen ten behoeve van het tegengaan van secundaire migratie. De Raad wisselde tegen deze achtergrond van gedachten over de mogelijke interne veiligheidsmaatregelen om secundaire migratie binnen het Schengengebied tegen te gaan. De Commissie stond in dit kader positief stil bij de eerste resultaten sinds de start van de gefaseerde livegang van het </w:t>
      </w:r>
      <w:r w:rsidRPr="003E50E9">
        <w:rPr>
          <w:rFonts w:ascii="Verdana" w:hAnsi="Verdana"/>
          <w:i/>
          <w:iCs/>
          <w:sz w:val="18"/>
          <w:szCs w:val="18"/>
        </w:rPr>
        <w:t>Entry Exit Systeem</w:t>
      </w:r>
      <w:r w:rsidRPr="00864E86">
        <w:rPr>
          <w:rFonts w:ascii="Verdana" w:hAnsi="Verdana"/>
          <w:sz w:val="18"/>
          <w:szCs w:val="18"/>
        </w:rPr>
        <w:t>. Daarnaast benadrukte de Commissie het belang van de effectieve implementatie van het Pact en legde</w:t>
      </w:r>
      <w:r w:rsidR="00751D80">
        <w:rPr>
          <w:rFonts w:ascii="Verdana" w:hAnsi="Verdana"/>
          <w:sz w:val="18"/>
          <w:szCs w:val="18"/>
        </w:rPr>
        <w:t xml:space="preserve"> zij</w:t>
      </w:r>
      <w:r w:rsidRPr="00864E86">
        <w:rPr>
          <w:rFonts w:ascii="Verdana" w:hAnsi="Verdana"/>
          <w:sz w:val="18"/>
          <w:szCs w:val="18"/>
        </w:rPr>
        <w:t xml:space="preserve"> in deze context de nadruk op de implementatie van </w:t>
      </w:r>
      <w:proofErr w:type="spellStart"/>
      <w:r w:rsidRPr="00864E86">
        <w:rPr>
          <w:rFonts w:ascii="Verdana" w:hAnsi="Verdana"/>
          <w:sz w:val="18"/>
          <w:szCs w:val="18"/>
        </w:rPr>
        <w:t>Eurodac</w:t>
      </w:r>
      <w:proofErr w:type="spellEnd"/>
      <w:r w:rsidRPr="00864E86">
        <w:rPr>
          <w:rFonts w:ascii="Verdana" w:hAnsi="Verdana"/>
          <w:sz w:val="18"/>
          <w:szCs w:val="18"/>
        </w:rPr>
        <w:t xml:space="preserve"> en screening procedures. Dit belang werd door meerdere </w:t>
      </w:r>
      <w:r w:rsidRPr="00864E86">
        <w:rPr>
          <w:rFonts w:ascii="Verdana" w:hAnsi="Verdana"/>
          <w:sz w:val="18"/>
          <w:szCs w:val="18"/>
        </w:rPr>
        <w:lastRenderedPageBreak/>
        <w:t>lidstaten beaamd. Ook benadrukte de Commissie het nut van regionale samenwerkingsverbanden, waaronder op het gebied van informatie-uitwisseling en gezamenlijke bilaterale en regionale politieoperaties en -samenwerking. Op dit punt was er in de Raad brede overeenstemming.  Een deel van de lidstaten sprak zich negatief uit over het continueren van de binnengrenscontroles. Een ander deel van de lidstaten benadrukte dat deze binnengrenscontroles op dit moment nog noodzakelijk zijn. Ook vroeg een meerderheid van de lidstaten aandacht voor het versterken van de buitengrenzen</w:t>
      </w:r>
      <w:r w:rsidR="0049380C">
        <w:rPr>
          <w:rFonts w:ascii="Verdana" w:hAnsi="Verdana"/>
          <w:sz w:val="18"/>
          <w:szCs w:val="18"/>
        </w:rPr>
        <w:t>.</w:t>
      </w:r>
      <w:r w:rsidR="007E723D">
        <w:rPr>
          <w:rFonts w:ascii="Verdana" w:hAnsi="Verdana"/>
          <w:sz w:val="18"/>
          <w:szCs w:val="18"/>
        </w:rPr>
        <w:t xml:space="preserve"> </w:t>
      </w:r>
    </w:p>
    <w:p w:rsidR="008B619C" w:rsidP="008B619C" w:rsidRDefault="008B619C" w14:paraId="0DEBD282" w14:textId="77777777">
      <w:pPr>
        <w:jc w:val="both"/>
        <w:rPr>
          <w:rFonts w:ascii="Verdana" w:hAnsi="Verdana"/>
          <w:b/>
          <w:bCs/>
          <w:sz w:val="18"/>
          <w:szCs w:val="18"/>
        </w:rPr>
      </w:pPr>
    </w:p>
    <w:p w:rsidRPr="00527A86" w:rsidR="00527A86" w:rsidP="00527A86" w:rsidRDefault="008B619C" w14:paraId="39CE2B33" w14:textId="7C742792">
      <w:pPr>
        <w:pStyle w:val="Lijstalinea"/>
        <w:numPr>
          <w:ilvl w:val="0"/>
          <w:numId w:val="1"/>
        </w:numPr>
        <w:jc w:val="both"/>
        <w:rPr>
          <w:rFonts w:ascii="Verdana" w:hAnsi="Verdana"/>
          <w:b/>
          <w:bCs/>
        </w:rPr>
      </w:pPr>
      <w:r>
        <w:rPr>
          <w:rFonts w:ascii="Verdana" w:hAnsi="Verdana"/>
          <w:b/>
          <w:bCs/>
        </w:rPr>
        <w:t>Justitie</w:t>
      </w:r>
      <w:r w:rsidR="00527A86">
        <w:rPr>
          <w:rFonts w:ascii="Verdana" w:hAnsi="Verdana"/>
          <w:b/>
          <w:bCs/>
        </w:rPr>
        <w:br/>
      </w:r>
    </w:p>
    <w:p w:rsidR="008B619C" w:rsidP="008B619C" w:rsidRDefault="008B619C" w14:paraId="08C7A4DB" w14:textId="7135CE0E">
      <w:pPr>
        <w:pStyle w:val="Lijstalinea"/>
        <w:numPr>
          <w:ilvl w:val="0"/>
          <w:numId w:val="3"/>
        </w:numPr>
        <w:jc w:val="both"/>
        <w:rPr>
          <w:rFonts w:ascii="Verdana" w:hAnsi="Verdana"/>
          <w:b/>
          <w:bCs/>
          <w:sz w:val="18"/>
          <w:szCs w:val="18"/>
        </w:rPr>
      </w:pPr>
      <w:r>
        <w:rPr>
          <w:rFonts w:ascii="Verdana" w:hAnsi="Verdana"/>
          <w:b/>
          <w:bCs/>
          <w:sz w:val="18"/>
          <w:szCs w:val="18"/>
        </w:rPr>
        <w:t xml:space="preserve">Werksessie I - </w:t>
      </w:r>
      <w:r w:rsidRPr="004649E9">
        <w:rPr>
          <w:rFonts w:ascii="Verdana" w:hAnsi="Verdana"/>
          <w:b/>
          <w:bCs/>
          <w:sz w:val="18"/>
          <w:szCs w:val="18"/>
        </w:rPr>
        <w:t xml:space="preserve">Versterking van </w:t>
      </w:r>
      <w:r>
        <w:rPr>
          <w:rFonts w:ascii="Verdana" w:hAnsi="Verdana"/>
          <w:b/>
          <w:bCs/>
          <w:sz w:val="18"/>
          <w:szCs w:val="18"/>
        </w:rPr>
        <w:t>confiscatie</w:t>
      </w:r>
      <w:r w:rsidR="00751D80">
        <w:rPr>
          <w:rFonts w:ascii="Verdana" w:hAnsi="Verdana"/>
          <w:b/>
          <w:bCs/>
          <w:sz w:val="18"/>
          <w:szCs w:val="18"/>
        </w:rPr>
        <w:t xml:space="preserve"> van</w:t>
      </w:r>
      <w:r>
        <w:rPr>
          <w:rFonts w:ascii="Verdana" w:hAnsi="Verdana"/>
          <w:b/>
          <w:bCs/>
          <w:sz w:val="18"/>
          <w:szCs w:val="18"/>
        </w:rPr>
        <w:t xml:space="preserve"> crimineel vermogen</w:t>
      </w:r>
      <w:r w:rsidRPr="004649E9">
        <w:rPr>
          <w:rFonts w:ascii="Verdana" w:hAnsi="Verdana"/>
          <w:b/>
          <w:bCs/>
          <w:sz w:val="18"/>
          <w:szCs w:val="18"/>
        </w:rPr>
        <w:t xml:space="preserve"> in een veranderend financiee</w:t>
      </w:r>
      <w:r>
        <w:rPr>
          <w:rFonts w:ascii="Verdana" w:hAnsi="Verdana"/>
          <w:b/>
          <w:bCs/>
          <w:sz w:val="18"/>
          <w:szCs w:val="18"/>
        </w:rPr>
        <w:t>l landschap</w:t>
      </w:r>
    </w:p>
    <w:p w:rsidR="006C36CC" w:rsidP="008B619C" w:rsidRDefault="00863639" w14:paraId="1265DBAF" w14:textId="692D397D">
      <w:pPr>
        <w:jc w:val="both"/>
        <w:rPr>
          <w:rFonts w:ascii="Verdana" w:hAnsi="Verdana"/>
          <w:sz w:val="18"/>
          <w:szCs w:val="18"/>
        </w:rPr>
      </w:pPr>
      <w:r>
        <w:rPr>
          <w:rFonts w:ascii="Verdana" w:hAnsi="Verdana"/>
          <w:sz w:val="18"/>
          <w:szCs w:val="18"/>
        </w:rPr>
        <w:t xml:space="preserve">Tijdens de </w:t>
      </w:r>
      <w:r w:rsidR="00712BB7">
        <w:rPr>
          <w:rFonts w:ascii="Verdana" w:hAnsi="Verdana"/>
          <w:sz w:val="18"/>
          <w:szCs w:val="18"/>
        </w:rPr>
        <w:t>informele JBZ-</w:t>
      </w:r>
      <w:r>
        <w:rPr>
          <w:rFonts w:ascii="Verdana" w:hAnsi="Verdana"/>
          <w:sz w:val="18"/>
          <w:szCs w:val="18"/>
        </w:rPr>
        <w:t xml:space="preserve">Raad vond er een gedachtewisseling plaats over de versterking van confiscatie in een veranderend financieel landschap. </w:t>
      </w:r>
      <w:r w:rsidRPr="00172167" w:rsidR="00172167">
        <w:rPr>
          <w:rFonts w:ascii="Verdana" w:hAnsi="Verdana"/>
          <w:sz w:val="18"/>
          <w:szCs w:val="18"/>
        </w:rPr>
        <w:t>Tijdens de gedachtewisseling werden lidstaten gevraagd te reflecteren op de vraag of het bestaande strafrechtelijke instrumentarium volstaat in het licht van nieuwe financiële risico’s</w:t>
      </w:r>
      <w:r w:rsidR="008D0CC6">
        <w:rPr>
          <w:rFonts w:ascii="Verdana" w:hAnsi="Verdana"/>
          <w:sz w:val="18"/>
          <w:szCs w:val="18"/>
        </w:rPr>
        <w:t>,</w:t>
      </w:r>
      <w:r w:rsidRPr="00172167" w:rsidR="00172167">
        <w:rPr>
          <w:rFonts w:ascii="Verdana" w:hAnsi="Verdana"/>
          <w:sz w:val="18"/>
          <w:szCs w:val="18"/>
        </w:rPr>
        <w:t xml:space="preserve"> en of publiek-private samenwerking op EU-niveau verder moet worden versterkt.</w:t>
      </w:r>
      <w:r w:rsidR="00172167">
        <w:rPr>
          <w:rFonts w:ascii="Verdana" w:hAnsi="Verdana"/>
          <w:sz w:val="18"/>
          <w:szCs w:val="18"/>
        </w:rPr>
        <w:t xml:space="preserve"> </w:t>
      </w:r>
      <w:r>
        <w:rPr>
          <w:rFonts w:ascii="Verdana" w:hAnsi="Verdana"/>
          <w:sz w:val="18"/>
          <w:szCs w:val="18"/>
        </w:rPr>
        <w:t xml:space="preserve">Een grote groep lidstaten, waaronder Nederland, </w:t>
      </w:r>
      <w:r w:rsidR="00172167">
        <w:rPr>
          <w:rFonts w:ascii="Verdana" w:hAnsi="Verdana"/>
          <w:sz w:val="18"/>
          <w:szCs w:val="18"/>
        </w:rPr>
        <w:t xml:space="preserve">gaf </w:t>
      </w:r>
      <w:r>
        <w:rPr>
          <w:rFonts w:ascii="Verdana" w:hAnsi="Verdana"/>
          <w:sz w:val="18"/>
          <w:szCs w:val="18"/>
        </w:rPr>
        <w:t>aan dat</w:t>
      </w:r>
      <w:r w:rsidR="008D0CC6">
        <w:rPr>
          <w:rFonts w:ascii="Verdana" w:hAnsi="Verdana"/>
          <w:sz w:val="18"/>
          <w:szCs w:val="18"/>
        </w:rPr>
        <w:t xml:space="preserve"> de</w:t>
      </w:r>
      <w:r>
        <w:rPr>
          <w:rFonts w:ascii="Verdana" w:hAnsi="Verdana"/>
          <w:sz w:val="18"/>
          <w:szCs w:val="18"/>
        </w:rPr>
        <w:t xml:space="preserve"> </w:t>
      </w:r>
      <w:r w:rsidR="001B09D6">
        <w:rPr>
          <w:rFonts w:ascii="Verdana" w:hAnsi="Verdana"/>
          <w:sz w:val="18"/>
          <w:szCs w:val="18"/>
        </w:rPr>
        <w:t xml:space="preserve">huidige </w:t>
      </w:r>
      <w:r>
        <w:rPr>
          <w:rFonts w:ascii="Verdana" w:hAnsi="Verdana"/>
          <w:sz w:val="18"/>
          <w:szCs w:val="18"/>
        </w:rPr>
        <w:t>regelgeving</w:t>
      </w:r>
      <w:r w:rsidRPr="00712BB7" w:rsidR="00712BB7">
        <w:rPr>
          <w:rFonts w:ascii="Verdana" w:hAnsi="Verdana"/>
          <w:sz w:val="18"/>
          <w:szCs w:val="18"/>
        </w:rPr>
        <w:t xml:space="preserve"> </w:t>
      </w:r>
      <w:r>
        <w:rPr>
          <w:rFonts w:ascii="Verdana" w:hAnsi="Verdana"/>
          <w:sz w:val="18"/>
          <w:szCs w:val="18"/>
        </w:rPr>
        <w:t>op dit terrein</w:t>
      </w:r>
      <w:r w:rsidR="00712BB7">
        <w:rPr>
          <w:rFonts w:ascii="Verdana" w:hAnsi="Verdana"/>
          <w:sz w:val="18"/>
          <w:szCs w:val="18"/>
        </w:rPr>
        <w:t>, zoals h</w:t>
      </w:r>
      <w:r w:rsidRPr="00712BB7" w:rsidR="00712BB7">
        <w:rPr>
          <w:rFonts w:ascii="Verdana" w:hAnsi="Verdana"/>
          <w:sz w:val="18"/>
          <w:szCs w:val="18"/>
        </w:rPr>
        <w:t xml:space="preserve">et </w:t>
      </w:r>
      <w:r w:rsidRPr="00751D80" w:rsidR="00712BB7">
        <w:rPr>
          <w:rFonts w:ascii="Verdana" w:hAnsi="Verdana"/>
          <w:i/>
          <w:iCs/>
          <w:sz w:val="18"/>
          <w:szCs w:val="18"/>
        </w:rPr>
        <w:t xml:space="preserve">anti-money </w:t>
      </w:r>
      <w:proofErr w:type="spellStart"/>
      <w:r w:rsidRPr="00751D80" w:rsidR="00712BB7">
        <w:rPr>
          <w:rFonts w:ascii="Verdana" w:hAnsi="Verdana"/>
          <w:i/>
          <w:iCs/>
          <w:sz w:val="18"/>
          <w:szCs w:val="18"/>
        </w:rPr>
        <w:t>laundering</w:t>
      </w:r>
      <w:proofErr w:type="spellEnd"/>
      <w:r w:rsidRPr="00751D80" w:rsidR="00712BB7">
        <w:rPr>
          <w:rFonts w:ascii="Verdana" w:hAnsi="Verdana"/>
          <w:i/>
          <w:iCs/>
          <w:sz w:val="18"/>
          <w:szCs w:val="18"/>
        </w:rPr>
        <w:t xml:space="preserve"> package</w:t>
      </w:r>
      <w:r w:rsidRPr="00712BB7" w:rsidR="00712BB7">
        <w:rPr>
          <w:rFonts w:ascii="Verdana" w:hAnsi="Verdana"/>
          <w:sz w:val="18"/>
          <w:szCs w:val="18"/>
        </w:rPr>
        <w:t xml:space="preserve"> (AML-pakket)</w:t>
      </w:r>
      <w:r w:rsidR="00712BB7">
        <w:rPr>
          <w:rFonts w:ascii="Verdana" w:hAnsi="Verdana"/>
          <w:sz w:val="18"/>
          <w:szCs w:val="18"/>
        </w:rPr>
        <w:t xml:space="preserve"> en de Confiscatierichtlijn,</w:t>
      </w:r>
      <w:r>
        <w:rPr>
          <w:rFonts w:ascii="Verdana" w:hAnsi="Verdana"/>
          <w:sz w:val="18"/>
          <w:szCs w:val="18"/>
        </w:rPr>
        <w:t xml:space="preserve"> nog geïmplementeerd moet worden en dat het om die reden</w:t>
      </w:r>
      <w:r w:rsidR="008D0CC6">
        <w:rPr>
          <w:rFonts w:ascii="Verdana" w:hAnsi="Verdana"/>
          <w:sz w:val="18"/>
          <w:szCs w:val="18"/>
        </w:rPr>
        <w:t xml:space="preserve"> op dit moment</w:t>
      </w:r>
      <w:r>
        <w:rPr>
          <w:rFonts w:ascii="Verdana" w:hAnsi="Verdana"/>
          <w:sz w:val="18"/>
          <w:szCs w:val="18"/>
        </w:rPr>
        <w:t xml:space="preserve"> te vroeg</w:t>
      </w:r>
      <w:r w:rsidR="008D0CC6">
        <w:rPr>
          <w:rFonts w:ascii="Verdana" w:hAnsi="Verdana"/>
          <w:sz w:val="18"/>
          <w:szCs w:val="18"/>
        </w:rPr>
        <w:t xml:space="preserve"> is</w:t>
      </w:r>
      <w:r>
        <w:rPr>
          <w:rFonts w:ascii="Verdana" w:hAnsi="Verdana"/>
          <w:sz w:val="18"/>
          <w:szCs w:val="18"/>
        </w:rPr>
        <w:t xml:space="preserve"> </w:t>
      </w:r>
      <w:r w:rsidR="001B09D6">
        <w:rPr>
          <w:rFonts w:ascii="Verdana" w:hAnsi="Verdana"/>
          <w:sz w:val="18"/>
          <w:szCs w:val="18"/>
        </w:rPr>
        <w:t>voor</w:t>
      </w:r>
      <w:r>
        <w:rPr>
          <w:rFonts w:ascii="Verdana" w:hAnsi="Verdana"/>
          <w:sz w:val="18"/>
          <w:szCs w:val="18"/>
        </w:rPr>
        <w:t xml:space="preserve"> nieuwe regelgeving. </w:t>
      </w:r>
      <w:r w:rsidR="008D0CC6">
        <w:rPr>
          <w:rFonts w:ascii="Verdana" w:hAnsi="Verdana"/>
          <w:sz w:val="18"/>
          <w:szCs w:val="18"/>
        </w:rPr>
        <w:t xml:space="preserve">Hierbij </w:t>
      </w:r>
      <w:r>
        <w:rPr>
          <w:rFonts w:ascii="Verdana" w:hAnsi="Verdana"/>
          <w:sz w:val="18"/>
          <w:szCs w:val="18"/>
        </w:rPr>
        <w:t>onderstre</w:t>
      </w:r>
      <w:r w:rsidR="008D0CC6">
        <w:rPr>
          <w:rFonts w:ascii="Verdana" w:hAnsi="Verdana"/>
          <w:sz w:val="18"/>
          <w:szCs w:val="18"/>
        </w:rPr>
        <w:t>epten</w:t>
      </w:r>
      <w:r>
        <w:rPr>
          <w:rFonts w:ascii="Verdana" w:hAnsi="Verdana"/>
          <w:sz w:val="18"/>
          <w:szCs w:val="18"/>
        </w:rPr>
        <w:t xml:space="preserve"> de lidstaten </w:t>
      </w:r>
      <w:r w:rsidR="008D0CC6">
        <w:rPr>
          <w:rFonts w:ascii="Verdana" w:hAnsi="Verdana"/>
          <w:sz w:val="18"/>
          <w:szCs w:val="18"/>
        </w:rPr>
        <w:t xml:space="preserve">het belang </w:t>
      </w:r>
      <w:r>
        <w:rPr>
          <w:rFonts w:ascii="Verdana" w:hAnsi="Verdana"/>
          <w:sz w:val="18"/>
          <w:szCs w:val="18"/>
        </w:rPr>
        <w:t xml:space="preserve">dat de implementatie voortvarend </w:t>
      </w:r>
      <w:r w:rsidR="008D0CC6">
        <w:rPr>
          <w:rFonts w:ascii="Verdana" w:hAnsi="Verdana"/>
          <w:sz w:val="18"/>
          <w:szCs w:val="18"/>
        </w:rPr>
        <w:t>wordt</w:t>
      </w:r>
      <w:r>
        <w:rPr>
          <w:rFonts w:ascii="Verdana" w:hAnsi="Verdana"/>
          <w:sz w:val="18"/>
          <w:szCs w:val="18"/>
        </w:rPr>
        <w:t xml:space="preserve"> afgerond en de werking ervan gemonitord en geëvalueerd </w:t>
      </w:r>
      <w:r w:rsidR="008D0CC6">
        <w:rPr>
          <w:rFonts w:ascii="Verdana" w:hAnsi="Verdana"/>
          <w:sz w:val="18"/>
          <w:szCs w:val="18"/>
        </w:rPr>
        <w:t>wordt</w:t>
      </w:r>
      <w:r>
        <w:rPr>
          <w:rFonts w:ascii="Verdana" w:hAnsi="Verdana"/>
          <w:sz w:val="18"/>
          <w:szCs w:val="18"/>
        </w:rPr>
        <w:t xml:space="preserve">. </w:t>
      </w:r>
    </w:p>
    <w:p w:rsidR="006C36CC" w:rsidP="008B619C" w:rsidRDefault="00364892" w14:paraId="47DDDDD8" w14:textId="5D0540AA">
      <w:pPr>
        <w:jc w:val="both"/>
        <w:rPr>
          <w:rFonts w:ascii="Verdana" w:hAnsi="Verdana"/>
          <w:sz w:val="18"/>
          <w:szCs w:val="18"/>
        </w:rPr>
      </w:pPr>
      <w:proofErr w:type="spellStart"/>
      <w:r w:rsidRPr="00364892">
        <w:rPr>
          <w:rFonts w:ascii="Verdana" w:hAnsi="Verdana"/>
          <w:sz w:val="18"/>
          <w:szCs w:val="18"/>
        </w:rPr>
        <w:t>Eurojust</w:t>
      </w:r>
      <w:proofErr w:type="spellEnd"/>
      <w:r w:rsidRPr="00364892">
        <w:rPr>
          <w:rFonts w:ascii="Verdana" w:hAnsi="Verdana"/>
          <w:sz w:val="18"/>
          <w:szCs w:val="18"/>
        </w:rPr>
        <w:t xml:space="preserve"> benadrukt</w:t>
      </w:r>
      <w:r w:rsidR="00172167">
        <w:rPr>
          <w:rFonts w:ascii="Verdana" w:hAnsi="Verdana"/>
          <w:sz w:val="18"/>
          <w:szCs w:val="18"/>
        </w:rPr>
        <w:t>e</w:t>
      </w:r>
      <w:r w:rsidRPr="00364892">
        <w:rPr>
          <w:rFonts w:ascii="Verdana" w:hAnsi="Verdana"/>
          <w:sz w:val="18"/>
          <w:szCs w:val="18"/>
        </w:rPr>
        <w:t xml:space="preserve"> dat een gebrek aan snelheid het grootste obstakel vormt bij de </w:t>
      </w:r>
      <w:r w:rsidR="008D0CC6">
        <w:rPr>
          <w:rFonts w:ascii="Verdana" w:hAnsi="Verdana"/>
          <w:sz w:val="18"/>
          <w:szCs w:val="18"/>
        </w:rPr>
        <w:t>confiscatie</w:t>
      </w:r>
      <w:r w:rsidRPr="00364892" w:rsidR="008D0CC6">
        <w:rPr>
          <w:rFonts w:ascii="Verdana" w:hAnsi="Verdana"/>
          <w:sz w:val="18"/>
          <w:szCs w:val="18"/>
        </w:rPr>
        <w:t xml:space="preserve"> </w:t>
      </w:r>
      <w:r w:rsidRPr="00364892">
        <w:rPr>
          <w:rFonts w:ascii="Verdana" w:hAnsi="Verdana"/>
          <w:sz w:val="18"/>
          <w:szCs w:val="18"/>
        </w:rPr>
        <w:t xml:space="preserve">van crimineel vermogen. Door de gemakkelijke en snelle opening van nieuwe rekeningen is effectieve confiscatie vaak te laat. Om dit tegen te gaan, is snelle informatie-uitwisseling tussen </w:t>
      </w:r>
      <w:r w:rsidRPr="003E50E9">
        <w:rPr>
          <w:rFonts w:ascii="Verdana" w:hAnsi="Verdana"/>
          <w:i/>
          <w:iCs/>
          <w:sz w:val="18"/>
          <w:szCs w:val="18"/>
        </w:rPr>
        <w:t>Financial Intelligence Units</w:t>
      </w:r>
      <w:r w:rsidRPr="00364892">
        <w:rPr>
          <w:rFonts w:ascii="Verdana" w:hAnsi="Verdana"/>
          <w:sz w:val="18"/>
          <w:szCs w:val="18"/>
        </w:rPr>
        <w:t xml:space="preserve"> (</w:t>
      </w:r>
      <w:proofErr w:type="spellStart"/>
      <w:r w:rsidRPr="00364892">
        <w:rPr>
          <w:rFonts w:ascii="Verdana" w:hAnsi="Verdana"/>
          <w:sz w:val="18"/>
          <w:szCs w:val="18"/>
        </w:rPr>
        <w:t>FIUs</w:t>
      </w:r>
      <w:proofErr w:type="spellEnd"/>
      <w:r w:rsidRPr="00364892">
        <w:rPr>
          <w:rFonts w:ascii="Verdana" w:hAnsi="Verdana"/>
          <w:sz w:val="18"/>
          <w:szCs w:val="18"/>
        </w:rPr>
        <w:t>) essentieel</w:t>
      </w:r>
      <w:r w:rsidR="008D0CC6">
        <w:rPr>
          <w:rFonts w:ascii="Verdana" w:hAnsi="Verdana"/>
          <w:sz w:val="18"/>
          <w:szCs w:val="18"/>
        </w:rPr>
        <w:t>;</w:t>
      </w:r>
      <w:r>
        <w:rPr>
          <w:rFonts w:ascii="Verdana" w:hAnsi="Verdana"/>
          <w:sz w:val="18"/>
          <w:szCs w:val="18"/>
        </w:rPr>
        <w:t xml:space="preserve"> </w:t>
      </w:r>
      <w:r w:rsidRPr="00364892">
        <w:rPr>
          <w:rFonts w:ascii="Verdana" w:hAnsi="Verdana"/>
          <w:sz w:val="18"/>
          <w:szCs w:val="18"/>
        </w:rPr>
        <w:t>een taak die door de Autoriteit voor de Bestrijding van Witwassen (AMLA) wordt gefaciliteerd.</w:t>
      </w:r>
      <w:r>
        <w:rPr>
          <w:rFonts w:ascii="Verdana" w:hAnsi="Verdana"/>
          <w:sz w:val="18"/>
          <w:szCs w:val="18"/>
        </w:rPr>
        <w:t xml:space="preserve"> </w:t>
      </w:r>
    </w:p>
    <w:p w:rsidR="00863639" w:rsidP="008B619C" w:rsidRDefault="00863639" w14:paraId="36769F1B" w14:textId="792EEEC3">
      <w:pPr>
        <w:jc w:val="both"/>
        <w:rPr>
          <w:rFonts w:ascii="Verdana" w:hAnsi="Verdana"/>
          <w:sz w:val="18"/>
          <w:szCs w:val="18"/>
        </w:rPr>
      </w:pPr>
      <w:r>
        <w:rPr>
          <w:rFonts w:ascii="Verdana" w:hAnsi="Verdana"/>
          <w:sz w:val="18"/>
          <w:szCs w:val="18"/>
        </w:rPr>
        <w:t xml:space="preserve">In een </w:t>
      </w:r>
      <w:r w:rsidR="007E723D">
        <w:rPr>
          <w:rFonts w:ascii="Verdana" w:hAnsi="Verdana"/>
          <w:sz w:val="18"/>
          <w:szCs w:val="18"/>
        </w:rPr>
        <w:t xml:space="preserve">eerder </w:t>
      </w:r>
      <w:r>
        <w:rPr>
          <w:rFonts w:ascii="Verdana" w:hAnsi="Verdana"/>
          <w:sz w:val="18"/>
          <w:szCs w:val="18"/>
        </w:rPr>
        <w:t xml:space="preserve">Belgisch non-paper zijn mogelijke praktische oplossingen </w:t>
      </w:r>
      <w:r w:rsidR="00712BB7">
        <w:rPr>
          <w:rFonts w:ascii="Verdana" w:hAnsi="Verdana"/>
          <w:sz w:val="18"/>
          <w:szCs w:val="18"/>
        </w:rPr>
        <w:t>voorgesteld</w:t>
      </w:r>
      <w:r>
        <w:rPr>
          <w:rFonts w:ascii="Verdana" w:hAnsi="Verdana"/>
          <w:sz w:val="18"/>
          <w:szCs w:val="18"/>
        </w:rPr>
        <w:t xml:space="preserve">. </w:t>
      </w:r>
      <w:r w:rsidR="00172167">
        <w:rPr>
          <w:rFonts w:ascii="Verdana" w:hAnsi="Verdana"/>
          <w:sz w:val="18"/>
          <w:szCs w:val="18"/>
        </w:rPr>
        <w:t xml:space="preserve">In dit kader </w:t>
      </w:r>
      <w:r w:rsidRPr="004D4275" w:rsidR="004D4275">
        <w:rPr>
          <w:rFonts w:ascii="Verdana" w:hAnsi="Verdana"/>
          <w:sz w:val="18"/>
          <w:szCs w:val="18"/>
        </w:rPr>
        <w:t>stel</w:t>
      </w:r>
      <w:r w:rsidR="00751D80">
        <w:rPr>
          <w:rFonts w:ascii="Verdana" w:hAnsi="Verdana"/>
          <w:sz w:val="18"/>
          <w:szCs w:val="18"/>
        </w:rPr>
        <w:t>de</w:t>
      </w:r>
      <w:r w:rsidRPr="004D4275" w:rsidR="004D4275">
        <w:rPr>
          <w:rFonts w:ascii="Verdana" w:hAnsi="Verdana"/>
          <w:sz w:val="18"/>
          <w:szCs w:val="18"/>
        </w:rPr>
        <w:t xml:space="preserve"> Nederland</w:t>
      </w:r>
      <w:r w:rsidR="00751D80">
        <w:rPr>
          <w:rFonts w:ascii="Verdana" w:hAnsi="Verdana"/>
          <w:sz w:val="18"/>
          <w:szCs w:val="18"/>
        </w:rPr>
        <w:t>,</w:t>
      </w:r>
      <w:r w:rsidRPr="004D4275" w:rsidR="004D4275">
        <w:rPr>
          <w:rFonts w:ascii="Verdana" w:hAnsi="Verdana"/>
          <w:sz w:val="18"/>
          <w:szCs w:val="18"/>
        </w:rPr>
        <w:t xml:space="preserve"> </w:t>
      </w:r>
      <w:r w:rsidR="00751D80">
        <w:rPr>
          <w:rFonts w:ascii="Verdana" w:hAnsi="Verdana"/>
          <w:sz w:val="18"/>
          <w:szCs w:val="18"/>
        </w:rPr>
        <w:t>met steun van enkele lidstaten,</w:t>
      </w:r>
      <w:r w:rsidRPr="004D4275" w:rsidR="00751D80">
        <w:rPr>
          <w:rFonts w:ascii="Verdana" w:hAnsi="Verdana"/>
          <w:sz w:val="18"/>
          <w:szCs w:val="18"/>
        </w:rPr>
        <w:t xml:space="preserve"> </w:t>
      </w:r>
      <w:r w:rsidRPr="004D4275" w:rsidR="004D4275">
        <w:rPr>
          <w:rFonts w:ascii="Verdana" w:hAnsi="Verdana"/>
          <w:sz w:val="18"/>
          <w:szCs w:val="18"/>
        </w:rPr>
        <w:t>voor om door te spreken over dit onderwerp, bijvoorbeeld in een expertbijeenkomst over de inhoud van dit non-paper</w:t>
      </w:r>
      <w:r>
        <w:rPr>
          <w:rFonts w:ascii="Verdana" w:hAnsi="Verdana"/>
          <w:sz w:val="18"/>
          <w:szCs w:val="18"/>
        </w:rPr>
        <w:t xml:space="preserve">. </w:t>
      </w:r>
      <w:r w:rsidRPr="0086554E" w:rsidR="0086554E">
        <w:rPr>
          <w:rFonts w:ascii="Verdana" w:hAnsi="Verdana"/>
          <w:sz w:val="18"/>
          <w:szCs w:val="18"/>
        </w:rPr>
        <w:t xml:space="preserve">Daarnaast streeft </w:t>
      </w:r>
      <w:r w:rsidR="00172167">
        <w:rPr>
          <w:rFonts w:ascii="Verdana" w:hAnsi="Verdana"/>
          <w:sz w:val="18"/>
          <w:szCs w:val="18"/>
        </w:rPr>
        <w:t>Nederland</w:t>
      </w:r>
      <w:r w:rsidRPr="0086554E" w:rsidR="00172167">
        <w:rPr>
          <w:rFonts w:ascii="Verdana" w:hAnsi="Verdana"/>
          <w:sz w:val="18"/>
          <w:szCs w:val="18"/>
        </w:rPr>
        <w:t xml:space="preserve"> </w:t>
      </w:r>
      <w:r w:rsidRPr="0086554E" w:rsidR="0086554E">
        <w:rPr>
          <w:rFonts w:ascii="Verdana" w:hAnsi="Verdana"/>
          <w:sz w:val="18"/>
          <w:szCs w:val="18"/>
        </w:rPr>
        <w:t xml:space="preserve">naar </w:t>
      </w:r>
      <w:r w:rsidR="00597BA4">
        <w:rPr>
          <w:rFonts w:ascii="Verdana" w:hAnsi="Verdana"/>
          <w:sz w:val="18"/>
          <w:szCs w:val="18"/>
        </w:rPr>
        <w:t xml:space="preserve">verdere </w:t>
      </w:r>
      <w:r w:rsidRPr="0086554E" w:rsidR="0086554E">
        <w:rPr>
          <w:rFonts w:ascii="Verdana" w:hAnsi="Verdana"/>
          <w:sz w:val="18"/>
          <w:szCs w:val="18"/>
        </w:rPr>
        <w:t xml:space="preserve">samenwerking met andere lidstaten om lacunes rond </w:t>
      </w:r>
      <w:r w:rsidRPr="003E50E9" w:rsidR="0086554E">
        <w:rPr>
          <w:rFonts w:ascii="Verdana" w:hAnsi="Verdana"/>
          <w:i/>
          <w:iCs/>
          <w:sz w:val="18"/>
          <w:szCs w:val="18"/>
        </w:rPr>
        <w:t>Crypto Asset Service Providers</w:t>
      </w:r>
      <w:r w:rsidRPr="0086554E" w:rsidR="0086554E">
        <w:rPr>
          <w:rFonts w:ascii="Verdana" w:hAnsi="Verdana"/>
          <w:sz w:val="18"/>
          <w:szCs w:val="18"/>
        </w:rPr>
        <w:t xml:space="preserve"> en grensoverschrijdende </w:t>
      </w:r>
      <w:r w:rsidRPr="0086554E" w:rsidR="0086554E">
        <w:rPr>
          <w:rFonts w:ascii="Verdana" w:hAnsi="Verdana"/>
          <w:i/>
          <w:iCs/>
          <w:sz w:val="18"/>
          <w:szCs w:val="18"/>
        </w:rPr>
        <w:t>asset recovery</w:t>
      </w:r>
      <w:r w:rsidRPr="0086554E" w:rsidR="0086554E">
        <w:rPr>
          <w:rFonts w:ascii="Verdana" w:hAnsi="Verdana"/>
          <w:sz w:val="18"/>
          <w:szCs w:val="18"/>
        </w:rPr>
        <w:t xml:space="preserve"> aan te pakken</w:t>
      </w:r>
      <w:r w:rsidR="0086554E">
        <w:rPr>
          <w:rFonts w:ascii="Verdana" w:hAnsi="Verdana"/>
          <w:sz w:val="18"/>
          <w:szCs w:val="18"/>
        </w:rPr>
        <w:t xml:space="preserve">. </w:t>
      </w:r>
    </w:p>
    <w:p w:rsidR="006C36CC" w:rsidP="008B619C" w:rsidRDefault="006C36CC" w14:paraId="4E1D3AC4" w14:textId="245F86E9">
      <w:pPr>
        <w:jc w:val="both"/>
        <w:rPr>
          <w:rFonts w:ascii="Verdana" w:hAnsi="Verdana"/>
          <w:sz w:val="18"/>
          <w:szCs w:val="18"/>
        </w:rPr>
      </w:pPr>
      <w:r w:rsidRPr="006C36CC">
        <w:rPr>
          <w:rFonts w:ascii="Verdana" w:hAnsi="Verdana"/>
          <w:sz w:val="18"/>
          <w:szCs w:val="18"/>
        </w:rPr>
        <w:t>Europol benadrukt</w:t>
      </w:r>
      <w:r w:rsidR="00597BA4">
        <w:rPr>
          <w:rFonts w:ascii="Verdana" w:hAnsi="Verdana"/>
          <w:sz w:val="18"/>
          <w:szCs w:val="18"/>
        </w:rPr>
        <w:t>e</w:t>
      </w:r>
      <w:r w:rsidR="007E723D">
        <w:rPr>
          <w:rFonts w:ascii="Verdana" w:hAnsi="Verdana"/>
          <w:sz w:val="18"/>
          <w:szCs w:val="18"/>
        </w:rPr>
        <w:t xml:space="preserve"> </w:t>
      </w:r>
      <w:r w:rsidRPr="006C36CC">
        <w:rPr>
          <w:rFonts w:ascii="Verdana" w:hAnsi="Verdana"/>
          <w:sz w:val="18"/>
          <w:szCs w:val="18"/>
        </w:rPr>
        <w:t xml:space="preserve">de ondersteuning die het kan bieden vanuit zijn expertisecentrum, met name op het gebied van </w:t>
      </w:r>
      <w:r w:rsidRPr="006C36CC">
        <w:rPr>
          <w:rFonts w:ascii="Verdana" w:hAnsi="Verdana"/>
          <w:i/>
          <w:iCs/>
          <w:sz w:val="18"/>
          <w:szCs w:val="18"/>
        </w:rPr>
        <w:t xml:space="preserve">track, </w:t>
      </w:r>
      <w:proofErr w:type="spellStart"/>
      <w:r w:rsidRPr="006C36CC">
        <w:rPr>
          <w:rFonts w:ascii="Verdana" w:hAnsi="Verdana"/>
          <w:i/>
          <w:iCs/>
          <w:sz w:val="18"/>
          <w:szCs w:val="18"/>
        </w:rPr>
        <w:t>trace</w:t>
      </w:r>
      <w:proofErr w:type="spellEnd"/>
      <w:r w:rsidRPr="006C36CC">
        <w:rPr>
          <w:rFonts w:ascii="Verdana" w:hAnsi="Verdana"/>
          <w:i/>
          <w:iCs/>
          <w:sz w:val="18"/>
          <w:szCs w:val="18"/>
        </w:rPr>
        <w:t xml:space="preserve">, </w:t>
      </w:r>
      <w:proofErr w:type="spellStart"/>
      <w:r w:rsidRPr="006C36CC">
        <w:rPr>
          <w:rFonts w:ascii="Verdana" w:hAnsi="Verdana"/>
          <w:i/>
          <w:iCs/>
          <w:sz w:val="18"/>
          <w:szCs w:val="18"/>
        </w:rPr>
        <w:t>seize</w:t>
      </w:r>
      <w:proofErr w:type="spellEnd"/>
      <w:r w:rsidRPr="006C36CC">
        <w:rPr>
          <w:rFonts w:ascii="Verdana" w:hAnsi="Verdana"/>
          <w:i/>
          <w:iCs/>
          <w:sz w:val="18"/>
          <w:szCs w:val="18"/>
        </w:rPr>
        <w:t xml:space="preserve"> </w:t>
      </w:r>
      <w:r w:rsidRPr="006C36CC">
        <w:rPr>
          <w:rFonts w:ascii="Verdana" w:hAnsi="Verdana"/>
          <w:sz w:val="18"/>
          <w:szCs w:val="18"/>
        </w:rPr>
        <w:t>en</w:t>
      </w:r>
      <w:r w:rsidRPr="006C36CC">
        <w:rPr>
          <w:rFonts w:ascii="Verdana" w:hAnsi="Verdana"/>
          <w:i/>
          <w:iCs/>
          <w:sz w:val="18"/>
          <w:szCs w:val="18"/>
        </w:rPr>
        <w:t xml:space="preserve"> </w:t>
      </w:r>
      <w:proofErr w:type="spellStart"/>
      <w:r w:rsidRPr="006C36CC">
        <w:rPr>
          <w:rFonts w:ascii="Verdana" w:hAnsi="Verdana"/>
          <w:i/>
          <w:iCs/>
          <w:sz w:val="18"/>
          <w:szCs w:val="18"/>
        </w:rPr>
        <w:t>freeze</w:t>
      </w:r>
      <w:proofErr w:type="spellEnd"/>
      <w:r w:rsidRPr="006C36CC">
        <w:rPr>
          <w:rFonts w:ascii="Verdana" w:hAnsi="Verdana"/>
          <w:sz w:val="18"/>
          <w:szCs w:val="18"/>
        </w:rPr>
        <w:t xml:space="preserve"> van crimineel vermogen. </w:t>
      </w:r>
      <w:r w:rsidR="00751D80">
        <w:rPr>
          <w:rFonts w:ascii="Verdana" w:hAnsi="Verdana"/>
          <w:sz w:val="18"/>
          <w:szCs w:val="18"/>
        </w:rPr>
        <w:t>Daarnaast</w:t>
      </w:r>
      <w:r w:rsidRPr="006C36CC">
        <w:rPr>
          <w:rFonts w:ascii="Verdana" w:hAnsi="Verdana"/>
          <w:sz w:val="18"/>
          <w:szCs w:val="18"/>
        </w:rPr>
        <w:t xml:space="preserve"> ziet Europol ruimte voor verbetering in de samenwerking tussen politiediensten onderling en met Europol zelf, alsmede in de publiek-private samenwerking.</w:t>
      </w:r>
    </w:p>
    <w:p w:rsidRPr="00863639" w:rsidR="008A4D8A" w:rsidP="008B619C" w:rsidRDefault="008A4D8A" w14:paraId="12FEEA1E" w14:textId="464B61D0">
      <w:pPr>
        <w:jc w:val="both"/>
        <w:rPr>
          <w:rFonts w:ascii="Verdana" w:hAnsi="Verdana"/>
          <w:sz w:val="18"/>
          <w:szCs w:val="18"/>
        </w:rPr>
      </w:pPr>
      <w:r w:rsidRPr="008A4D8A">
        <w:rPr>
          <w:rFonts w:ascii="Verdana" w:hAnsi="Verdana"/>
          <w:sz w:val="18"/>
          <w:szCs w:val="18"/>
        </w:rPr>
        <w:t xml:space="preserve">De meerderheid van de lidstaten </w:t>
      </w:r>
      <w:r w:rsidR="00751D80">
        <w:rPr>
          <w:rFonts w:ascii="Verdana" w:hAnsi="Verdana"/>
          <w:sz w:val="18"/>
          <w:szCs w:val="18"/>
        </w:rPr>
        <w:t>gaf aan</w:t>
      </w:r>
      <w:r w:rsidRPr="008A4D8A" w:rsidR="00712BB7">
        <w:rPr>
          <w:rFonts w:ascii="Verdana" w:hAnsi="Verdana"/>
          <w:sz w:val="18"/>
          <w:szCs w:val="18"/>
        </w:rPr>
        <w:t xml:space="preserve"> </w:t>
      </w:r>
      <w:r w:rsidRPr="008A4D8A">
        <w:rPr>
          <w:rFonts w:ascii="Verdana" w:hAnsi="Verdana"/>
          <w:sz w:val="18"/>
          <w:szCs w:val="18"/>
        </w:rPr>
        <w:t xml:space="preserve">positief </w:t>
      </w:r>
      <w:r w:rsidR="00712BB7">
        <w:rPr>
          <w:rFonts w:ascii="Verdana" w:hAnsi="Verdana"/>
          <w:sz w:val="18"/>
          <w:szCs w:val="18"/>
        </w:rPr>
        <w:t xml:space="preserve">te staan </w:t>
      </w:r>
      <w:r w:rsidRPr="008A4D8A">
        <w:rPr>
          <w:rFonts w:ascii="Verdana" w:hAnsi="Verdana"/>
          <w:sz w:val="18"/>
          <w:szCs w:val="18"/>
        </w:rPr>
        <w:t xml:space="preserve">tegenover het verder bevorderen en reguleren van publiek-private samenwerking op EU-niveau, mits dit op een transparante wijze gebeurt. </w:t>
      </w:r>
      <w:r w:rsidR="00712BB7">
        <w:rPr>
          <w:rFonts w:ascii="Verdana" w:hAnsi="Verdana"/>
          <w:sz w:val="18"/>
          <w:szCs w:val="18"/>
        </w:rPr>
        <w:t>Verder</w:t>
      </w:r>
      <w:r w:rsidRPr="008A4D8A" w:rsidR="00712BB7">
        <w:rPr>
          <w:rFonts w:ascii="Verdana" w:hAnsi="Verdana"/>
          <w:sz w:val="18"/>
          <w:szCs w:val="18"/>
        </w:rPr>
        <w:t xml:space="preserve"> </w:t>
      </w:r>
      <w:r w:rsidR="00597BA4">
        <w:rPr>
          <w:rFonts w:ascii="Verdana" w:hAnsi="Verdana"/>
          <w:sz w:val="18"/>
          <w:szCs w:val="18"/>
        </w:rPr>
        <w:t>werd</w:t>
      </w:r>
      <w:r w:rsidRPr="008A4D8A" w:rsidR="00597BA4">
        <w:rPr>
          <w:rFonts w:ascii="Verdana" w:hAnsi="Verdana"/>
          <w:sz w:val="18"/>
          <w:szCs w:val="18"/>
        </w:rPr>
        <w:t xml:space="preserve"> </w:t>
      </w:r>
      <w:r w:rsidR="00712BB7">
        <w:rPr>
          <w:rFonts w:ascii="Verdana" w:hAnsi="Verdana"/>
          <w:sz w:val="18"/>
          <w:szCs w:val="18"/>
        </w:rPr>
        <w:t xml:space="preserve">er </w:t>
      </w:r>
      <w:r w:rsidRPr="008A4D8A">
        <w:rPr>
          <w:rFonts w:ascii="Verdana" w:hAnsi="Verdana"/>
          <w:sz w:val="18"/>
          <w:szCs w:val="18"/>
        </w:rPr>
        <w:t>aandacht gevraagd voor flexibiliteit en</w:t>
      </w:r>
      <w:r w:rsidR="00712BB7">
        <w:rPr>
          <w:rFonts w:ascii="Verdana" w:hAnsi="Verdana"/>
          <w:sz w:val="18"/>
          <w:szCs w:val="18"/>
        </w:rPr>
        <w:t xml:space="preserve"> het in acht nemen van</w:t>
      </w:r>
      <w:r w:rsidRPr="008A4D8A">
        <w:rPr>
          <w:rFonts w:ascii="Verdana" w:hAnsi="Verdana"/>
          <w:sz w:val="18"/>
          <w:szCs w:val="18"/>
        </w:rPr>
        <w:t xml:space="preserve"> nationale </w:t>
      </w:r>
      <w:r w:rsidR="00597BA4">
        <w:rPr>
          <w:rFonts w:ascii="Verdana" w:hAnsi="Verdana"/>
          <w:sz w:val="18"/>
          <w:szCs w:val="18"/>
        </w:rPr>
        <w:t>context</w:t>
      </w:r>
      <w:r w:rsidRPr="008A4D8A">
        <w:rPr>
          <w:rFonts w:ascii="Verdana" w:hAnsi="Verdana"/>
          <w:sz w:val="18"/>
          <w:szCs w:val="18"/>
        </w:rPr>
        <w:t xml:space="preserve">. Daarnaast </w:t>
      </w:r>
      <w:r w:rsidR="00597BA4">
        <w:rPr>
          <w:rFonts w:ascii="Verdana" w:hAnsi="Verdana"/>
          <w:sz w:val="18"/>
          <w:szCs w:val="18"/>
        </w:rPr>
        <w:t>riepen</w:t>
      </w:r>
      <w:r w:rsidRPr="008A4D8A" w:rsidR="00597BA4">
        <w:rPr>
          <w:rFonts w:ascii="Verdana" w:hAnsi="Verdana"/>
          <w:sz w:val="18"/>
          <w:szCs w:val="18"/>
        </w:rPr>
        <w:t xml:space="preserve"> </w:t>
      </w:r>
      <w:r w:rsidRPr="008A4D8A">
        <w:rPr>
          <w:rFonts w:ascii="Verdana" w:hAnsi="Verdana"/>
          <w:sz w:val="18"/>
          <w:szCs w:val="18"/>
        </w:rPr>
        <w:t>diverse lidstaten op om, binnen de bestaande regelgeving, de informatie-uitwisseling met private partijen te vergemakkelijken, zonder afbreuk te doen aan privacy en andere grondrechten.</w:t>
      </w:r>
    </w:p>
    <w:p w:rsidR="008B619C" w:rsidP="008B619C" w:rsidRDefault="008B619C" w14:paraId="6D3D1F26" w14:textId="5AC59CFB">
      <w:pPr>
        <w:pStyle w:val="Lijstalinea"/>
        <w:numPr>
          <w:ilvl w:val="0"/>
          <w:numId w:val="3"/>
        </w:numPr>
        <w:jc w:val="both"/>
        <w:rPr>
          <w:rFonts w:ascii="Verdana" w:hAnsi="Verdana"/>
          <w:b/>
          <w:bCs/>
          <w:sz w:val="18"/>
          <w:szCs w:val="18"/>
        </w:rPr>
      </w:pPr>
      <w:r>
        <w:rPr>
          <w:rFonts w:ascii="Verdana" w:hAnsi="Verdana"/>
          <w:b/>
          <w:bCs/>
          <w:sz w:val="18"/>
          <w:szCs w:val="18"/>
        </w:rPr>
        <w:t>Werksessie II - G</w:t>
      </w:r>
      <w:r w:rsidRPr="004649E9">
        <w:rPr>
          <w:rFonts w:ascii="Verdana" w:hAnsi="Verdana"/>
          <w:b/>
          <w:bCs/>
          <w:sz w:val="18"/>
          <w:szCs w:val="18"/>
        </w:rPr>
        <w:t>rensoverschrijdende</w:t>
      </w:r>
      <w:r>
        <w:rPr>
          <w:rFonts w:ascii="Verdana" w:hAnsi="Verdana"/>
          <w:b/>
          <w:bCs/>
          <w:sz w:val="18"/>
          <w:szCs w:val="18"/>
        </w:rPr>
        <w:t xml:space="preserve"> samenwerking en</w:t>
      </w:r>
      <w:r w:rsidRPr="004649E9">
        <w:rPr>
          <w:rFonts w:ascii="Verdana" w:hAnsi="Verdana"/>
          <w:b/>
          <w:bCs/>
          <w:sz w:val="18"/>
          <w:szCs w:val="18"/>
        </w:rPr>
        <w:t xml:space="preserve"> teruggave van </w:t>
      </w:r>
      <w:r>
        <w:rPr>
          <w:rFonts w:ascii="Verdana" w:hAnsi="Verdana"/>
          <w:b/>
          <w:bCs/>
          <w:sz w:val="18"/>
          <w:szCs w:val="18"/>
        </w:rPr>
        <w:t>illegaal verkregen cultuurgoederen</w:t>
      </w:r>
    </w:p>
    <w:p w:rsidR="00DC5795" w:rsidP="008B619C" w:rsidRDefault="00AD26E9" w14:paraId="58125915" w14:textId="1607A4EB">
      <w:pPr>
        <w:jc w:val="both"/>
        <w:rPr>
          <w:rFonts w:ascii="Verdana" w:hAnsi="Verdana"/>
          <w:sz w:val="18"/>
          <w:szCs w:val="18"/>
          <w:lang w:val="nl-BE"/>
        </w:rPr>
      </w:pPr>
      <w:r>
        <w:rPr>
          <w:rFonts w:ascii="Verdana" w:hAnsi="Verdana"/>
          <w:sz w:val="18"/>
          <w:szCs w:val="18"/>
        </w:rPr>
        <w:t xml:space="preserve">De </w:t>
      </w:r>
      <w:r w:rsidR="00712BB7">
        <w:rPr>
          <w:rFonts w:ascii="Verdana" w:hAnsi="Verdana"/>
          <w:sz w:val="18"/>
          <w:szCs w:val="18"/>
        </w:rPr>
        <w:t>informele JBZ-</w:t>
      </w:r>
      <w:r>
        <w:rPr>
          <w:rFonts w:ascii="Verdana" w:hAnsi="Verdana"/>
          <w:sz w:val="18"/>
          <w:szCs w:val="18"/>
        </w:rPr>
        <w:t xml:space="preserve">Raad stond stil bij </w:t>
      </w:r>
      <w:r w:rsidR="00712BB7">
        <w:rPr>
          <w:rFonts w:ascii="Verdana" w:hAnsi="Verdana"/>
          <w:sz w:val="18"/>
          <w:szCs w:val="18"/>
        </w:rPr>
        <w:t xml:space="preserve">het </w:t>
      </w:r>
      <w:r>
        <w:rPr>
          <w:rFonts w:ascii="Verdana" w:hAnsi="Verdana"/>
          <w:sz w:val="18"/>
          <w:szCs w:val="18"/>
        </w:rPr>
        <w:t xml:space="preserve">juridische raamwerk met betrekking tot de aanpak van cultureel erfgoedcriminaliteit. Momenteel bepaalt het EU-recht niet welk nationaal recht </w:t>
      </w:r>
      <w:r w:rsidR="001D6C1D">
        <w:rPr>
          <w:rFonts w:ascii="Verdana" w:hAnsi="Verdana"/>
          <w:sz w:val="18"/>
          <w:szCs w:val="18"/>
        </w:rPr>
        <w:t xml:space="preserve">van toepassing is </w:t>
      </w:r>
      <w:r>
        <w:rPr>
          <w:rFonts w:ascii="Verdana" w:hAnsi="Verdana"/>
          <w:sz w:val="18"/>
          <w:szCs w:val="18"/>
        </w:rPr>
        <w:t xml:space="preserve">bij grensoverschrijdende teruggave van onrechtmatig </w:t>
      </w:r>
      <w:r w:rsidR="00712BB7">
        <w:rPr>
          <w:rFonts w:ascii="Verdana" w:hAnsi="Verdana"/>
          <w:sz w:val="18"/>
          <w:szCs w:val="18"/>
        </w:rPr>
        <w:t xml:space="preserve">verkregen </w:t>
      </w:r>
      <w:r>
        <w:rPr>
          <w:rFonts w:ascii="Verdana" w:hAnsi="Verdana"/>
          <w:sz w:val="18"/>
          <w:szCs w:val="18"/>
        </w:rPr>
        <w:t xml:space="preserve">cultuurgoederen. Dit </w:t>
      </w:r>
      <w:r>
        <w:rPr>
          <w:rFonts w:ascii="Verdana" w:hAnsi="Verdana"/>
          <w:sz w:val="18"/>
          <w:szCs w:val="18"/>
        </w:rPr>
        <w:lastRenderedPageBreak/>
        <w:t>leidt tot uiteenlopende uitkomsten</w:t>
      </w:r>
      <w:r w:rsidR="00C26FB7">
        <w:rPr>
          <w:rFonts w:ascii="Verdana" w:hAnsi="Verdana"/>
          <w:sz w:val="18"/>
          <w:szCs w:val="18"/>
        </w:rPr>
        <w:t xml:space="preserve"> binnen de Unie</w:t>
      </w:r>
      <w:r>
        <w:rPr>
          <w:rFonts w:ascii="Verdana" w:hAnsi="Verdana"/>
          <w:sz w:val="18"/>
          <w:szCs w:val="18"/>
        </w:rPr>
        <w:t xml:space="preserve"> en ‘</w:t>
      </w:r>
      <w:proofErr w:type="spellStart"/>
      <w:r w:rsidRPr="007E723D">
        <w:rPr>
          <w:rFonts w:ascii="Verdana" w:hAnsi="Verdana"/>
          <w:i/>
          <w:iCs/>
          <w:sz w:val="18"/>
          <w:szCs w:val="18"/>
        </w:rPr>
        <w:t>law</w:t>
      </w:r>
      <w:proofErr w:type="spellEnd"/>
      <w:r w:rsidRPr="007E723D">
        <w:rPr>
          <w:rFonts w:ascii="Verdana" w:hAnsi="Verdana"/>
          <w:i/>
          <w:iCs/>
          <w:sz w:val="18"/>
          <w:szCs w:val="18"/>
        </w:rPr>
        <w:t xml:space="preserve"> shopping’</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w:t>
      </w:r>
      <w:r w:rsidRPr="00AD26E9">
        <w:rPr>
          <w:rFonts w:ascii="Verdana" w:hAnsi="Verdana"/>
          <w:sz w:val="18"/>
          <w:szCs w:val="18"/>
          <w:lang w:val="nl-BE"/>
        </w:rPr>
        <w:t>Om te bepalen of actie op EU-niveau vereist is</w:t>
      </w:r>
      <w:r w:rsidR="00712BB7">
        <w:rPr>
          <w:rFonts w:ascii="Verdana" w:hAnsi="Verdana"/>
          <w:sz w:val="18"/>
          <w:szCs w:val="18"/>
          <w:lang w:val="nl-BE"/>
        </w:rPr>
        <w:t>,</w:t>
      </w:r>
      <w:r w:rsidRPr="00AD26E9">
        <w:rPr>
          <w:rFonts w:ascii="Verdana" w:hAnsi="Verdana"/>
          <w:sz w:val="18"/>
          <w:szCs w:val="18"/>
          <w:lang w:val="nl-BE"/>
        </w:rPr>
        <w:t xml:space="preserve"> en of voorbereidend werk </w:t>
      </w:r>
      <w:r w:rsidR="00712BB7">
        <w:rPr>
          <w:rFonts w:ascii="Verdana" w:hAnsi="Verdana"/>
          <w:sz w:val="18"/>
          <w:szCs w:val="18"/>
          <w:lang w:val="nl-BE"/>
        </w:rPr>
        <w:t>zou moeten worden</w:t>
      </w:r>
      <w:r w:rsidR="00C26FB7">
        <w:rPr>
          <w:rFonts w:ascii="Verdana" w:hAnsi="Verdana"/>
          <w:sz w:val="18"/>
          <w:szCs w:val="18"/>
          <w:lang w:val="nl-BE"/>
        </w:rPr>
        <w:t xml:space="preserve"> gestart</w:t>
      </w:r>
      <w:r w:rsidRPr="00AD26E9" w:rsidR="00712BB7">
        <w:rPr>
          <w:rFonts w:ascii="Verdana" w:hAnsi="Verdana"/>
          <w:sz w:val="18"/>
          <w:szCs w:val="18"/>
          <w:lang w:val="nl-BE"/>
        </w:rPr>
        <w:t xml:space="preserve"> </w:t>
      </w:r>
      <w:r w:rsidRPr="00AD26E9">
        <w:rPr>
          <w:rFonts w:ascii="Verdana" w:hAnsi="Verdana"/>
          <w:sz w:val="18"/>
          <w:szCs w:val="18"/>
          <w:lang w:val="nl-BE"/>
        </w:rPr>
        <w:t xml:space="preserve">voor de ontwikkeling van </w:t>
      </w:r>
      <w:r w:rsidR="00C26FB7">
        <w:rPr>
          <w:rFonts w:ascii="Verdana" w:hAnsi="Verdana"/>
          <w:sz w:val="18"/>
          <w:szCs w:val="18"/>
          <w:lang w:val="nl-BE"/>
        </w:rPr>
        <w:t>regels over het toepasselijke recht</w:t>
      </w:r>
      <w:r>
        <w:rPr>
          <w:rFonts w:ascii="Verdana" w:hAnsi="Verdana"/>
          <w:sz w:val="18"/>
          <w:szCs w:val="18"/>
          <w:lang w:val="nl-BE"/>
        </w:rPr>
        <w:t xml:space="preserve">, </w:t>
      </w:r>
      <w:r w:rsidRPr="00AD26E9">
        <w:rPr>
          <w:rFonts w:ascii="Verdana" w:hAnsi="Verdana"/>
          <w:sz w:val="18"/>
          <w:szCs w:val="18"/>
          <w:lang w:val="nl-BE"/>
        </w:rPr>
        <w:t>stelt de Commissie voor om een gedetailleerde analyse en impactassessment uit te voeren.</w:t>
      </w:r>
      <w:r w:rsidR="00DC5795">
        <w:rPr>
          <w:rFonts w:ascii="Verdana" w:hAnsi="Verdana"/>
          <w:sz w:val="18"/>
          <w:szCs w:val="18"/>
          <w:lang w:val="nl-BE"/>
        </w:rPr>
        <w:t xml:space="preserve"> </w:t>
      </w:r>
      <w:r>
        <w:rPr>
          <w:rFonts w:ascii="Verdana" w:hAnsi="Verdana"/>
          <w:sz w:val="18"/>
          <w:szCs w:val="18"/>
          <w:lang w:val="nl-BE"/>
        </w:rPr>
        <w:t xml:space="preserve">Nederland, </w:t>
      </w:r>
      <w:r w:rsidR="00C26FB7">
        <w:rPr>
          <w:rFonts w:ascii="Verdana" w:hAnsi="Verdana"/>
          <w:sz w:val="18"/>
          <w:szCs w:val="18"/>
          <w:lang w:val="nl-BE"/>
        </w:rPr>
        <w:t>samen met een groot deel andere</w:t>
      </w:r>
      <w:r>
        <w:rPr>
          <w:rFonts w:ascii="Verdana" w:hAnsi="Verdana"/>
          <w:sz w:val="18"/>
          <w:szCs w:val="18"/>
          <w:lang w:val="nl-BE"/>
        </w:rPr>
        <w:t xml:space="preserve"> lidstaten, steunt dit </w:t>
      </w:r>
      <w:r w:rsidR="00C26FB7">
        <w:rPr>
          <w:rFonts w:ascii="Verdana" w:hAnsi="Verdana"/>
          <w:sz w:val="18"/>
          <w:szCs w:val="18"/>
          <w:lang w:val="nl-BE"/>
        </w:rPr>
        <w:t xml:space="preserve">voorstel </w:t>
      </w:r>
      <w:r>
        <w:rPr>
          <w:rFonts w:ascii="Verdana" w:hAnsi="Verdana"/>
          <w:sz w:val="18"/>
          <w:szCs w:val="18"/>
          <w:lang w:val="nl-BE"/>
        </w:rPr>
        <w:t>van de Commissie.</w:t>
      </w:r>
    </w:p>
    <w:p w:rsidR="007F21FB" w:rsidP="008B619C" w:rsidRDefault="007F21FB" w14:paraId="45C12490" w14:textId="5F363CA8">
      <w:pPr>
        <w:jc w:val="both"/>
        <w:rPr>
          <w:rFonts w:ascii="Verdana" w:hAnsi="Verdana"/>
          <w:sz w:val="18"/>
          <w:szCs w:val="18"/>
          <w:lang w:val="nl-BE"/>
        </w:rPr>
      </w:pPr>
      <w:r w:rsidRPr="007F21FB">
        <w:rPr>
          <w:rFonts w:ascii="Verdana" w:hAnsi="Verdana"/>
          <w:sz w:val="18"/>
          <w:szCs w:val="18"/>
          <w:lang w:val="nl-BE"/>
        </w:rPr>
        <w:t>Het Europees Parlement</w:t>
      </w:r>
      <w:r w:rsidR="007E723D">
        <w:rPr>
          <w:rFonts w:ascii="Verdana" w:hAnsi="Verdana"/>
          <w:sz w:val="18"/>
          <w:szCs w:val="18"/>
          <w:lang w:val="nl-BE"/>
        </w:rPr>
        <w:t xml:space="preserve"> (EP)</w:t>
      </w:r>
      <w:r w:rsidRPr="007F21FB">
        <w:rPr>
          <w:rFonts w:ascii="Verdana" w:hAnsi="Verdana"/>
          <w:sz w:val="18"/>
          <w:szCs w:val="18"/>
          <w:lang w:val="nl-BE"/>
        </w:rPr>
        <w:t xml:space="preserve"> </w:t>
      </w:r>
      <w:r w:rsidR="00C26FB7">
        <w:rPr>
          <w:rFonts w:ascii="Verdana" w:hAnsi="Verdana"/>
          <w:sz w:val="18"/>
          <w:szCs w:val="18"/>
          <w:lang w:val="nl-BE"/>
        </w:rPr>
        <w:t>is voorstander van</w:t>
      </w:r>
      <w:r w:rsidRPr="007F21FB">
        <w:rPr>
          <w:rFonts w:ascii="Verdana" w:hAnsi="Verdana"/>
          <w:sz w:val="18"/>
          <w:szCs w:val="18"/>
          <w:lang w:val="nl-BE"/>
        </w:rPr>
        <w:t xml:space="preserve"> EU-optreden </w:t>
      </w:r>
      <w:r w:rsidR="00C26FB7">
        <w:rPr>
          <w:rFonts w:ascii="Verdana" w:hAnsi="Verdana"/>
          <w:sz w:val="18"/>
          <w:szCs w:val="18"/>
          <w:lang w:val="nl-BE"/>
        </w:rPr>
        <w:t>op dit terrein; v</w:t>
      </w:r>
      <w:r w:rsidRPr="007F21FB">
        <w:rPr>
          <w:rFonts w:ascii="Verdana" w:hAnsi="Verdana"/>
          <w:sz w:val="18"/>
          <w:szCs w:val="18"/>
          <w:lang w:val="nl-BE"/>
        </w:rPr>
        <w:t xml:space="preserve">olgens </w:t>
      </w:r>
      <w:r w:rsidR="00C26FB7">
        <w:rPr>
          <w:rFonts w:ascii="Verdana" w:hAnsi="Verdana"/>
          <w:sz w:val="18"/>
          <w:szCs w:val="18"/>
          <w:lang w:val="nl-BE"/>
        </w:rPr>
        <w:t>het</w:t>
      </w:r>
      <w:r w:rsidRPr="007F21FB" w:rsidR="00C26FB7">
        <w:rPr>
          <w:rFonts w:ascii="Verdana" w:hAnsi="Verdana"/>
          <w:sz w:val="18"/>
          <w:szCs w:val="18"/>
          <w:lang w:val="nl-BE"/>
        </w:rPr>
        <w:t xml:space="preserve"> </w:t>
      </w:r>
      <w:r>
        <w:rPr>
          <w:rFonts w:ascii="Verdana" w:hAnsi="Verdana"/>
          <w:sz w:val="18"/>
          <w:szCs w:val="18"/>
          <w:lang w:val="nl-BE"/>
        </w:rPr>
        <w:t>EP</w:t>
      </w:r>
      <w:r w:rsidRPr="007F21FB">
        <w:rPr>
          <w:rFonts w:ascii="Verdana" w:hAnsi="Verdana"/>
          <w:sz w:val="18"/>
          <w:szCs w:val="18"/>
          <w:lang w:val="nl-BE"/>
        </w:rPr>
        <w:t xml:space="preserve"> is EU-wetgeving noodzakelijk om regels te harmoniseren, rechtszekerheid te waarborgen en private handhaving te versterken.</w:t>
      </w:r>
      <w:r>
        <w:rPr>
          <w:rFonts w:ascii="Verdana" w:hAnsi="Verdana"/>
          <w:sz w:val="18"/>
          <w:szCs w:val="18"/>
          <w:lang w:val="nl-BE"/>
        </w:rPr>
        <w:t xml:space="preserve"> </w:t>
      </w:r>
      <w:r w:rsidRPr="00D632EE" w:rsidR="00D632EE">
        <w:rPr>
          <w:rFonts w:ascii="Verdana" w:hAnsi="Verdana"/>
          <w:sz w:val="18"/>
          <w:szCs w:val="18"/>
        </w:rPr>
        <w:t>Naast de brede overeenstemming</w:t>
      </w:r>
      <w:r w:rsidR="00751D80">
        <w:rPr>
          <w:rFonts w:ascii="Verdana" w:hAnsi="Verdana"/>
          <w:sz w:val="18"/>
          <w:szCs w:val="18"/>
        </w:rPr>
        <w:t>,</w:t>
      </w:r>
      <w:r w:rsidRPr="00D632EE" w:rsidR="00D632EE">
        <w:rPr>
          <w:rFonts w:ascii="Verdana" w:hAnsi="Verdana"/>
          <w:sz w:val="18"/>
          <w:szCs w:val="18"/>
        </w:rPr>
        <w:t xml:space="preserve"> </w:t>
      </w:r>
      <w:r w:rsidR="00751D80">
        <w:rPr>
          <w:rFonts w:ascii="Verdana" w:hAnsi="Verdana"/>
          <w:sz w:val="18"/>
          <w:szCs w:val="18"/>
        </w:rPr>
        <w:t>wezen lidstaten</w:t>
      </w:r>
      <w:r w:rsidR="00C26FB7">
        <w:rPr>
          <w:rFonts w:ascii="Verdana" w:hAnsi="Verdana"/>
          <w:sz w:val="18"/>
          <w:szCs w:val="18"/>
        </w:rPr>
        <w:t xml:space="preserve"> </w:t>
      </w:r>
      <w:r w:rsidRPr="00CE2FA4" w:rsidR="00CE2FA4">
        <w:rPr>
          <w:rFonts w:ascii="Verdana" w:hAnsi="Verdana"/>
          <w:sz w:val="18"/>
          <w:szCs w:val="18"/>
        </w:rPr>
        <w:t xml:space="preserve">op mogelijke juridische bezwaren, zowel van verdragsrechtelijke aard als ten aanzien van de vraag of cultureel erfgoed anders kan worden behandeld dan andere gestolen goederen. </w:t>
      </w:r>
      <w:r w:rsidR="00C26FB7">
        <w:rPr>
          <w:rFonts w:ascii="Verdana" w:hAnsi="Verdana"/>
          <w:sz w:val="18"/>
          <w:szCs w:val="18"/>
        </w:rPr>
        <w:t>Ook werd er gewezen op</w:t>
      </w:r>
      <w:r w:rsidRPr="00CE2FA4" w:rsidR="00CE2FA4">
        <w:rPr>
          <w:rFonts w:ascii="Verdana" w:hAnsi="Verdana"/>
          <w:sz w:val="18"/>
          <w:szCs w:val="18"/>
        </w:rPr>
        <w:t xml:space="preserve"> het</w:t>
      </w:r>
      <w:r w:rsidR="001D6C1D">
        <w:rPr>
          <w:rFonts w:ascii="Verdana" w:hAnsi="Verdana"/>
          <w:sz w:val="18"/>
          <w:szCs w:val="18"/>
        </w:rPr>
        <w:t xml:space="preserve"> belang van het</w:t>
      </w:r>
      <w:r w:rsidRPr="00CE2FA4" w:rsidR="00CE2FA4">
        <w:rPr>
          <w:rFonts w:ascii="Verdana" w:hAnsi="Verdana"/>
          <w:sz w:val="18"/>
          <w:szCs w:val="18"/>
        </w:rPr>
        <w:t xml:space="preserve"> territorialiteitsbeginsel, waarbij cultureel erfgoed terug moet keren naar het land van oorsprong</w:t>
      </w:r>
      <w:r w:rsidR="00C26FB7">
        <w:rPr>
          <w:rFonts w:ascii="Verdana" w:hAnsi="Verdana"/>
          <w:sz w:val="18"/>
          <w:szCs w:val="18"/>
        </w:rPr>
        <w:t xml:space="preserve"> en het feit </w:t>
      </w:r>
      <w:r w:rsidRPr="00CE2FA4" w:rsidR="00CE2FA4">
        <w:rPr>
          <w:rFonts w:ascii="Verdana" w:hAnsi="Verdana"/>
          <w:sz w:val="18"/>
          <w:szCs w:val="18"/>
        </w:rPr>
        <w:t>dat derde</w:t>
      </w:r>
      <w:r w:rsidR="00C26FB7">
        <w:rPr>
          <w:rFonts w:ascii="Verdana" w:hAnsi="Verdana"/>
          <w:sz w:val="18"/>
          <w:szCs w:val="18"/>
        </w:rPr>
        <w:t xml:space="preserve"> </w:t>
      </w:r>
      <w:r w:rsidRPr="00CE2FA4" w:rsidR="00CE2FA4">
        <w:rPr>
          <w:rFonts w:ascii="Verdana" w:hAnsi="Verdana"/>
          <w:sz w:val="18"/>
          <w:szCs w:val="18"/>
        </w:rPr>
        <w:t xml:space="preserve">landen dit principe vaak niet toepassen. </w:t>
      </w:r>
    </w:p>
    <w:p w:rsidRPr="00AD26E9" w:rsidR="008B619C" w:rsidP="008B619C" w:rsidRDefault="00DC5795" w14:paraId="7FF3E775" w14:textId="32479E2B">
      <w:pPr>
        <w:jc w:val="both"/>
        <w:rPr>
          <w:rFonts w:ascii="Verdana" w:hAnsi="Verdana"/>
          <w:sz w:val="18"/>
          <w:szCs w:val="18"/>
        </w:rPr>
      </w:pPr>
      <w:r w:rsidRPr="00DC5795">
        <w:rPr>
          <w:rFonts w:ascii="Verdana" w:hAnsi="Verdana"/>
          <w:sz w:val="18"/>
          <w:szCs w:val="18"/>
          <w:lang w:val="nl-BE"/>
        </w:rPr>
        <w:t>Nederland benadrukt</w:t>
      </w:r>
      <w:r w:rsidR="003921D3">
        <w:rPr>
          <w:rFonts w:ascii="Verdana" w:hAnsi="Verdana"/>
          <w:sz w:val="18"/>
          <w:szCs w:val="18"/>
          <w:lang w:val="nl-BE"/>
        </w:rPr>
        <w:t>e</w:t>
      </w:r>
      <w:r w:rsidRPr="00DC5795">
        <w:rPr>
          <w:rFonts w:ascii="Verdana" w:hAnsi="Verdana"/>
          <w:sz w:val="18"/>
          <w:szCs w:val="18"/>
          <w:lang w:val="nl-BE"/>
        </w:rPr>
        <w:t xml:space="preserve"> het belang van actieve bijdragen aan de internationale aanpak van illegale handel in cultuurgoederen en onderschrijft het standpunt van het Voorzitterschap dat verdere versterking van de samenwerking noodzakelijk is. Volgens Nederland kan deze samenwerking worden geïntensiveerd door in te zetten op informatie- en kennisuitwisseling, </w:t>
      </w:r>
      <w:proofErr w:type="spellStart"/>
      <w:r w:rsidRPr="00DC5795">
        <w:rPr>
          <w:rFonts w:ascii="Verdana" w:hAnsi="Verdana"/>
          <w:i/>
          <w:iCs/>
          <w:sz w:val="18"/>
          <w:szCs w:val="18"/>
          <w:lang w:val="nl-BE"/>
        </w:rPr>
        <w:t>evidence-based</w:t>
      </w:r>
      <w:proofErr w:type="spellEnd"/>
      <w:r w:rsidRPr="00DC5795">
        <w:rPr>
          <w:rFonts w:ascii="Verdana" w:hAnsi="Verdana"/>
          <w:sz w:val="18"/>
          <w:szCs w:val="18"/>
          <w:lang w:val="nl-BE"/>
        </w:rPr>
        <w:t xml:space="preserve"> onderzoek en deskundigheidsbevordering. Hierbij kan een prominentere rol voor het Europees politienetwerk EU CULTNET een belangrijke bijdrage </w:t>
      </w:r>
      <w:r w:rsidR="007E723D">
        <w:rPr>
          <w:rFonts w:ascii="Verdana" w:hAnsi="Verdana"/>
          <w:sz w:val="18"/>
          <w:szCs w:val="18"/>
          <w:lang w:val="nl-BE"/>
        </w:rPr>
        <w:t>rol spelen</w:t>
      </w:r>
      <w:r w:rsidRPr="00DC5795">
        <w:rPr>
          <w:rFonts w:ascii="Verdana" w:hAnsi="Verdana"/>
          <w:sz w:val="18"/>
          <w:szCs w:val="18"/>
          <w:lang w:val="nl-BE"/>
        </w:rPr>
        <w:t>.</w:t>
      </w:r>
      <w:r w:rsidR="008767F6">
        <w:rPr>
          <w:rStyle w:val="Voetnootmarkering"/>
          <w:rFonts w:ascii="Verdana" w:hAnsi="Verdana"/>
          <w:sz w:val="18"/>
          <w:szCs w:val="18"/>
          <w:lang w:val="nl-BE"/>
        </w:rPr>
        <w:footnoteReference w:id="3"/>
      </w:r>
      <w:r w:rsidR="00AD26E9">
        <w:rPr>
          <w:rFonts w:ascii="Verdana" w:hAnsi="Verdana"/>
          <w:sz w:val="18"/>
          <w:szCs w:val="18"/>
          <w:lang w:val="nl-BE"/>
        </w:rPr>
        <w:t xml:space="preserve"> </w:t>
      </w:r>
    </w:p>
    <w:p w:rsidR="008B619C" w:rsidP="008B619C" w:rsidRDefault="008B619C" w14:paraId="0788AD0B" w14:textId="5F83207D">
      <w:pPr>
        <w:pStyle w:val="Lijstalinea"/>
        <w:numPr>
          <w:ilvl w:val="0"/>
          <w:numId w:val="3"/>
        </w:numPr>
        <w:jc w:val="both"/>
        <w:rPr>
          <w:rFonts w:ascii="Verdana" w:hAnsi="Verdana"/>
          <w:b/>
          <w:bCs/>
          <w:sz w:val="18"/>
          <w:szCs w:val="18"/>
        </w:rPr>
      </w:pPr>
      <w:r>
        <w:rPr>
          <w:rFonts w:ascii="Verdana" w:hAnsi="Verdana"/>
          <w:b/>
          <w:bCs/>
          <w:sz w:val="18"/>
          <w:szCs w:val="18"/>
        </w:rPr>
        <w:t xml:space="preserve">Werklunch – Het bevorderen van alternatieven voor detentie voor jongeren waaronder </w:t>
      </w:r>
      <w:r w:rsidRPr="004649E9">
        <w:rPr>
          <w:rFonts w:ascii="Verdana" w:hAnsi="Verdana"/>
          <w:b/>
          <w:bCs/>
          <w:sz w:val="18"/>
          <w:szCs w:val="18"/>
        </w:rPr>
        <w:t>doorverwijzen naar een</w:t>
      </w:r>
      <w:r>
        <w:rPr>
          <w:rFonts w:ascii="Verdana" w:hAnsi="Verdana"/>
          <w:b/>
          <w:bCs/>
          <w:sz w:val="18"/>
          <w:szCs w:val="18"/>
        </w:rPr>
        <w:t xml:space="preserve"> drugsbehandeling</w:t>
      </w:r>
    </w:p>
    <w:p w:rsidR="00106262" w:rsidP="008B619C" w:rsidRDefault="00F578B7" w14:paraId="24F9FB7D" w14:textId="0A322CE5">
      <w:pPr>
        <w:jc w:val="both"/>
        <w:rPr>
          <w:rFonts w:ascii="Verdana" w:hAnsi="Verdana"/>
          <w:sz w:val="18"/>
          <w:szCs w:val="18"/>
        </w:rPr>
      </w:pPr>
      <w:r w:rsidRPr="00F578B7">
        <w:rPr>
          <w:rFonts w:ascii="Verdana" w:hAnsi="Verdana"/>
          <w:sz w:val="18"/>
          <w:szCs w:val="18"/>
        </w:rPr>
        <w:t xml:space="preserve">Tijdens de werklunch stond centraal hoe jongeren en jongvolwassenen met drugsproblematiek die in aanraking komen met het strafrecht effectief kunnen worden doorverwezen naar alternatieven voor detentie. </w:t>
      </w:r>
      <w:r w:rsidRPr="00106262" w:rsidR="00106262">
        <w:rPr>
          <w:rFonts w:ascii="Verdana" w:hAnsi="Verdana"/>
          <w:sz w:val="18"/>
          <w:szCs w:val="18"/>
        </w:rPr>
        <w:t xml:space="preserve">Het Cypriotische </w:t>
      </w:r>
      <w:r w:rsidR="003921D3">
        <w:rPr>
          <w:rFonts w:ascii="Verdana" w:hAnsi="Verdana"/>
          <w:sz w:val="18"/>
          <w:szCs w:val="18"/>
        </w:rPr>
        <w:t>v</w:t>
      </w:r>
      <w:r w:rsidRPr="00106262" w:rsidR="00106262">
        <w:rPr>
          <w:rFonts w:ascii="Verdana" w:hAnsi="Verdana"/>
          <w:sz w:val="18"/>
          <w:szCs w:val="18"/>
        </w:rPr>
        <w:t xml:space="preserve">oorzitterschap presenteerde hun systeem van </w:t>
      </w:r>
      <w:proofErr w:type="spellStart"/>
      <w:r w:rsidRPr="003E50E9" w:rsidR="00106262">
        <w:rPr>
          <w:rFonts w:ascii="Verdana" w:hAnsi="Verdana"/>
          <w:i/>
          <w:iCs/>
          <w:sz w:val="18"/>
          <w:szCs w:val="18"/>
        </w:rPr>
        <w:t>Social</w:t>
      </w:r>
      <w:proofErr w:type="spellEnd"/>
      <w:r w:rsidRPr="003E50E9" w:rsidR="00106262">
        <w:rPr>
          <w:rFonts w:ascii="Verdana" w:hAnsi="Verdana"/>
          <w:i/>
          <w:iCs/>
          <w:sz w:val="18"/>
          <w:szCs w:val="18"/>
        </w:rPr>
        <w:t xml:space="preserve"> </w:t>
      </w:r>
      <w:proofErr w:type="spellStart"/>
      <w:r w:rsidRPr="003E50E9" w:rsidR="00106262">
        <w:rPr>
          <w:rFonts w:ascii="Verdana" w:hAnsi="Verdana"/>
          <w:i/>
          <w:iCs/>
          <w:sz w:val="18"/>
          <w:szCs w:val="18"/>
        </w:rPr>
        <w:t>Intervention</w:t>
      </w:r>
      <w:proofErr w:type="spellEnd"/>
      <w:r w:rsidRPr="003E50E9" w:rsidR="00106262">
        <w:rPr>
          <w:rFonts w:ascii="Verdana" w:hAnsi="Verdana"/>
          <w:i/>
          <w:iCs/>
          <w:sz w:val="18"/>
          <w:szCs w:val="18"/>
        </w:rPr>
        <w:t xml:space="preserve"> </w:t>
      </w:r>
      <w:proofErr w:type="spellStart"/>
      <w:r w:rsidRPr="003E50E9" w:rsidR="00106262">
        <w:rPr>
          <w:rFonts w:ascii="Verdana" w:hAnsi="Verdana"/>
          <w:i/>
          <w:iCs/>
          <w:sz w:val="18"/>
          <w:szCs w:val="18"/>
        </w:rPr>
        <w:t>Officers</w:t>
      </w:r>
      <w:proofErr w:type="spellEnd"/>
      <w:r w:rsidRPr="003E50E9" w:rsidR="00106262">
        <w:rPr>
          <w:rFonts w:ascii="Verdana" w:hAnsi="Verdana"/>
          <w:i/>
          <w:iCs/>
          <w:sz w:val="18"/>
          <w:szCs w:val="18"/>
        </w:rPr>
        <w:t xml:space="preserve"> </w:t>
      </w:r>
      <w:r w:rsidR="003921D3">
        <w:rPr>
          <w:rFonts w:ascii="Verdana" w:hAnsi="Verdana"/>
          <w:sz w:val="18"/>
          <w:szCs w:val="18"/>
        </w:rPr>
        <w:t>waarbij</w:t>
      </w:r>
      <w:r w:rsidRPr="00106262" w:rsidR="003921D3">
        <w:rPr>
          <w:rFonts w:ascii="Verdana" w:hAnsi="Verdana"/>
          <w:sz w:val="18"/>
          <w:szCs w:val="18"/>
        </w:rPr>
        <w:t xml:space="preserve"> </w:t>
      </w:r>
      <w:r w:rsidRPr="00106262" w:rsidR="00106262">
        <w:rPr>
          <w:rFonts w:ascii="Verdana" w:hAnsi="Verdana"/>
          <w:sz w:val="18"/>
          <w:szCs w:val="18"/>
        </w:rPr>
        <w:t>gespecialiseerde politieagenten met een achtergrond in sociale wetenschappen</w:t>
      </w:r>
      <w:r w:rsidR="003921D3">
        <w:rPr>
          <w:rFonts w:ascii="Verdana" w:hAnsi="Verdana"/>
          <w:sz w:val="18"/>
          <w:szCs w:val="18"/>
        </w:rPr>
        <w:t xml:space="preserve"> worden ingezet</w:t>
      </w:r>
      <w:r w:rsidRPr="00106262" w:rsidR="00106262">
        <w:rPr>
          <w:rFonts w:ascii="Verdana" w:hAnsi="Verdana"/>
          <w:sz w:val="18"/>
          <w:szCs w:val="18"/>
        </w:rPr>
        <w:t xml:space="preserve">. </w:t>
      </w:r>
      <w:r w:rsidR="003921D3">
        <w:rPr>
          <w:rFonts w:ascii="Verdana" w:hAnsi="Verdana"/>
          <w:sz w:val="18"/>
          <w:szCs w:val="18"/>
        </w:rPr>
        <w:t>Deze agenten</w:t>
      </w:r>
      <w:r w:rsidRPr="00106262" w:rsidR="003921D3">
        <w:rPr>
          <w:rFonts w:ascii="Verdana" w:hAnsi="Verdana"/>
          <w:sz w:val="18"/>
          <w:szCs w:val="18"/>
        </w:rPr>
        <w:t xml:space="preserve"> </w:t>
      </w:r>
      <w:r w:rsidR="003921D3">
        <w:rPr>
          <w:rFonts w:ascii="Verdana" w:hAnsi="Verdana"/>
          <w:sz w:val="18"/>
          <w:szCs w:val="18"/>
        </w:rPr>
        <w:t>hebben de mogelijkheid</w:t>
      </w:r>
      <w:r w:rsidRPr="00106262" w:rsidR="003921D3">
        <w:rPr>
          <w:rFonts w:ascii="Verdana" w:hAnsi="Verdana"/>
          <w:sz w:val="18"/>
          <w:szCs w:val="18"/>
        </w:rPr>
        <w:t xml:space="preserve"> </w:t>
      </w:r>
      <w:r w:rsidRPr="00106262" w:rsidR="00106262">
        <w:rPr>
          <w:rFonts w:ascii="Verdana" w:hAnsi="Verdana"/>
          <w:sz w:val="18"/>
          <w:szCs w:val="18"/>
        </w:rPr>
        <w:t>eerste delinquenten met een drugsachtergrond</w:t>
      </w:r>
      <w:r w:rsidR="003921D3">
        <w:rPr>
          <w:rFonts w:ascii="Verdana" w:hAnsi="Verdana"/>
          <w:sz w:val="18"/>
          <w:szCs w:val="18"/>
        </w:rPr>
        <w:t xml:space="preserve"> </w:t>
      </w:r>
      <w:r w:rsidRPr="00106262" w:rsidR="00106262">
        <w:rPr>
          <w:rFonts w:ascii="Verdana" w:hAnsi="Verdana"/>
          <w:sz w:val="18"/>
          <w:szCs w:val="18"/>
        </w:rPr>
        <w:t>binnen een week door</w:t>
      </w:r>
      <w:r w:rsidR="003921D3">
        <w:rPr>
          <w:rFonts w:ascii="Verdana" w:hAnsi="Verdana"/>
          <w:sz w:val="18"/>
          <w:szCs w:val="18"/>
        </w:rPr>
        <w:t xml:space="preserve"> te verwijzen</w:t>
      </w:r>
      <w:r w:rsidRPr="00106262" w:rsidR="00106262">
        <w:rPr>
          <w:rFonts w:ascii="Verdana" w:hAnsi="Verdana"/>
          <w:sz w:val="18"/>
          <w:szCs w:val="18"/>
        </w:rPr>
        <w:t xml:space="preserve"> naar behandelcentra als alternatief voor strafvervolging. Het </w:t>
      </w:r>
      <w:r w:rsidR="003921D3">
        <w:rPr>
          <w:rFonts w:ascii="Verdana" w:hAnsi="Verdana"/>
          <w:sz w:val="18"/>
          <w:szCs w:val="18"/>
        </w:rPr>
        <w:t xml:space="preserve">Cypriotische voorzitterschap </w:t>
      </w:r>
      <w:r w:rsidR="00C73502">
        <w:rPr>
          <w:rFonts w:ascii="Verdana" w:hAnsi="Verdana"/>
          <w:sz w:val="18"/>
          <w:szCs w:val="18"/>
        </w:rPr>
        <w:t xml:space="preserve">sprak over een succesvol </w:t>
      </w:r>
      <w:r w:rsidRPr="00106262" w:rsidR="00106262">
        <w:rPr>
          <w:rFonts w:ascii="Verdana" w:hAnsi="Verdana"/>
          <w:sz w:val="18"/>
          <w:szCs w:val="18"/>
        </w:rPr>
        <w:t>programma</w:t>
      </w:r>
      <w:r w:rsidR="00C73502">
        <w:rPr>
          <w:rFonts w:ascii="Verdana" w:hAnsi="Verdana"/>
          <w:sz w:val="18"/>
          <w:szCs w:val="18"/>
        </w:rPr>
        <w:t>, dat momenteel</w:t>
      </w:r>
      <w:r w:rsidRPr="00106262" w:rsidR="00106262">
        <w:rPr>
          <w:rFonts w:ascii="Verdana" w:hAnsi="Verdana"/>
          <w:sz w:val="18"/>
          <w:szCs w:val="18"/>
        </w:rPr>
        <w:t xml:space="preserve"> wordt geëvalueerd</w:t>
      </w:r>
      <w:r w:rsidR="00106262">
        <w:rPr>
          <w:rFonts w:ascii="Verdana" w:hAnsi="Verdana"/>
          <w:sz w:val="18"/>
          <w:szCs w:val="18"/>
        </w:rPr>
        <w:t>.</w:t>
      </w:r>
    </w:p>
    <w:p w:rsidR="008B619C" w:rsidP="008B619C" w:rsidRDefault="00F578B7" w14:paraId="2CDAB0BF" w14:textId="6F0E74ED">
      <w:pPr>
        <w:jc w:val="both"/>
        <w:rPr>
          <w:rFonts w:ascii="Verdana" w:hAnsi="Verdana"/>
          <w:sz w:val="18"/>
          <w:szCs w:val="18"/>
        </w:rPr>
      </w:pPr>
      <w:r w:rsidRPr="00F578B7">
        <w:rPr>
          <w:rFonts w:ascii="Verdana" w:hAnsi="Verdana"/>
          <w:sz w:val="18"/>
          <w:szCs w:val="18"/>
        </w:rPr>
        <w:t>De Europese Commissie benadrukt</w:t>
      </w:r>
      <w:r w:rsidR="00C73502">
        <w:rPr>
          <w:rFonts w:ascii="Verdana" w:hAnsi="Verdana"/>
          <w:sz w:val="18"/>
          <w:szCs w:val="18"/>
        </w:rPr>
        <w:t>e</w:t>
      </w:r>
      <w:r w:rsidRPr="00F578B7">
        <w:rPr>
          <w:rFonts w:ascii="Verdana" w:hAnsi="Verdana"/>
          <w:sz w:val="18"/>
          <w:szCs w:val="18"/>
        </w:rPr>
        <w:t xml:space="preserve"> het belang van preventie en het voorkomen van recidi</w:t>
      </w:r>
      <w:r w:rsidR="007E723D">
        <w:rPr>
          <w:rFonts w:ascii="Verdana" w:hAnsi="Verdana"/>
          <w:sz w:val="18"/>
          <w:szCs w:val="18"/>
        </w:rPr>
        <w:t>v</w:t>
      </w:r>
      <w:r w:rsidRPr="00F578B7">
        <w:rPr>
          <w:rFonts w:ascii="Verdana" w:hAnsi="Verdana"/>
          <w:sz w:val="18"/>
          <w:szCs w:val="18"/>
        </w:rPr>
        <w:t xml:space="preserve">e, met als doel jongeren zo snel mogelijk uit het criminele circuit te halen en hun strafrechtelijke trajecten zo kort mogelijk te houden. Deze visie </w:t>
      </w:r>
      <w:r w:rsidR="00C73502">
        <w:rPr>
          <w:rFonts w:ascii="Verdana" w:hAnsi="Verdana"/>
          <w:sz w:val="18"/>
          <w:szCs w:val="18"/>
        </w:rPr>
        <w:t>werd</w:t>
      </w:r>
      <w:r w:rsidRPr="00F578B7" w:rsidR="00C73502">
        <w:rPr>
          <w:rFonts w:ascii="Verdana" w:hAnsi="Verdana"/>
          <w:sz w:val="18"/>
          <w:szCs w:val="18"/>
        </w:rPr>
        <w:t xml:space="preserve"> </w:t>
      </w:r>
      <w:r w:rsidRPr="00F578B7">
        <w:rPr>
          <w:rFonts w:ascii="Verdana" w:hAnsi="Verdana"/>
          <w:sz w:val="18"/>
          <w:szCs w:val="18"/>
        </w:rPr>
        <w:t>gedeeld door het Europees Parlement, het Europees Bureau voor de grondrechten (FRA) en het Europees Drugsagentschap (EUDA)</w:t>
      </w:r>
      <w:r w:rsidR="007B424B">
        <w:rPr>
          <w:rFonts w:ascii="Verdana" w:hAnsi="Verdana"/>
          <w:sz w:val="18"/>
          <w:szCs w:val="18"/>
        </w:rPr>
        <w:t xml:space="preserve">. </w:t>
      </w:r>
    </w:p>
    <w:p w:rsidRPr="007B424B" w:rsidR="007B424B" w:rsidP="008B619C" w:rsidRDefault="00F578B7" w14:paraId="0EB2DA2E" w14:textId="109E6D32">
      <w:pPr>
        <w:jc w:val="both"/>
        <w:rPr>
          <w:rFonts w:ascii="Verdana" w:hAnsi="Verdana"/>
          <w:sz w:val="18"/>
          <w:szCs w:val="18"/>
        </w:rPr>
      </w:pPr>
      <w:r w:rsidRPr="00F578B7">
        <w:rPr>
          <w:rFonts w:ascii="Verdana" w:hAnsi="Verdana"/>
          <w:sz w:val="18"/>
          <w:szCs w:val="18"/>
        </w:rPr>
        <w:t xml:space="preserve">Nederland </w:t>
      </w:r>
      <w:r w:rsidR="00C73502">
        <w:rPr>
          <w:rFonts w:ascii="Verdana" w:hAnsi="Verdana"/>
          <w:sz w:val="18"/>
          <w:szCs w:val="18"/>
        </w:rPr>
        <w:t xml:space="preserve">bracht in dat </w:t>
      </w:r>
      <w:r w:rsidRPr="00F578B7">
        <w:rPr>
          <w:rFonts w:ascii="Verdana" w:hAnsi="Verdana"/>
          <w:sz w:val="18"/>
          <w:szCs w:val="18"/>
        </w:rPr>
        <w:t xml:space="preserve">voor het jeugdstrafrecht het principe </w:t>
      </w:r>
      <w:r w:rsidRPr="00F578B7" w:rsidR="00C73502">
        <w:rPr>
          <w:rFonts w:ascii="Verdana" w:hAnsi="Verdana"/>
          <w:sz w:val="18"/>
          <w:szCs w:val="18"/>
        </w:rPr>
        <w:t xml:space="preserve">geldt </w:t>
      </w:r>
      <w:r w:rsidRPr="00F578B7">
        <w:rPr>
          <w:rFonts w:ascii="Verdana" w:hAnsi="Verdana"/>
          <w:sz w:val="18"/>
          <w:szCs w:val="18"/>
        </w:rPr>
        <w:t>"licht waar het kan, zwaar waar het moet", met een sterke focus op het vinden van een passende straf</w:t>
      </w:r>
      <w:r w:rsidR="00C73502">
        <w:rPr>
          <w:rFonts w:ascii="Verdana" w:hAnsi="Verdana"/>
          <w:sz w:val="18"/>
          <w:szCs w:val="18"/>
        </w:rPr>
        <w:t>,</w:t>
      </w:r>
      <w:r w:rsidRPr="00F578B7">
        <w:rPr>
          <w:rFonts w:ascii="Verdana" w:hAnsi="Verdana"/>
          <w:sz w:val="18"/>
          <w:szCs w:val="18"/>
        </w:rPr>
        <w:t xml:space="preserve"> gecombineerd met hulp bij verslavingsproblematiek. </w:t>
      </w:r>
      <w:r w:rsidR="00C73502">
        <w:rPr>
          <w:rFonts w:ascii="Verdana" w:hAnsi="Verdana"/>
          <w:sz w:val="18"/>
          <w:szCs w:val="18"/>
        </w:rPr>
        <w:t>Nederland</w:t>
      </w:r>
      <w:r w:rsidRPr="00F578B7">
        <w:rPr>
          <w:rFonts w:ascii="Verdana" w:hAnsi="Verdana"/>
          <w:sz w:val="18"/>
          <w:szCs w:val="18"/>
        </w:rPr>
        <w:t xml:space="preserve"> steunt de uitwisseling van </w:t>
      </w:r>
      <w:r w:rsidRPr="00F578B7">
        <w:rPr>
          <w:rFonts w:ascii="Verdana" w:hAnsi="Verdana"/>
          <w:i/>
          <w:iCs/>
          <w:sz w:val="18"/>
          <w:szCs w:val="18"/>
        </w:rPr>
        <w:t xml:space="preserve">best </w:t>
      </w:r>
      <w:proofErr w:type="spellStart"/>
      <w:r w:rsidRPr="00F578B7">
        <w:rPr>
          <w:rFonts w:ascii="Verdana" w:hAnsi="Verdana"/>
          <w:i/>
          <w:iCs/>
          <w:sz w:val="18"/>
          <w:szCs w:val="18"/>
        </w:rPr>
        <w:t>practices</w:t>
      </w:r>
      <w:proofErr w:type="spellEnd"/>
      <w:r w:rsidRPr="00F578B7">
        <w:rPr>
          <w:rFonts w:ascii="Verdana" w:hAnsi="Verdana"/>
          <w:sz w:val="18"/>
          <w:szCs w:val="18"/>
        </w:rPr>
        <w:t xml:space="preserve"> op EU-niveau en ziet een belangrijke rol voor de EU op het gebied van kennisvergaring en het delen van </w:t>
      </w:r>
      <w:r w:rsidRPr="00F578B7">
        <w:rPr>
          <w:rFonts w:ascii="Verdana" w:hAnsi="Verdana"/>
          <w:i/>
          <w:iCs/>
          <w:sz w:val="18"/>
          <w:szCs w:val="18"/>
        </w:rPr>
        <w:t>risk assessment tools</w:t>
      </w:r>
      <w:r w:rsidRPr="00F578B7">
        <w:rPr>
          <w:rFonts w:ascii="Verdana" w:hAnsi="Verdana"/>
          <w:sz w:val="18"/>
          <w:szCs w:val="18"/>
        </w:rPr>
        <w:t xml:space="preserve">. Deze benadering </w:t>
      </w:r>
      <w:r w:rsidR="00C73502">
        <w:rPr>
          <w:rFonts w:ascii="Verdana" w:hAnsi="Verdana"/>
          <w:sz w:val="18"/>
          <w:szCs w:val="18"/>
        </w:rPr>
        <w:t>werd</w:t>
      </w:r>
      <w:r w:rsidRPr="00F578B7" w:rsidR="00C73502">
        <w:rPr>
          <w:rFonts w:ascii="Verdana" w:hAnsi="Verdana"/>
          <w:sz w:val="18"/>
          <w:szCs w:val="18"/>
        </w:rPr>
        <w:t xml:space="preserve"> </w:t>
      </w:r>
      <w:r w:rsidRPr="00F578B7">
        <w:rPr>
          <w:rFonts w:ascii="Verdana" w:hAnsi="Verdana"/>
          <w:sz w:val="18"/>
          <w:szCs w:val="18"/>
        </w:rPr>
        <w:t xml:space="preserve">door </w:t>
      </w:r>
      <w:r w:rsidR="00C73502">
        <w:rPr>
          <w:rFonts w:ascii="Verdana" w:hAnsi="Verdana"/>
          <w:sz w:val="18"/>
          <w:szCs w:val="18"/>
        </w:rPr>
        <w:t>meerdere</w:t>
      </w:r>
      <w:r w:rsidRPr="00F578B7" w:rsidR="00C73502">
        <w:rPr>
          <w:rFonts w:ascii="Verdana" w:hAnsi="Verdana"/>
          <w:sz w:val="18"/>
          <w:szCs w:val="18"/>
        </w:rPr>
        <w:t xml:space="preserve"> </w:t>
      </w:r>
      <w:r w:rsidRPr="00F578B7">
        <w:rPr>
          <w:rFonts w:ascii="Verdana" w:hAnsi="Verdana"/>
          <w:sz w:val="18"/>
          <w:szCs w:val="18"/>
        </w:rPr>
        <w:t>lidstaten onderschreven.</w:t>
      </w:r>
    </w:p>
    <w:sectPr w:rsidRPr="007B424B" w:rsidR="007B424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C0CF" w14:textId="77777777" w:rsidR="00AF62F9" w:rsidRDefault="00AF62F9" w:rsidP="00AD26E9">
      <w:pPr>
        <w:spacing w:after="0" w:line="240" w:lineRule="auto"/>
      </w:pPr>
      <w:r>
        <w:separator/>
      </w:r>
    </w:p>
  </w:endnote>
  <w:endnote w:type="continuationSeparator" w:id="0">
    <w:p w14:paraId="5117C063" w14:textId="77777777" w:rsidR="00AF62F9" w:rsidRDefault="00AF62F9" w:rsidP="00AD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828" w14:textId="77777777" w:rsidR="00AF62F9" w:rsidRDefault="00AF62F9" w:rsidP="00AD26E9">
      <w:pPr>
        <w:spacing w:after="0" w:line="240" w:lineRule="auto"/>
      </w:pPr>
      <w:r>
        <w:separator/>
      </w:r>
    </w:p>
  </w:footnote>
  <w:footnote w:type="continuationSeparator" w:id="0">
    <w:p w14:paraId="3CC29FAE" w14:textId="77777777" w:rsidR="00AF62F9" w:rsidRDefault="00AF62F9" w:rsidP="00AD26E9">
      <w:pPr>
        <w:spacing w:after="0" w:line="240" w:lineRule="auto"/>
      </w:pPr>
      <w:r>
        <w:continuationSeparator/>
      </w:r>
    </w:p>
  </w:footnote>
  <w:footnote w:id="1">
    <w:p w14:paraId="14FD3BEF" w14:textId="05B31456" w:rsidR="0049380C" w:rsidRDefault="0049380C">
      <w:pPr>
        <w:pStyle w:val="Voetnoottekst"/>
      </w:pPr>
      <w:r>
        <w:rPr>
          <w:rStyle w:val="Voetnootmarkering"/>
        </w:rPr>
        <w:footnoteRef/>
      </w:r>
      <w:r>
        <w:t xml:space="preserve"> Tweede Kamer, vergaderjaar 2025-2026, KST 32317, nr. 984.</w:t>
      </w:r>
    </w:p>
  </w:footnote>
  <w:footnote w:id="2">
    <w:p w14:paraId="23FA2466" w14:textId="593F5EDD" w:rsidR="00AD26E9" w:rsidRPr="004D4275" w:rsidRDefault="00AD26E9">
      <w:pPr>
        <w:pStyle w:val="Voetnoottekst"/>
        <w:rPr>
          <w:rFonts w:ascii="Verdana" w:hAnsi="Verdana"/>
          <w:sz w:val="16"/>
          <w:szCs w:val="16"/>
        </w:rPr>
      </w:pPr>
      <w:r w:rsidRPr="004D4275">
        <w:rPr>
          <w:rStyle w:val="Voetnootmarkering"/>
          <w:rFonts w:ascii="Verdana" w:hAnsi="Verdana"/>
          <w:sz w:val="16"/>
          <w:szCs w:val="16"/>
        </w:rPr>
        <w:footnoteRef/>
      </w:r>
      <w:r w:rsidRPr="004D4275">
        <w:rPr>
          <w:rFonts w:ascii="Verdana" w:hAnsi="Verdana"/>
          <w:sz w:val="16"/>
          <w:szCs w:val="16"/>
        </w:rPr>
        <w:t xml:space="preserve"> </w:t>
      </w:r>
      <w:proofErr w:type="spellStart"/>
      <w:r w:rsidRPr="004D4275">
        <w:rPr>
          <w:rFonts w:ascii="Verdana" w:hAnsi="Verdana"/>
          <w:i/>
          <w:iCs/>
          <w:sz w:val="16"/>
          <w:szCs w:val="16"/>
        </w:rPr>
        <w:t>Law</w:t>
      </w:r>
      <w:proofErr w:type="spellEnd"/>
      <w:r w:rsidRPr="004D4275">
        <w:rPr>
          <w:rFonts w:ascii="Verdana" w:hAnsi="Verdana"/>
          <w:i/>
          <w:iCs/>
          <w:sz w:val="16"/>
          <w:szCs w:val="16"/>
        </w:rPr>
        <w:t xml:space="preserve"> shopping</w:t>
      </w:r>
      <w:r w:rsidRPr="004D4275">
        <w:rPr>
          <w:rFonts w:ascii="Verdana" w:hAnsi="Verdana"/>
          <w:sz w:val="16"/>
          <w:szCs w:val="16"/>
        </w:rPr>
        <w:t xml:space="preserve"> betekent </w:t>
      </w:r>
      <w:r w:rsidR="00712BB7" w:rsidRPr="004D4275">
        <w:rPr>
          <w:rFonts w:ascii="Verdana" w:hAnsi="Verdana"/>
          <w:sz w:val="16"/>
          <w:szCs w:val="16"/>
        </w:rPr>
        <w:t xml:space="preserve">in deze context </w:t>
      </w:r>
      <w:r w:rsidRPr="004D4275">
        <w:rPr>
          <w:rFonts w:ascii="Verdana" w:hAnsi="Verdana"/>
          <w:sz w:val="16"/>
          <w:szCs w:val="16"/>
        </w:rPr>
        <w:t xml:space="preserve">dat partijen die betrokken zijn bij grensoverschrijdende zaken over onrechtmatig </w:t>
      </w:r>
      <w:r w:rsidR="00712BB7" w:rsidRPr="004D4275">
        <w:rPr>
          <w:rFonts w:ascii="Verdana" w:hAnsi="Verdana"/>
          <w:sz w:val="16"/>
          <w:szCs w:val="16"/>
        </w:rPr>
        <w:t xml:space="preserve">verkregen </w:t>
      </w:r>
      <w:r w:rsidRPr="004D4275">
        <w:rPr>
          <w:rFonts w:ascii="Verdana" w:hAnsi="Verdana"/>
          <w:sz w:val="16"/>
          <w:szCs w:val="16"/>
        </w:rPr>
        <w:t>cultuurgoederen bewust een rechtsgebied kiezen waar de wetgeving voor hen het gunstigst is.</w:t>
      </w:r>
    </w:p>
  </w:footnote>
  <w:footnote w:id="3">
    <w:p w14:paraId="17E20CCF" w14:textId="6D60E46C" w:rsidR="008767F6" w:rsidRPr="004D4275" w:rsidRDefault="008767F6">
      <w:pPr>
        <w:pStyle w:val="Voetnoottekst"/>
        <w:rPr>
          <w:rFonts w:ascii="Verdana" w:hAnsi="Verdana"/>
          <w:sz w:val="16"/>
          <w:szCs w:val="16"/>
        </w:rPr>
      </w:pPr>
      <w:r w:rsidRPr="004D4275">
        <w:rPr>
          <w:rStyle w:val="Voetnootmarkering"/>
          <w:rFonts w:ascii="Verdana" w:hAnsi="Verdana"/>
          <w:sz w:val="16"/>
          <w:szCs w:val="16"/>
        </w:rPr>
        <w:footnoteRef/>
      </w:r>
      <w:r w:rsidRPr="004D4275">
        <w:rPr>
          <w:rFonts w:ascii="Verdana" w:hAnsi="Verdana"/>
          <w:sz w:val="16"/>
          <w:szCs w:val="16"/>
        </w:rPr>
        <w:t xml:space="preserve"> CULTNET is een informeel EU netwerk van politieautoriteiten en deskundigen die bevoegd zijn op het gebied van de bescherming van cultureel erfgoed.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10399"/>
    <w:multiLevelType w:val="hybridMultilevel"/>
    <w:tmpl w:val="C42C70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7F0463"/>
    <w:multiLevelType w:val="hybridMultilevel"/>
    <w:tmpl w:val="80CEE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753AD6"/>
    <w:multiLevelType w:val="hybridMultilevel"/>
    <w:tmpl w:val="815050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524221">
    <w:abstractNumId w:val="2"/>
  </w:num>
  <w:num w:numId="2" w16cid:durableId="692076670">
    <w:abstractNumId w:val="0"/>
  </w:num>
  <w:num w:numId="3" w16cid:durableId="18055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9C"/>
    <w:rsid w:val="00062DE9"/>
    <w:rsid w:val="00082965"/>
    <w:rsid w:val="000E4EAC"/>
    <w:rsid w:val="00106262"/>
    <w:rsid w:val="00172167"/>
    <w:rsid w:val="001B09D6"/>
    <w:rsid w:val="001D6C1D"/>
    <w:rsid w:val="00335D08"/>
    <w:rsid w:val="00364892"/>
    <w:rsid w:val="00385796"/>
    <w:rsid w:val="003921D3"/>
    <w:rsid w:val="003E04C8"/>
    <w:rsid w:val="003E50E9"/>
    <w:rsid w:val="0043677C"/>
    <w:rsid w:val="0049380C"/>
    <w:rsid w:val="004D4275"/>
    <w:rsid w:val="00527A86"/>
    <w:rsid w:val="00597BA4"/>
    <w:rsid w:val="00620EAD"/>
    <w:rsid w:val="00673828"/>
    <w:rsid w:val="006C36CC"/>
    <w:rsid w:val="00712BB7"/>
    <w:rsid w:val="00720AFB"/>
    <w:rsid w:val="0073022C"/>
    <w:rsid w:val="00751D80"/>
    <w:rsid w:val="007909D9"/>
    <w:rsid w:val="007A63E4"/>
    <w:rsid w:val="007B424B"/>
    <w:rsid w:val="007E723D"/>
    <w:rsid w:val="007F21FB"/>
    <w:rsid w:val="00841A28"/>
    <w:rsid w:val="00852BD5"/>
    <w:rsid w:val="00863639"/>
    <w:rsid w:val="00864E86"/>
    <w:rsid w:val="0086554E"/>
    <w:rsid w:val="008767F6"/>
    <w:rsid w:val="008A4D8A"/>
    <w:rsid w:val="008B619C"/>
    <w:rsid w:val="008D0CC6"/>
    <w:rsid w:val="009A6F65"/>
    <w:rsid w:val="009E1EF6"/>
    <w:rsid w:val="00AD26E9"/>
    <w:rsid w:val="00AE4831"/>
    <w:rsid w:val="00AF62F9"/>
    <w:rsid w:val="00B325E4"/>
    <w:rsid w:val="00C26FB7"/>
    <w:rsid w:val="00C66DA3"/>
    <w:rsid w:val="00C73502"/>
    <w:rsid w:val="00CD5CE6"/>
    <w:rsid w:val="00CE2FA4"/>
    <w:rsid w:val="00D4362E"/>
    <w:rsid w:val="00D632EE"/>
    <w:rsid w:val="00DC5795"/>
    <w:rsid w:val="00E32ACA"/>
    <w:rsid w:val="00E97CC7"/>
    <w:rsid w:val="00EE3315"/>
    <w:rsid w:val="00F32D94"/>
    <w:rsid w:val="00F578B7"/>
    <w:rsid w:val="00FA6C2F"/>
    <w:rsid w:val="00FD6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F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6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61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1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1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1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1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1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1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1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61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61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1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1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1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1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1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19C"/>
    <w:rPr>
      <w:rFonts w:eastAsiaTheme="majorEastAsia" w:cstheme="majorBidi"/>
      <w:color w:val="272727" w:themeColor="text1" w:themeTint="D8"/>
    </w:rPr>
  </w:style>
  <w:style w:type="paragraph" w:styleId="Titel">
    <w:name w:val="Title"/>
    <w:basedOn w:val="Standaard"/>
    <w:next w:val="Standaard"/>
    <w:link w:val="TitelChar"/>
    <w:uiPriority w:val="10"/>
    <w:qFormat/>
    <w:rsid w:val="008B6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1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1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1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1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619C"/>
    <w:rPr>
      <w:i/>
      <w:iCs/>
      <w:color w:val="404040" w:themeColor="text1" w:themeTint="BF"/>
    </w:rPr>
  </w:style>
  <w:style w:type="paragraph" w:styleId="Lijstalinea">
    <w:name w:val="List Paragraph"/>
    <w:basedOn w:val="Standaard"/>
    <w:uiPriority w:val="34"/>
    <w:qFormat/>
    <w:rsid w:val="008B619C"/>
    <w:pPr>
      <w:ind w:left="720"/>
      <w:contextualSpacing/>
    </w:pPr>
  </w:style>
  <w:style w:type="character" w:styleId="Intensievebenadrukking">
    <w:name w:val="Intense Emphasis"/>
    <w:basedOn w:val="Standaardalinea-lettertype"/>
    <w:uiPriority w:val="21"/>
    <w:qFormat/>
    <w:rsid w:val="008B619C"/>
    <w:rPr>
      <w:i/>
      <w:iCs/>
      <w:color w:val="0F4761" w:themeColor="accent1" w:themeShade="BF"/>
    </w:rPr>
  </w:style>
  <w:style w:type="paragraph" w:styleId="Duidelijkcitaat">
    <w:name w:val="Intense Quote"/>
    <w:basedOn w:val="Standaard"/>
    <w:next w:val="Standaard"/>
    <w:link w:val="DuidelijkcitaatChar"/>
    <w:uiPriority w:val="30"/>
    <w:qFormat/>
    <w:rsid w:val="008B6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19C"/>
    <w:rPr>
      <w:i/>
      <w:iCs/>
      <w:color w:val="0F4761" w:themeColor="accent1" w:themeShade="BF"/>
    </w:rPr>
  </w:style>
  <w:style w:type="character" w:styleId="Intensieveverwijzing">
    <w:name w:val="Intense Reference"/>
    <w:basedOn w:val="Standaardalinea-lettertype"/>
    <w:uiPriority w:val="32"/>
    <w:qFormat/>
    <w:rsid w:val="008B619C"/>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62DE9"/>
    <w:rPr>
      <w:sz w:val="16"/>
      <w:szCs w:val="16"/>
    </w:rPr>
  </w:style>
  <w:style w:type="paragraph" w:styleId="Tekstopmerking">
    <w:name w:val="annotation text"/>
    <w:basedOn w:val="Standaard"/>
    <w:link w:val="TekstopmerkingChar"/>
    <w:uiPriority w:val="99"/>
    <w:unhideWhenUsed/>
    <w:rsid w:val="00062DE9"/>
    <w:pPr>
      <w:spacing w:line="240" w:lineRule="auto"/>
    </w:pPr>
    <w:rPr>
      <w:sz w:val="20"/>
      <w:szCs w:val="20"/>
    </w:rPr>
  </w:style>
  <w:style w:type="character" w:customStyle="1" w:styleId="TekstopmerkingChar">
    <w:name w:val="Tekst opmerking Char"/>
    <w:basedOn w:val="Standaardalinea-lettertype"/>
    <w:link w:val="Tekstopmerking"/>
    <w:uiPriority w:val="99"/>
    <w:rsid w:val="00062DE9"/>
    <w:rPr>
      <w:sz w:val="20"/>
      <w:szCs w:val="20"/>
    </w:rPr>
  </w:style>
  <w:style w:type="paragraph" w:styleId="Onderwerpvanopmerking">
    <w:name w:val="annotation subject"/>
    <w:basedOn w:val="Tekstopmerking"/>
    <w:next w:val="Tekstopmerking"/>
    <w:link w:val="OnderwerpvanopmerkingChar"/>
    <w:uiPriority w:val="99"/>
    <w:semiHidden/>
    <w:unhideWhenUsed/>
    <w:rsid w:val="00062DE9"/>
    <w:rPr>
      <w:b/>
      <w:bCs/>
    </w:rPr>
  </w:style>
  <w:style w:type="character" w:customStyle="1" w:styleId="OnderwerpvanopmerkingChar">
    <w:name w:val="Onderwerp van opmerking Char"/>
    <w:basedOn w:val="TekstopmerkingChar"/>
    <w:link w:val="Onderwerpvanopmerking"/>
    <w:uiPriority w:val="99"/>
    <w:semiHidden/>
    <w:rsid w:val="00062DE9"/>
    <w:rPr>
      <w:b/>
      <w:bCs/>
      <w:sz w:val="20"/>
      <w:szCs w:val="20"/>
    </w:rPr>
  </w:style>
  <w:style w:type="paragraph" w:styleId="Voetnoottekst">
    <w:name w:val="footnote text"/>
    <w:basedOn w:val="Standaard"/>
    <w:link w:val="VoetnoottekstChar"/>
    <w:uiPriority w:val="99"/>
    <w:semiHidden/>
    <w:unhideWhenUsed/>
    <w:rsid w:val="00AD26E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D26E9"/>
    <w:rPr>
      <w:sz w:val="20"/>
      <w:szCs w:val="20"/>
    </w:rPr>
  </w:style>
  <w:style w:type="character" w:styleId="Voetnootmarkering">
    <w:name w:val="footnote reference"/>
    <w:basedOn w:val="Standaardalinea-lettertype"/>
    <w:uiPriority w:val="99"/>
    <w:semiHidden/>
    <w:unhideWhenUsed/>
    <w:rsid w:val="00AD26E9"/>
    <w:rPr>
      <w:vertAlign w:val="superscript"/>
    </w:rPr>
  </w:style>
  <w:style w:type="paragraph" w:styleId="Revisie">
    <w:name w:val="Revision"/>
    <w:hidden/>
    <w:uiPriority w:val="99"/>
    <w:semiHidden/>
    <w:rsid w:val="00172167"/>
    <w:pPr>
      <w:spacing w:after="0" w:line="240" w:lineRule="auto"/>
    </w:pPr>
  </w:style>
  <w:style w:type="paragraph" w:styleId="Normaalweb">
    <w:name w:val="Normal (Web)"/>
    <w:basedOn w:val="Standaard"/>
    <w:uiPriority w:val="99"/>
    <w:semiHidden/>
    <w:unhideWhenUsed/>
    <w:rsid w:val="001721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69997">
      <w:bodyDiv w:val="1"/>
      <w:marLeft w:val="0"/>
      <w:marRight w:val="0"/>
      <w:marTop w:val="0"/>
      <w:marBottom w:val="0"/>
      <w:divBdr>
        <w:top w:val="none" w:sz="0" w:space="0" w:color="auto"/>
        <w:left w:val="none" w:sz="0" w:space="0" w:color="auto"/>
        <w:bottom w:val="none" w:sz="0" w:space="0" w:color="auto"/>
        <w:right w:val="none" w:sz="0" w:space="0" w:color="auto"/>
      </w:divBdr>
      <w:divsChild>
        <w:div w:id="211813584">
          <w:marLeft w:val="0"/>
          <w:marRight w:val="0"/>
          <w:marTop w:val="0"/>
          <w:marBottom w:val="0"/>
          <w:divBdr>
            <w:top w:val="none" w:sz="0" w:space="0" w:color="auto"/>
            <w:left w:val="none" w:sz="0" w:space="0" w:color="auto"/>
            <w:bottom w:val="none" w:sz="0" w:space="0" w:color="auto"/>
            <w:right w:val="none" w:sz="0" w:space="0" w:color="auto"/>
          </w:divBdr>
          <w:divsChild>
            <w:div w:id="1377658360">
              <w:marLeft w:val="0"/>
              <w:marRight w:val="0"/>
              <w:marTop w:val="0"/>
              <w:marBottom w:val="0"/>
              <w:divBdr>
                <w:top w:val="none" w:sz="0" w:space="0" w:color="auto"/>
                <w:left w:val="none" w:sz="0" w:space="0" w:color="auto"/>
                <w:bottom w:val="none" w:sz="0" w:space="0" w:color="auto"/>
                <w:right w:val="none" w:sz="0" w:space="0" w:color="auto"/>
              </w:divBdr>
              <w:divsChild>
                <w:div w:id="621958082">
                  <w:marLeft w:val="0"/>
                  <w:marRight w:val="0"/>
                  <w:marTop w:val="0"/>
                  <w:marBottom w:val="0"/>
                  <w:divBdr>
                    <w:top w:val="none" w:sz="0" w:space="0" w:color="auto"/>
                    <w:left w:val="none" w:sz="0" w:space="0" w:color="auto"/>
                    <w:bottom w:val="none" w:sz="0" w:space="0" w:color="auto"/>
                    <w:right w:val="none" w:sz="0" w:space="0" w:color="auto"/>
                  </w:divBdr>
                  <w:divsChild>
                    <w:div w:id="609514712">
                      <w:marLeft w:val="0"/>
                      <w:marRight w:val="0"/>
                      <w:marTop w:val="0"/>
                      <w:marBottom w:val="0"/>
                      <w:divBdr>
                        <w:top w:val="none" w:sz="0" w:space="0" w:color="auto"/>
                        <w:left w:val="none" w:sz="0" w:space="0" w:color="auto"/>
                        <w:bottom w:val="none" w:sz="0" w:space="0" w:color="auto"/>
                        <w:right w:val="none" w:sz="0" w:space="0" w:color="auto"/>
                      </w:divBdr>
                      <w:divsChild>
                        <w:div w:id="1579972117">
                          <w:marLeft w:val="0"/>
                          <w:marRight w:val="0"/>
                          <w:marTop w:val="0"/>
                          <w:marBottom w:val="0"/>
                          <w:divBdr>
                            <w:top w:val="none" w:sz="0" w:space="0" w:color="auto"/>
                            <w:left w:val="none" w:sz="0" w:space="0" w:color="auto"/>
                            <w:bottom w:val="none" w:sz="0" w:space="0" w:color="auto"/>
                            <w:right w:val="none" w:sz="0" w:space="0" w:color="auto"/>
                          </w:divBdr>
                          <w:divsChild>
                            <w:div w:id="822887558">
                              <w:marLeft w:val="0"/>
                              <w:marRight w:val="0"/>
                              <w:marTop w:val="0"/>
                              <w:marBottom w:val="0"/>
                              <w:divBdr>
                                <w:top w:val="none" w:sz="0" w:space="0" w:color="auto"/>
                                <w:left w:val="none" w:sz="0" w:space="0" w:color="auto"/>
                                <w:bottom w:val="none" w:sz="0" w:space="0" w:color="auto"/>
                                <w:right w:val="none" w:sz="0" w:space="0" w:color="auto"/>
                              </w:divBdr>
                              <w:divsChild>
                                <w:div w:id="19500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505832">
      <w:bodyDiv w:val="1"/>
      <w:marLeft w:val="0"/>
      <w:marRight w:val="0"/>
      <w:marTop w:val="0"/>
      <w:marBottom w:val="0"/>
      <w:divBdr>
        <w:top w:val="none" w:sz="0" w:space="0" w:color="auto"/>
        <w:left w:val="none" w:sz="0" w:space="0" w:color="auto"/>
        <w:bottom w:val="none" w:sz="0" w:space="0" w:color="auto"/>
        <w:right w:val="none" w:sz="0" w:space="0" w:color="auto"/>
      </w:divBdr>
      <w:divsChild>
        <w:div w:id="1282109700">
          <w:marLeft w:val="0"/>
          <w:marRight w:val="0"/>
          <w:marTop w:val="0"/>
          <w:marBottom w:val="0"/>
          <w:divBdr>
            <w:top w:val="none" w:sz="0" w:space="0" w:color="auto"/>
            <w:left w:val="none" w:sz="0" w:space="0" w:color="auto"/>
            <w:bottom w:val="none" w:sz="0" w:space="0" w:color="auto"/>
            <w:right w:val="none" w:sz="0" w:space="0" w:color="auto"/>
          </w:divBdr>
          <w:divsChild>
            <w:div w:id="1126002948">
              <w:marLeft w:val="0"/>
              <w:marRight w:val="0"/>
              <w:marTop w:val="0"/>
              <w:marBottom w:val="0"/>
              <w:divBdr>
                <w:top w:val="none" w:sz="0" w:space="0" w:color="auto"/>
                <w:left w:val="none" w:sz="0" w:space="0" w:color="auto"/>
                <w:bottom w:val="none" w:sz="0" w:space="0" w:color="auto"/>
                <w:right w:val="none" w:sz="0" w:space="0" w:color="auto"/>
              </w:divBdr>
              <w:divsChild>
                <w:div w:id="1874686876">
                  <w:marLeft w:val="0"/>
                  <w:marRight w:val="0"/>
                  <w:marTop w:val="0"/>
                  <w:marBottom w:val="0"/>
                  <w:divBdr>
                    <w:top w:val="none" w:sz="0" w:space="0" w:color="auto"/>
                    <w:left w:val="none" w:sz="0" w:space="0" w:color="auto"/>
                    <w:bottom w:val="none" w:sz="0" w:space="0" w:color="auto"/>
                    <w:right w:val="none" w:sz="0" w:space="0" w:color="auto"/>
                  </w:divBdr>
                  <w:divsChild>
                    <w:div w:id="921915143">
                      <w:marLeft w:val="0"/>
                      <w:marRight w:val="0"/>
                      <w:marTop w:val="0"/>
                      <w:marBottom w:val="0"/>
                      <w:divBdr>
                        <w:top w:val="none" w:sz="0" w:space="0" w:color="auto"/>
                        <w:left w:val="none" w:sz="0" w:space="0" w:color="auto"/>
                        <w:bottom w:val="none" w:sz="0" w:space="0" w:color="auto"/>
                        <w:right w:val="none" w:sz="0" w:space="0" w:color="auto"/>
                      </w:divBdr>
                      <w:divsChild>
                        <w:div w:id="502552657">
                          <w:marLeft w:val="0"/>
                          <w:marRight w:val="0"/>
                          <w:marTop w:val="0"/>
                          <w:marBottom w:val="0"/>
                          <w:divBdr>
                            <w:top w:val="none" w:sz="0" w:space="0" w:color="auto"/>
                            <w:left w:val="none" w:sz="0" w:space="0" w:color="auto"/>
                            <w:bottom w:val="none" w:sz="0" w:space="0" w:color="auto"/>
                            <w:right w:val="none" w:sz="0" w:space="0" w:color="auto"/>
                          </w:divBdr>
                          <w:divsChild>
                            <w:div w:id="103422285">
                              <w:marLeft w:val="0"/>
                              <w:marRight w:val="0"/>
                              <w:marTop w:val="0"/>
                              <w:marBottom w:val="0"/>
                              <w:divBdr>
                                <w:top w:val="none" w:sz="0" w:space="0" w:color="auto"/>
                                <w:left w:val="none" w:sz="0" w:space="0" w:color="auto"/>
                                <w:bottom w:val="none" w:sz="0" w:space="0" w:color="auto"/>
                                <w:right w:val="none" w:sz="0" w:space="0" w:color="auto"/>
                              </w:divBdr>
                              <w:divsChild>
                                <w:div w:id="19231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1648</ap:Words>
  <ap:Characters>9064</ap:Characters>
  <ap:DocSecurity>0</ap:DocSecurity>
  <ap:Lines>75</ap:Lines>
  <ap:Paragraphs>21</ap:Paragraphs>
  <ap:ScaleCrop>false</ap:ScaleCrop>
  <ap:LinksUpToDate>false</ap:LinksUpToDate>
  <ap:CharactersWithSpaces>10691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2026-02-03T09:14:00.0000000Z</dcterms:created>
  <dcterms:modified xsi:type="dcterms:W3CDTF">2026-02-03T09:14:00.0000000Z</dcterms:modified>
  <version/>
  <category/>
</coreProperties>
</file>