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2026Z02187</w:t>
        <w:br/>
      </w:r>
      <w:proofErr w:type="spellEnd"/>
    </w:p>
    <w:p>
      <w:pPr>
        <w:pStyle w:val="Normal"/>
        <w:rPr>
          <w:b w:val="1"/>
          <w:bCs w:val="1"/>
        </w:rPr>
      </w:pPr>
      <w:r w:rsidR="250AE766">
        <w:rPr>
          <w:b w:val="0"/>
          <w:bCs w:val="0"/>
        </w:rPr>
        <w:t>(ingezonden 3 februari 2026)</w:t>
        <w:br/>
      </w:r>
    </w:p>
    <w:p>
      <w:r>
        <w:t xml:space="preserve">Vragen van het lid Ceder (ChristenUnie) aan de minister van Onderwijs, Cultuur en Wetenschap over het bericht ‘Kerk mag de Grote Kerk van Alkmaar niet huren voor paasdienst. ‘Geen religieuze samenkomsten’'</w:t>
      </w:r>
      <w:r>
        <w:br/>
      </w:r>
    </w:p>
    <w:p>
      <w:pPr>
        <w:pStyle w:val="ListParagraph"/>
        <w:numPr>
          <w:ilvl w:val="0"/>
          <w:numId w:val="100496290"/>
        </w:numPr>
        <w:ind w:left="360"/>
      </w:pPr>
      <w:r>
        <w:t xml:space="preserve">Heeft u kennisgenomen van het bericht over het weigeren van de verhuur van de Grote Kerk in Alkmaar voor een gezamenlijke paasdienst van de Protestantse Gemeente van Alkmaar, terwijl het gebouw wel wordt verhuurd voor andere bijeenkomsten zoals culturele evenementen en bijvoorbeeld whiskyproeverijen? 1)</w:t>
      </w:r>
      <w:r>
        <w:br/>
      </w:r>
    </w:p>
    <w:p>
      <w:pPr>
        <w:pStyle w:val="ListParagraph"/>
        <w:numPr>
          <w:ilvl w:val="0"/>
          <w:numId w:val="100496290"/>
        </w:numPr>
        <w:ind w:left="360"/>
      </w:pPr>
      <w:r>
        <w:t xml:space="preserve">Hoe verhoudt het weigeren van religieuze samenkomsten zich volgens u tot het uitgangspunt van inclusiviteit dat veel culturele instellingen, mede met steun van de overheid, nastreven en in hoeverre verhoudt dit zich specifiek tot een historisch kerkgebouw (met een beschermde rijksmonumentale status)?</w:t>
      </w:r>
      <w:r>
        <w:br/>
      </w:r>
    </w:p>
    <w:p>
      <w:pPr>
        <w:pStyle w:val="ListParagraph"/>
        <w:numPr>
          <w:ilvl w:val="0"/>
          <w:numId w:val="100496290"/>
        </w:numPr>
        <w:ind w:left="360"/>
      </w:pPr>
      <w:r>
        <w:t xml:space="preserve">Deelt u de opvatting dat religieuze bijeenkomsten, waaronder gebedsdiensten, onderdeel zijn van het immaterieel cultureel erfgoed en van oudsher verbonden zijn met kerkgebouwen die een cultuurhistorische functie hebben?</w:t>
      </w:r>
      <w:r>
        <w:br/>
      </w:r>
    </w:p>
    <w:p>
      <w:pPr>
        <w:pStyle w:val="ListParagraph"/>
        <w:numPr>
          <w:ilvl w:val="0"/>
          <w:numId w:val="100496290"/>
        </w:numPr>
        <w:ind w:left="360"/>
      </w:pPr>
      <w:r>
        <w:t xml:space="preserve">Hoe verhoudt deze opstelling zich tot de Algemene wet gelijke behandeling?</w:t>
      </w:r>
      <w:r>
        <w:br/>
      </w:r>
    </w:p>
    <w:p>
      <w:pPr>
        <w:pStyle w:val="ListParagraph"/>
        <w:numPr>
          <w:ilvl w:val="0"/>
          <w:numId w:val="100496290"/>
        </w:numPr>
        <w:ind w:left="360"/>
      </w:pPr>
      <w:r>
        <w:t xml:space="preserve">Krijgt de stichting behoud Grote Kerk direct of indirect subsidie van het ministerie van OCW voor beheer of instandhouding van het kerkgebouw? Zo ja, hoeveel?</w:t>
      </w:r>
      <w:r>
        <w:br/>
      </w:r>
    </w:p>
    <w:p>
      <w:pPr>
        <w:pStyle w:val="ListParagraph"/>
        <w:numPr>
          <w:ilvl w:val="0"/>
          <w:numId w:val="100496290"/>
        </w:numPr>
        <w:ind w:left="360"/>
      </w:pPr>
      <w:r>
        <w:t xml:space="preserve">Kunt u toelichten welke voorwaarden uw ministerie verbindt aan subsidies voor het behoud en de exploitatie van religieus erfgoed en of daarbij aandacht is voor non-discriminatie en gelijke toegang voor verschillende vormen van gebruik, waaronder religieus gebruik?</w:t>
      </w:r>
      <w:r>
        <w:br/>
      </w:r>
    </w:p>
    <w:p>
      <w:pPr>
        <w:pStyle w:val="ListParagraph"/>
        <w:numPr>
          <w:ilvl w:val="0"/>
          <w:numId w:val="100496290"/>
        </w:numPr>
        <w:ind w:left="360"/>
      </w:pPr>
      <w:r>
        <w:t xml:space="preserve">Acht u het wenselijk dat een gebouw met een eeuwenlange religieuze functie, dat tegenwoordig mede met publieke middelen in stand wordt gehouden, expliciet wordt uitgesloten van religieus gebruik, terwijl andere vormen van samenkomst wel zijn toegestaan?</w:t>
      </w:r>
      <w:r>
        <w:br/>
      </w:r>
    </w:p>
    <w:p>
      <w:pPr>
        <w:pStyle w:val="ListParagraph"/>
        <w:numPr>
          <w:ilvl w:val="0"/>
          <w:numId w:val="100496290"/>
        </w:numPr>
        <w:ind w:left="360"/>
      </w:pPr>
      <w:r>
        <w:t xml:space="preserve">Vindt u het verenigbaar met het doel van deze subsidies dat religieuze gemeenschappen worden uitgesloten van gebruik van religieus erfgoed, terwijl zij historisch en inhoudelijk nauw met dat erfgoed verbonden zijn?</w:t>
      </w:r>
      <w:r>
        <w:br/>
      </w:r>
    </w:p>
    <w:p>
      <w:pPr>
        <w:pStyle w:val="ListParagraph"/>
        <w:numPr>
          <w:ilvl w:val="0"/>
          <w:numId w:val="100496290"/>
        </w:numPr>
        <w:ind w:left="360"/>
      </w:pPr>
      <w:r>
        <w:t xml:space="preserve">Bent u bereid te onderzoeken of het huidige subsidiebeleid van uw ministerie voldoende waarborgen bevat om te voorkomen dat met publieke middelen ondersteunde instellingen bepaalde levensbeschouwelijke groepen structureel uitsluiten?</w:t>
      </w:r>
      <w:r>
        <w:br/>
      </w:r>
    </w:p>
    <w:p>
      <w:pPr>
        <w:pStyle w:val="ListParagraph"/>
        <w:numPr>
          <w:ilvl w:val="0"/>
          <w:numId w:val="100496290"/>
        </w:numPr>
        <w:ind w:left="360"/>
      </w:pPr>
      <w:r>
        <w:t xml:space="preserve">Ziet u mogelijkheden om, in overleg met gemeenten en gesubsidieerde erfgoedinstellingen, richtlijnen te bevorderen waarin recht wordt gedaan aan zowel de culturele als de religieuze betekenis van voormalige kerkgebouwen?</w:t>
      </w:r>
      <w:r>
        <w:br/>
      </w:r>
    </w:p>
    <w:p>
      <w:pPr>
        <w:pStyle w:val="ListParagraph"/>
        <w:numPr>
          <w:ilvl w:val="0"/>
          <w:numId w:val="100496290"/>
        </w:numPr>
        <w:ind w:left="360"/>
      </w:pPr>
      <w:r>
        <w:t xml:space="preserve">Zijn er meerdere gevallen bekend waarbij subsidie wordt verstrekt aan eigenaren danwel beheerstichtingen van een historische kerk, maar waarbij kerkactiviteiten expliciet verboden zijn? Zo ja, hoeveel en in hoeveel gevallen subsidieert het ministerie van OCW deze?</w:t>
      </w:r>
      <w:r>
        <w:br/>
      </w:r>
    </w:p>
    <w:p>
      <w:pPr>
        <w:pStyle w:val="ListParagraph"/>
        <w:numPr>
          <w:ilvl w:val="0"/>
          <w:numId w:val="100496290"/>
        </w:numPr>
        <w:ind w:left="360"/>
      </w:pPr>
      <w:r>
        <w:t xml:space="preserve">Hoe verhoudt zich dit tot de bedoeling van de opgestelde handreiking kerkenvisie?</w:t>
      </w:r>
      <w:r>
        <w:br/>
      </w:r>
    </w:p>
    <w:p>
      <w:pPr>
        <w:pStyle w:val="ListParagraph"/>
        <w:numPr>
          <w:ilvl w:val="0"/>
          <w:numId w:val="100496290"/>
        </w:numPr>
        <w:ind w:left="360"/>
      </w:pPr>
      <w:r>
        <w:t xml:space="preserve">Hoe wordt uitvoering gegeven aan de motie Ceder die de regering verzoekt in samenspraak met Toekomst Religieus Erfgoed te verkennen op welke manier belemmeringen bij functiebehoud kunnen worden weggenomen om zo veel mogelijk kerkgebouwen een goede herbestemming te geven? 2) </w:t>
      </w:r>
      <w:r>
        <w:br/>
      </w:r>
    </w:p>
    <w:p>
      <w:pPr>
        <w:pStyle w:val="ListParagraph"/>
        <w:numPr>
          <w:ilvl w:val="0"/>
          <w:numId w:val="100496290"/>
        </w:numPr>
        <w:ind w:left="360"/>
      </w:pPr>
      <w:r>
        <w:t xml:space="preserve">Bent u bereid hierover in gesprek te gaan met vertegenwoordigers van religieuze gemeenschappen en erfgoedorganisaties om te voorkomen dat religieus erfgoed vervreemdt van de gemeenschappen waarvoor het nog altijd een levende betekenis heeft?</w:t>
      </w:r>
      <w:r>
        <w:br/>
      </w:r>
    </w:p>
    <w:p>
      <w:pPr>
        <w:pStyle w:val="ListParagraph"/>
        <w:numPr>
          <w:ilvl w:val="0"/>
          <w:numId w:val="100496290"/>
        </w:numPr>
        <w:ind w:left="360"/>
      </w:pPr>
      <w:r>
        <w:t xml:space="preserve">Wilt u deze vragen uiterlijk voor de behandeling van de OCW-begroting beantwoorden?</w:t>
      </w:r>
      <w:r>
        <w:br/>
      </w:r>
    </w:p>
    <w:p>
      <w:r>
        <w:t xml:space="preserve"> </w:t>
      </w:r>
      <w:r>
        <w:br/>
      </w:r>
    </w:p>
    <w:p>
      <w:r>
        <w:t xml:space="preserve">1) Nederlands dagblad, 29 januari 2026, Kerk mag de Grote Kerk van Alkmaar niet huren voor paasdienst. ‘Geen religieuze samenkomsten’, (Kerk mag de Grote Kerk van Alkmaar niet huren voor paasdienst. ‘Geen religieuze samenkomsten’)</w:t>
      </w:r>
      <w:r>
        <w:br/>
      </w:r>
    </w:p>
    <w:p>
      <w:r>
        <w:t xml:space="preserve">2) Kamerstuk 32 156, 133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260">
    <w:abstractNumId w:val="1004962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