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5E13" w:rsidR="00CE78E9" w:rsidP="00AB5E13" w:rsidRDefault="00A501F9" w14:paraId="27B9DF6F" w14:textId="77777777">
      <w:r w:rsidRPr="00AB5E13">
        <w:t>Geachte Voorzitter,</w:t>
      </w:r>
      <w:r w:rsidRPr="00AB5E13">
        <w:br/>
      </w:r>
    </w:p>
    <w:p w:rsidRPr="00AB5E13" w:rsidR="007F3645" w:rsidP="00AB5E13" w:rsidRDefault="00A501F9" w14:paraId="20BD7AAB" w14:textId="6EE38BAA">
      <w:pPr>
        <w:rPr>
          <w:szCs w:val="18"/>
        </w:rPr>
      </w:pPr>
      <w:r w:rsidRPr="00AB5E13">
        <w:t xml:space="preserve">Hierbij zend ik u de antwoorden op de vragen van </w:t>
      </w:r>
      <w:r w:rsidRPr="00AB5E13" w:rsidR="00CB7408">
        <w:t xml:space="preserve">de leden Van Lanschot en Bühler (beiden CDA) </w:t>
      </w:r>
      <w:r w:rsidRPr="00AB5E13">
        <w:t xml:space="preserve">over </w:t>
      </w:r>
      <w:r w:rsidRPr="00AB5E13" w:rsidR="00CB7408">
        <w:t>het bericht dat activiteiten van Sabic in Geleen en Bergen op Zoom verkocht worden aan een Duitse investeringsmaatschappij</w:t>
      </w:r>
      <w:r w:rsidRPr="00AB5E13">
        <w:t xml:space="preserve"> (</w:t>
      </w:r>
      <w:r w:rsidRPr="00AB5E13" w:rsidR="00AB5E13">
        <w:t xml:space="preserve">kenmerk </w:t>
      </w:r>
      <w:r w:rsidRPr="00AB5E13" w:rsidR="00CB7408">
        <w:t>2026Z00478</w:t>
      </w:r>
      <w:r w:rsidRPr="00AB5E13">
        <w:t xml:space="preserve">, ingezonden </w:t>
      </w:r>
      <w:r w:rsidRPr="00AB5E13" w:rsidR="00CB7408">
        <w:t>14 januari 2026</w:t>
      </w:r>
      <w:r w:rsidRPr="00AB5E13">
        <w:t xml:space="preserve">). </w:t>
      </w:r>
    </w:p>
    <w:p w:rsidRPr="00AB5E13" w:rsidR="00423A19" w:rsidP="00AB5E13" w:rsidRDefault="00423A19" w14:paraId="2017C7B1" w14:textId="77777777"/>
    <w:p w:rsidRPr="00AB5E13" w:rsidR="00AB5E13" w:rsidP="00AB5E13" w:rsidRDefault="00AB5E13" w14:paraId="55974342" w14:textId="77777777"/>
    <w:p w:rsidRPr="00AB5E13" w:rsidR="00AB5E13" w:rsidP="00AB5E13" w:rsidRDefault="00AB5E13" w14:paraId="02AA52CB" w14:textId="77777777"/>
    <w:p w:rsidRPr="00AB5E13" w:rsidR="00AB5E13" w:rsidP="00AB5E13" w:rsidRDefault="00AB5E13" w14:paraId="50FB63C8" w14:textId="77777777"/>
    <w:p w:rsidRPr="00AB5E13" w:rsidR="00AB5E13" w:rsidP="00AB5E13" w:rsidRDefault="00AB5E13" w14:paraId="4DFF59BF" w14:textId="77777777"/>
    <w:p w:rsidRPr="00AB5E13" w:rsidR="0029019C" w:rsidP="00AB5E13" w:rsidRDefault="00A501F9" w14:paraId="06F4BB42" w14:textId="77777777">
      <w:pPr>
        <w:rPr>
          <w:szCs w:val="18"/>
        </w:rPr>
      </w:pPr>
      <w:r w:rsidRPr="00AB5E13">
        <w:rPr>
          <w:szCs w:val="18"/>
        </w:rPr>
        <w:t>Sophie Hermans</w:t>
      </w:r>
    </w:p>
    <w:p w:rsidRPr="00AB5E13" w:rsidR="004E505E" w:rsidP="00AB5E13" w:rsidRDefault="00A501F9" w14:paraId="75C08BD8" w14:textId="77777777">
      <w:pPr>
        <w:rPr>
          <w:szCs w:val="18"/>
        </w:rPr>
      </w:pPr>
      <w:r w:rsidRPr="00AB5E13">
        <w:rPr>
          <w:szCs w:val="18"/>
        </w:rPr>
        <w:t>Minister van Klimaat en Groene Groei</w:t>
      </w:r>
    </w:p>
    <w:p w:rsidRPr="00AB5E13" w:rsidR="00225675" w:rsidP="00AB5E13" w:rsidRDefault="00A501F9" w14:paraId="3B12CA48" w14:textId="77777777">
      <w:pPr>
        <w:spacing w:after="200" w:line="276" w:lineRule="auto"/>
      </w:pPr>
      <w:r w:rsidRPr="00AB5E13">
        <w:br w:type="page"/>
      </w:r>
    </w:p>
    <w:p w:rsidRPr="0023505F" w:rsidR="00211B16" w:rsidP="00AB5E13" w:rsidRDefault="00211B16" w14:paraId="1F4C893C" w14:textId="05E5E41C">
      <w:pPr>
        <w:rPr>
          <w:b/>
          <w:bCs/>
        </w:rPr>
      </w:pPr>
      <w:r w:rsidRPr="0023505F">
        <w:rPr>
          <w:b/>
          <w:bCs/>
        </w:rPr>
        <w:t>2026Z00478</w:t>
      </w:r>
      <w:r w:rsidRPr="0023505F">
        <w:rPr>
          <w:rStyle w:val="Zwaar"/>
          <w:b w:val="0"/>
          <w:bCs w:val="0"/>
        </w:rPr>
        <w:t>1</w:t>
      </w:r>
      <w:r w:rsidRPr="0023505F" w:rsidR="00747885">
        <w:rPr>
          <w:rStyle w:val="Zwaar"/>
          <w:b w:val="0"/>
          <w:bCs w:val="0"/>
        </w:rPr>
        <w:br/>
      </w:r>
      <w:r w:rsidRPr="0023505F">
        <w:rPr>
          <w:b/>
          <w:bCs/>
        </w:rPr>
        <w:br/>
      </w:r>
    </w:p>
    <w:p w:rsidR="00AB5E13" w:rsidP="00AB5E13" w:rsidRDefault="00211B16" w14:paraId="1D85EE49" w14:textId="77777777">
      <w:pPr>
        <w:spacing w:line="240" w:lineRule="auto"/>
      </w:pPr>
      <w:r w:rsidRPr="00AB5E13">
        <w:t>1</w:t>
      </w:r>
    </w:p>
    <w:p w:rsidR="00211B16" w:rsidP="00AB5E13" w:rsidRDefault="00211B16" w14:paraId="0E719540" w14:textId="7CBF7EA3">
      <w:pPr>
        <w:spacing w:line="240" w:lineRule="auto"/>
      </w:pPr>
      <w:r w:rsidRPr="00AB5E13">
        <w:t>Bent u bekend met het bericht 'Chemiereus Sabic verkoopt twee fabrieken: gevolgen voor honderden werknemers nog niet duidelijk'?</w:t>
      </w:r>
    </w:p>
    <w:p w:rsidRPr="00AB5E13" w:rsidR="00AB5E13" w:rsidP="00AB5E13" w:rsidRDefault="00AB5E13" w14:paraId="01FA26CB" w14:textId="77777777">
      <w:pPr>
        <w:spacing w:line="240" w:lineRule="auto"/>
      </w:pPr>
    </w:p>
    <w:p w:rsidR="00AB5E13" w:rsidP="00AB5E13" w:rsidRDefault="00AB5E13" w14:paraId="738D66A7" w14:textId="77777777">
      <w:r>
        <w:t>Antwoord</w:t>
      </w:r>
    </w:p>
    <w:p w:rsidRPr="00AB5E13" w:rsidR="00211B16" w:rsidP="00AB5E13" w:rsidRDefault="00211B16" w14:paraId="0A0C0504" w14:textId="50A8B750">
      <w:r w:rsidRPr="00AB5E13">
        <w:t>Ja, ik ben hiermee bekend.</w:t>
      </w:r>
    </w:p>
    <w:p w:rsidRPr="00AB5E13" w:rsidR="00211B16" w:rsidP="00AB5E13" w:rsidRDefault="00211B16" w14:paraId="36777BFC" w14:textId="716EA866">
      <w:pPr>
        <w:ind w:left="720"/>
      </w:pPr>
    </w:p>
    <w:p w:rsidR="00AB5E13" w:rsidP="00AB5E13" w:rsidRDefault="00211B16" w14:paraId="367B07A3" w14:textId="77777777">
      <w:pPr>
        <w:spacing w:line="240" w:lineRule="auto"/>
      </w:pPr>
      <w:r w:rsidRPr="00AB5E13">
        <w:t>2</w:t>
      </w:r>
    </w:p>
    <w:p w:rsidR="00211B16" w:rsidP="00AB5E13" w:rsidRDefault="00211B16" w14:paraId="20DC542E" w14:textId="787AF522">
      <w:pPr>
        <w:spacing w:line="240" w:lineRule="auto"/>
      </w:pPr>
      <w:r w:rsidRPr="00AB5E13">
        <w:t>Hoe taxeert u de langetermijneffecten van deze transacties op de basisindustrie in Nederland in het algemeen?</w:t>
      </w:r>
    </w:p>
    <w:p w:rsidR="00AB5E13" w:rsidP="00AB5E13" w:rsidRDefault="00AB5E13" w14:paraId="0B753769" w14:textId="77777777">
      <w:pPr>
        <w:spacing w:line="240" w:lineRule="auto"/>
      </w:pPr>
    </w:p>
    <w:p w:rsidRPr="00AB5E13" w:rsidR="00AB5E13" w:rsidP="00AB5E13" w:rsidRDefault="00AB5E13" w14:paraId="2DD8DAB6" w14:textId="22B9271D">
      <w:pPr>
        <w:spacing w:line="240" w:lineRule="auto"/>
      </w:pPr>
      <w:r>
        <w:t>Antwoord</w:t>
      </w:r>
    </w:p>
    <w:p w:rsidRPr="00AB5E13" w:rsidR="00211B16" w:rsidP="00AB5E13" w:rsidRDefault="00211B16" w14:paraId="3F963630" w14:textId="77777777">
      <w:r w:rsidRPr="00AB5E13">
        <w:t xml:space="preserve">Op 8 januari jl. heeft SABIC aangekondigd voornemens te zijn haar Europese assets grotendeels te verkopen. Het gaat hierbij om twee transacties. De Europese petrochemische activiteiten worden verkocht aan het Duitse AEQUITA en de Europese en Amerikaanse activiteiten in engineering thermoplastics (ETP) aan het Duitse Mutares. Vanuit het Ministerie van KGG staan we in nauw contact met SABIC over deze ontwikkelingen en de komende periode zullen we ook met deze nieuwe eigenaren in gesprek gaan over hun toekomstplannen. De inzet daarbij is zoveel mogelijk (hoogwaardige) activiteiten en werkgelegenheid die bijdragen aan versterking van de Nederlandse basisindustrie te behouden. De precieze langetermijneffecten zijn nu nog niet bekend. </w:t>
      </w:r>
    </w:p>
    <w:p w:rsidRPr="00AB5E13" w:rsidR="00211B16" w:rsidP="00AB5E13" w:rsidRDefault="00211B16" w14:paraId="00A9A23D" w14:textId="77777777"/>
    <w:p w:rsidRPr="00AB5E13" w:rsidR="00AB5E13" w:rsidP="00AB5E13" w:rsidRDefault="00AB5E13" w14:paraId="684146B0" w14:textId="77777777">
      <w:pPr>
        <w:spacing w:line="240" w:lineRule="auto"/>
      </w:pPr>
      <w:r>
        <w:t>Antwoord</w:t>
      </w:r>
    </w:p>
    <w:p w:rsidRPr="00AB5E13" w:rsidR="00211B16" w:rsidP="00AB5E13" w:rsidRDefault="00211B16" w14:paraId="06C1A6A0" w14:textId="77777777">
      <w:r w:rsidRPr="00AB5E13">
        <w:t xml:space="preserve">Wel is reeds bekend dat AEQUITA recent ook soortgelijke Europese assets van LyondellBasell heeft gekocht. De investeringsmaatschappij heeft daarmee straks een significant deel van de Europese petrochemiemarkt in handen. In haar persbericht spreekt AEQUITA uit te willen consolideren naar een nieuwe Europese plastics speler. De geplande grote onderhoudsstop in 2026 wordt uitgevoerd volgens planning. Dit straalt vertrouwen uit naar de toekomst. </w:t>
      </w:r>
    </w:p>
    <w:p w:rsidRPr="00AB5E13" w:rsidR="00211B16" w:rsidP="00AB5E13" w:rsidRDefault="00211B16" w14:paraId="4E21FEE6" w14:textId="77777777"/>
    <w:p w:rsidRPr="00AB5E13" w:rsidR="00211B16" w:rsidP="00AB5E13" w:rsidRDefault="00211B16" w14:paraId="093C9A6F" w14:textId="77777777">
      <w:r w:rsidRPr="00AB5E13">
        <w:t>Mutares heeft geen andere chemieactiviteiten. De installaties die Mutares overneemt van SABIC, waaronder de fabriek in Bergen op Zoom, richten zich op meer gespecialiseerde materialen en vormen ook binnen SABIC een zelfstandig bedrijfsonderdeel met een eigen markt.</w:t>
      </w:r>
    </w:p>
    <w:p w:rsidRPr="00AB5E13" w:rsidR="00211B16" w:rsidP="00AB5E13" w:rsidRDefault="00211B16" w14:paraId="74FD3A16" w14:textId="77777777"/>
    <w:p w:rsidRPr="00AB5E13" w:rsidR="00211B16" w:rsidP="00AB5E13" w:rsidRDefault="00211B16" w14:paraId="71945C06" w14:textId="77777777">
      <w:r w:rsidRPr="00AB5E13">
        <w:t>Tegelijkertijd staat het investeringsklimaat voor de basisindustrie in Europa, en zeker ook in Nederland, op dit moment sterk onder druk. AEQUITA en Mutares betalen aan SABIC een lage overnameprijs, waarbij betaling ook (deels) voorwaardelijk is aan toekomstige prestaties. Dit laat de zeer uitdagende concurrentiepositie van deze Europese installaties zien. Het is belangrijk op Europees niveau te zoeken naar gezamenlijke oplossingen. Hiervoor is op initiatief van de Europese Commissie recent de Critical Chemical Alliance opgericht, waarin Nederland een grote rol speelt.</w:t>
      </w:r>
    </w:p>
    <w:p w:rsidRPr="00AB5E13" w:rsidR="00211B16" w:rsidP="00AB5E13" w:rsidRDefault="00211B16" w14:paraId="31AA4CD0" w14:textId="30EF90D7">
      <w:r w:rsidRPr="00AB5E13">
        <w:br/>
      </w:r>
    </w:p>
    <w:p w:rsidR="00AB5E13" w:rsidRDefault="00AB5E13" w14:paraId="4B6CDCB2" w14:textId="77777777">
      <w:pPr>
        <w:spacing w:line="240" w:lineRule="auto"/>
      </w:pPr>
      <w:r>
        <w:br w:type="page"/>
      </w:r>
    </w:p>
    <w:p w:rsidR="00AB5E13" w:rsidP="00AB5E13" w:rsidRDefault="00211B16" w14:paraId="2B2F8068" w14:textId="3A0E234C">
      <w:pPr>
        <w:spacing w:line="240" w:lineRule="auto"/>
      </w:pPr>
      <w:r w:rsidRPr="00AB5E13">
        <w:t>3</w:t>
      </w:r>
    </w:p>
    <w:p w:rsidR="00211B16" w:rsidP="00AB5E13" w:rsidRDefault="00211B16" w14:paraId="6D5193E9" w14:textId="4D6EB556">
      <w:pPr>
        <w:spacing w:line="240" w:lineRule="auto"/>
      </w:pPr>
      <w:r w:rsidRPr="00AB5E13">
        <w:t>Hoe taxeert u het langetermijneffect op het samenhangende basisindustrie ecosysteem van de Chemelot campus in Geleen in het bijzonder? </w:t>
      </w:r>
    </w:p>
    <w:p w:rsidR="00AB5E13" w:rsidP="00AB5E13" w:rsidRDefault="00AB5E13" w14:paraId="3F88853D" w14:textId="77777777">
      <w:pPr>
        <w:spacing w:line="240" w:lineRule="auto"/>
      </w:pPr>
    </w:p>
    <w:p w:rsidRPr="00AB5E13" w:rsidR="00AB5E13" w:rsidP="00AB5E13" w:rsidRDefault="00AB5E13" w14:paraId="57D364E3" w14:textId="77777777">
      <w:pPr>
        <w:spacing w:line="240" w:lineRule="auto"/>
      </w:pPr>
      <w:r>
        <w:t>Antwoord</w:t>
      </w:r>
    </w:p>
    <w:p w:rsidRPr="00AB5E13" w:rsidR="00703961" w:rsidP="00AB5E13" w:rsidRDefault="00211B16" w14:paraId="12D9494B" w14:textId="77777777">
      <w:r w:rsidRPr="00AB5E13">
        <w:t xml:space="preserve">De transacties zullen waarschijnlijk pas in Q4 2026 worden afgerond. Met verkoop lijkt sluiting van de kraker voorlopig van de baan, al moet wel rekening worden gehouden met mogelijke sluitingen en reorganisaties binnen het bredere portfolio van AEQUITA in de toekomst. Sluiting van de kraker zou grote gevolgen hebben voor de site Chemelot. Daarom is vanuit het Ministerie van KGG nauw contact met SABIC en zullen ook contacten worden gelegd met de nieuwe eigenaren, zoals eerder aangegeven in antwoord op vraag 2. </w:t>
      </w:r>
    </w:p>
    <w:p w:rsidRPr="00AB5E13" w:rsidR="00211B16" w:rsidP="00AB5E13" w:rsidRDefault="00211B16" w14:paraId="546BDD93" w14:textId="43B76FF8"/>
    <w:p w:rsidR="00AB5E13" w:rsidP="00AB5E13" w:rsidRDefault="00211B16" w14:paraId="15F5FE8D" w14:textId="77777777">
      <w:pPr>
        <w:spacing w:line="240" w:lineRule="auto"/>
      </w:pPr>
      <w:r w:rsidRPr="00AB5E13">
        <w:t>4</w:t>
      </w:r>
    </w:p>
    <w:p w:rsidR="00211B16" w:rsidP="00AB5E13" w:rsidRDefault="00211B16" w14:paraId="492035EE" w14:textId="49B3E8C7">
      <w:pPr>
        <w:spacing w:line="240" w:lineRule="auto"/>
      </w:pPr>
      <w:r w:rsidRPr="00AB5E13">
        <w:t>Bent u van plan zich in te zetten voor het in Nederland vestigen van het hoofdkantoor van de chemische activiteiten van Aequita, net zoals het hoofdkantoor van Sabic zich op dit moment al in Amsterdam bevindt? </w:t>
      </w:r>
    </w:p>
    <w:p w:rsidR="00AB5E13" w:rsidP="00AB5E13" w:rsidRDefault="00AB5E13" w14:paraId="7BF8C3B4" w14:textId="77777777">
      <w:pPr>
        <w:spacing w:line="240" w:lineRule="auto"/>
      </w:pPr>
    </w:p>
    <w:p w:rsidRPr="00AB5E13" w:rsidR="00AB5E13" w:rsidP="00AB5E13" w:rsidRDefault="00AB5E13" w14:paraId="24BEF32A" w14:textId="77777777">
      <w:pPr>
        <w:spacing w:line="240" w:lineRule="auto"/>
      </w:pPr>
      <w:r>
        <w:t>Antwoord</w:t>
      </w:r>
    </w:p>
    <w:p w:rsidRPr="00AB5E13" w:rsidR="00211B16" w:rsidP="00AB5E13" w:rsidRDefault="00211B16" w14:paraId="73C1CA05" w14:textId="77777777">
      <w:r w:rsidRPr="00AB5E13">
        <w:t>Het hoofdkantoor van SABIC, de productie van een aantal speciale polymeren</w:t>
      </w:r>
      <w:r w:rsidRPr="00AB5E13">
        <w:rPr>
          <w:i/>
          <w:iCs/>
        </w:rPr>
        <w:t xml:space="preserve"> </w:t>
      </w:r>
      <w:r w:rsidRPr="00AB5E13">
        <w:t>in Bergen op Zoom en de R&amp;D faciliteit van SABIC in Bergen op Zoom en op Chemelot zijn geen onderdeel van de transacties. Deze blijven in Nederland.</w:t>
      </w:r>
    </w:p>
    <w:p w:rsidRPr="00AB5E13" w:rsidR="00211B16" w:rsidP="00AB5E13" w:rsidRDefault="00211B16" w14:paraId="6C70047F" w14:textId="77777777"/>
    <w:p w:rsidRPr="00AB5E13" w:rsidR="00211B16" w:rsidP="00AB5E13" w:rsidRDefault="00211B16" w14:paraId="20695E85" w14:textId="77777777">
      <w:r w:rsidRPr="00AB5E13">
        <w:t>De hoofdkantoren van AEQUITA en Mutares bevinden zich momenteel in Duitsland. Door de gesprekken met deze partijen proberen we een beter beeld te krijgen van hun toekomstplannen. Mocht oprichting van een zelfstandig hoofdkantoor voor de chemische activiteiten van AEQUITA aan de orde komen, dan is gezien het belang van deze activiteiten voor Nederland de verwachting dat ingezet zal worden op aantrekken van dit nieuwe hoofdkantoor. De uiteindelijke inzet zou in samenwerking met de Netherlands Foreign Investment Agency</w:t>
      </w:r>
      <w:r w:rsidRPr="00AB5E13">
        <w:rPr>
          <w:vertAlign w:val="superscript"/>
        </w:rPr>
        <w:t>2)</w:t>
      </w:r>
      <w:r w:rsidRPr="00AB5E13">
        <w:rPr>
          <w:rStyle w:val="Voetnootmarkering"/>
        </w:rPr>
        <w:footnoteReference w:id="1"/>
      </w:r>
      <w:r w:rsidRPr="00AB5E13">
        <w:t xml:space="preserve"> worden bepaald en uitgevoerd, op basis van de verwachte toegevoegde waarde voor Nederland. Het is nu nog te vroeg hier verder uitspraken over te doen.</w:t>
      </w:r>
    </w:p>
    <w:p w:rsidRPr="00AB5E13" w:rsidR="00211B16" w:rsidP="00AB5E13" w:rsidRDefault="00211B16" w14:paraId="055BDAD4" w14:textId="77777777">
      <w:pPr>
        <w:ind w:left="1080"/>
      </w:pPr>
    </w:p>
    <w:p w:rsidR="00AB5E13" w:rsidP="00AB5E13" w:rsidRDefault="00211B16" w14:paraId="1088815C" w14:textId="77777777">
      <w:pPr>
        <w:spacing w:line="240" w:lineRule="auto"/>
      </w:pPr>
      <w:r w:rsidRPr="00AB5E13">
        <w:t>4</w:t>
      </w:r>
    </w:p>
    <w:p w:rsidR="00211B16" w:rsidP="00AB5E13" w:rsidRDefault="00211B16" w14:paraId="2FE6A792" w14:textId="3A37FA42">
      <w:pPr>
        <w:spacing w:line="240" w:lineRule="auto"/>
      </w:pPr>
      <w:r w:rsidRPr="00AB5E13">
        <w:t>Kunt u faciliteren dat relevante arbeidsmarktregio’s en de nieuwe eigenaar om de tafel  gaan om de effecten op personeelsgebied zo snel mogelijk in kaart te brengen?</w:t>
      </w:r>
    </w:p>
    <w:p w:rsidR="00AB5E13" w:rsidP="00AB5E13" w:rsidRDefault="00AB5E13" w14:paraId="3C2997CF" w14:textId="77777777">
      <w:pPr>
        <w:spacing w:line="240" w:lineRule="auto"/>
      </w:pPr>
    </w:p>
    <w:p w:rsidRPr="00AB5E13" w:rsidR="00AB5E13" w:rsidP="00AB5E13" w:rsidRDefault="00AB5E13" w14:paraId="66920A13" w14:textId="77777777">
      <w:pPr>
        <w:spacing w:line="240" w:lineRule="auto"/>
      </w:pPr>
      <w:r>
        <w:t>Antwoord</w:t>
      </w:r>
    </w:p>
    <w:p w:rsidRPr="00AB5E13" w:rsidR="00211B16" w:rsidP="00AB5E13" w:rsidRDefault="00211B16" w14:paraId="3EB75A7D" w14:textId="77777777">
      <w:r w:rsidRPr="00AB5E13">
        <w:t xml:space="preserve">Dit is niet aan de orde. De verantwoordelijkheid ligt bij de betreffende werkgever en de nieuwe eigenaar om met de betrokken vakbonden in gesprek te gaan over de effecten op personeelsgebied en een eventueel sociaal plan.   </w:t>
      </w:r>
    </w:p>
    <w:p w:rsidRPr="00AB5E13" w:rsidR="00211B16" w:rsidP="00AB5E13" w:rsidRDefault="00211B16" w14:paraId="1B174E12" w14:textId="77777777"/>
    <w:p w:rsidR="00AB5E13" w:rsidP="00AB5E13" w:rsidRDefault="00211B16" w14:paraId="338B1E3B" w14:textId="77777777">
      <w:pPr>
        <w:spacing w:line="240" w:lineRule="auto"/>
      </w:pPr>
      <w:r w:rsidRPr="00AB5E13">
        <w:t>5</w:t>
      </w:r>
    </w:p>
    <w:p w:rsidR="00211B16" w:rsidP="00AB5E13" w:rsidRDefault="00211B16" w14:paraId="681AC827" w14:textId="6715347A">
      <w:pPr>
        <w:spacing w:line="240" w:lineRule="auto"/>
      </w:pPr>
      <w:r w:rsidRPr="00AB5E13">
        <w:t>Kunt u aangeven welke stappen u zet om, samen met werkgevers, vakbonden en regionale overheden, alles in het werk te stellen om de werkgelegenheid en de economische vitaliteit in de betrokken regio’s te borgen, nu de Nederlandse SABIC-activiteiten zijn verkocht aan investeerders?</w:t>
      </w:r>
    </w:p>
    <w:p w:rsidR="00AB5E13" w:rsidP="00AB5E13" w:rsidRDefault="00AB5E13" w14:paraId="5ADA8150" w14:textId="77777777">
      <w:pPr>
        <w:spacing w:line="240" w:lineRule="auto"/>
      </w:pPr>
    </w:p>
    <w:p w:rsidRPr="00AB5E13" w:rsidR="00AB5E13" w:rsidP="00AB5E13" w:rsidRDefault="00AB5E13" w14:paraId="3FAB610D" w14:textId="77777777">
      <w:pPr>
        <w:spacing w:line="240" w:lineRule="auto"/>
      </w:pPr>
      <w:r>
        <w:t>Antwoord</w:t>
      </w:r>
    </w:p>
    <w:p w:rsidRPr="00AB5E13" w:rsidR="00211B16" w:rsidP="00AB5E13" w:rsidRDefault="00211B16" w14:paraId="667D622C" w14:textId="77777777">
      <w:r w:rsidRPr="00AB5E13">
        <w:t>Regio Zuid Limburg zet in op een grensoverstijgende circulaire en innovatieve (kennis)economie. In het kader van o.a. Regiodeals en het Nationaal Programma Vitale Regio’s werken Rijk en regio hierbij samen. Kansen doen zich bijvoorbeeld voor bij het benutten van grensoverstijgend economisch potentieel in chemie, life sciences&amp;health, medtech en smart services/AI, bij de verdere ontwikkeling van de campussen in Maastricht, Geleen en Heerlen, bij de Einstein telescoop, bij de verduurzaming van Chemelot en bij de Limburg Defensie Agenda.</w:t>
      </w:r>
    </w:p>
    <w:p w:rsidRPr="00AB5E13" w:rsidR="00211B16" w:rsidP="00AB5E13" w:rsidRDefault="00211B16" w14:paraId="732C224D" w14:textId="77777777">
      <w:pPr>
        <w:ind w:left="360"/>
      </w:pPr>
      <w:r w:rsidRPr="00AB5E13">
        <w:t xml:space="preserve"> </w:t>
      </w:r>
    </w:p>
    <w:p w:rsidRPr="00AB5E13" w:rsidR="00664678" w:rsidP="00AB5E13" w:rsidRDefault="00211B16" w14:paraId="25BB7B35" w14:textId="5E2E708E">
      <w:r w:rsidRPr="00AB5E13">
        <w:t>Regio West Brabant zet in op een innovatieve plantaardige economie met toegepaste technologie als speerpunt en biotechnologie als focus voor de toekomst. In het kader van o.a. Regiodeals werken Rijk en regio hierbij samen. Kansen doen zich bijvoorbeeld voor op terreinen als voeding, bouw, chemie en farma.</w:t>
      </w:r>
    </w:p>
    <w:sectPr w:rsidRPr="00AB5E13"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99E3" w14:textId="77777777" w:rsidR="00217771" w:rsidRDefault="00217771">
      <w:r>
        <w:separator/>
      </w:r>
    </w:p>
    <w:p w14:paraId="4FED9E2A" w14:textId="77777777" w:rsidR="00217771" w:rsidRDefault="00217771"/>
  </w:endnote>
  <w:endnote w:type="continuationSeparator" w:id="0">
    <w:p w14:paraId="57EE2472" w14:textId="77777777" w:rsidR="00217771" w:rsidRDefault="00217771">
      <w:r>
        <w:continuationSeparator/>
      </w:r>
    </w:p>
    <w:p w14:paraId="65F909FF" w14:textId="77777777" w:rsidR="00217771" w:rsidRDefault="00217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718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517C0" w14:paraId="7DA98B78" w14:textId="77777777" w:rsidTr="00CA6A25">
      <w:trPr>
        <w:trHeight w:hRule="exact" w:val="240"/>
      </w:trPr>
      <w:tc>
        <w:tcPr>
          <w:tcW w:w="7601" w:type="dxa"/>
        </w:tcPr>
        <w:p w14:paraId="61DCAA72" w14:textId="77777777" w:rsidR="00527BD4" w:rsidRDefault="00527BD4" w:rsidP="003F1F6B">
          <w:pPr>
            <w:pStyle w:val="Huisstijl-Rubricering"/>
          </w:pPr>
        </w:p>
      </w:tc>
      <w:tc>
        <w:tcPr>
          <w:tcW w:w="2156" w:type="dxa"/>
        </w:tcPr>
        <w:p w14:paraId="6983BAFE" w14:textId="1EF24A04" w:rsidR="00527BD4" w:rsidRPr="00645414" w:rsidRDefault="00A501F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23505F">
              <w:t>4</w:t>
            </w:r>
          </w:fldSimple>
        </w:p>
      </w:tc>
    </w:tr>
  </w:tbl>
  <w:p w14:paraId="6C587BB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517C0" w14:paraId="1899447E" w14:textId="77777777" w:rsidTr="00CA6A25">
      <w:trPr>
        <w:trHeight w:hRule="exact" w:val="240"/>
      </w:trPr>
      <w:tc>
        <w:tcPr>
          <w:tcW w:w="7601" w:type="dxa"/>
        </w:tcPr>
        <w:p w14:paraId="53DAC2E6" w14:textId="77777777" w:rsidR="00527BD4" w:rsidRDefault="00527BD4" w:rsidP="008C356D">
          <w:pPr>
            <w:pStyle w:val="Huisstijl-Rubricering"/>
          </w:pPr>
        </w:p>
      </w:tc>
      <w:tc>
        <w:tcPr>
          <w:tcW w:w="2170" w:type="dxa"/>
        </w:tcPr>
        <w:p w14:paraId="0A73D404" w14:textId="65599355" w:rsidR="00527BD4" w:rsidRPr="00ED539E" w:rsidRDefault="00A501F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3505F">
              <w:t>4</w:t>
            </w:r>
          </w:fldSimple>
        </w:p>
      </w:tc>
    </w:tr>
  </w:tbl>
  <w:p w14:paraId="4AE5619A" w14:textId="77777777" w:rsidR="00527BD4" w:rsidRPr="00BC3B53" w:rsidRDefault="00527BD4" w:rsidP="008C356D">
    <w:pPr>
      <w:pStyle w:val="Voettekst"/>
      <w:spacing w:line="240" w:lineRule="auto"/>
      <w:rPr>
        <w:sz w:val="2"/>
        <w:szCs w:val="2"/>
      </w:rPr>
    </w:pPr>
  </w:p>
  <w:p w14:paraId="5CDE23E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373B" w14:textId="77777777" w:rsidR="00217771" w:rsidRDefault="00217771">
      <w:r>
        <w:separator/>
      </w:r>
    </w:p>
    <w:p w14:paraId="48F49019" w14:textId="77777777" w:rsidR="00217771" w:rsidRDefault="00217771"/>
  </w:footnote>
  <w:footnote w:type="continuationSeparator" w:id="0">
    <w:p w14:paraId="2FEE0495" w14:textId="77777777" w:rsidR="00217771" w:rsidRDefault="00217771">
      <w:r>
        <w:continuationSeparator/>
      </w:r>
    </w:p>
    <w:p w14:paraId="5932A530" w14:textId="77777777" w:rsidR="00217771" w:rsidRDefault="00217771"/>
  </w:footnote>
  <w:footnote w:id="1">
    <w:p w14:paraId="7FA30B5D" w14:textId="77777777" w:rsidR="00211B16" w:rsidRDefault="00211B16" w:rsidP="00211B16">
      <w:pPr>
        <w:pStyle w:val="Voetnoottekst"/>
      </w:pPr>
      <w:r w:rsidRPr="00211B16">
        <w:rPr>
          <w:rStyle w:val="Voetnootmarkering"/>
        </w:rPr>
        <w:footnoteRef/>
      </w:r>
      <w:r w:rsidRPr="00211B16">
        <w:t xml:space="preserve">  De Netherlands </w:t>
      </w:r>
      <w:proofErr w:type="spellStart"/>
      <w:r w:rsidRPr="00211B16">
        <w:t>Foreign</w:t>
      </w:r>
      <w:proofErr w:type="spellEnd"/>
      <w:r w:rsidRPr="00211B16">
        <w:t xml:space="preserve"> Investment Agency is een uitvoeringsorganisatie van het Ministerie van Economische Zaken gericht op het aantrekken van buitenlandse investeringen en onderdeel van RVO.nl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517C0" w14:paraId="5921D1C5" w14:textId="77777777" w:rsidTr="00A50CF6">
      <w:tc>
        <w:tcPr>
          <w:tcW w:w="2156" w:type="dxa"/>
        </w:tcPr>
        <w:p w14:paraId="5F3A42CE" w14:textId="77777777" w:rsidR="00527BD4" w:rsidRPr="005819CE" w:rsidRDefault="00A501F9" w:rsidP="00A50CF6">
          <w:pPr>
            <w:pStyle w:val="Huisstijl-Adres"/>
            <w:rPr>
              <w:b/>
            </w:rPr>
          </w:pPr>
          <w:r>
            <w:rPr>
              <w:b/>
            </w:rPr>
            <w:t>Directoraat-generaal Realisatie Groene Groei</w:t>
          </w:r>
          <w:r w:rsidRPr="005819CE">
            <w:rPr>
              <w:b/>
            </w:rPr>
            <w:br/>
          </w:r>
          <w:r>
            <w:t>Directie Verduurzaming Industrie</w:t>
          </w:r>
        </w:p>
      </w:tc>
    </w:tr>
    <w:tr w:rsidR="005517C0" w14:paraId="266C3855" w14:textId="77777777" w:rsidTr="00A50CF6">
      <w:trPr>
        <w:trHeight w:hRule="exact" w:val="200"/>
      </w:trPr>
      <w:tc>
        <w:tcPr>
          <w:tcW w:w="2156" w:type="dxa"/>
        </w:tcPr>
        <w:p w14:paraId="017952DA" w14:textId="77777777" w:rsidR="00527BD4" w:rsidRPr="005819CE" w:rsidRDefault="00527BD4" w:rsidP="00A50CF6"/>
      </w:tc>
    </w:tr>
    <w:tr w:rsidR="005517C0" w14:paraId="17070976" w14:textId="77777777" w:rsidTr="00502512">
      <w:trPr>
        <w:trHeight w:hRule="exact" w:val="774"/>
      </w:trPr>
      <w:tc>
        <w:tcPr>
          <w:tcW w:w="2156" w:type="dxa"/>
        </w:tcPr>
        <w:p w14:paraId="20B9E521" w14:textId="77777777" w:rsidR="00527BD4" w:rsidRDefault="00A501F9" w:rsidP="003A5290">
          <w:pPr>
            <w:pStyle w:val="Huisstijl-Kopje"/>
          </w:pPr>
          <w:r>
            <w:t>Ons kenmerk</w:t>
          </w:r>
        </w:p>
        <w:p w14:paraId="1697F693" w14:textId="55CCA466" w:rsidR="00502512" w:rsidRPr="00502512" w:rsidRDefault="00A501F9" w:rsidP="003A5290">
          <w:pPr>
            <w:pStyle w:val="Huisstijl-Kopje"/>
            <w:rPr>
              <w:b w:val="0"/>
            </w:rPr>
          </w:pPr>
          <w:r>
            <w:rPr>
              <w:b w:val="0"/>
            </w:rPr>
            <w:t>KGG_DGRGG_VI</w:t>
          </w:r>
          <w:r w:rsidRPr="00502512">
            <w:rPr>
              <w:b w:val="0"/>
            </w:rPr>
            <w:t xml:space="preserve"> / </w:t>
          </w:r>
          <w:sdt>
            <w:sdtPr>
              <w:rPr>
                <w:b w:val="0"/>
              </w:rPr>
              <w:alias w:val="documentId"/>
              <w:id w:val="762191242"/>
              <w:placeholder>
                <w:docPart w:val="DefaultPlaceholder_-1854013440"/>
              </w:placeholder>
            </w:sdtPr>
            <w:sdtEndPr/>
            <w:sdtContent>
              <w:r w:rsidR="003546BE" w:rsidRPr="003546BE">
                <w:rPr>
                  <w:b w:val="0"/>
                </w:rPr>
                <w:t>103966635</w:t>
              </w:r>
            </w:sdtContent>
          </w:sdt>
        </w:p>
        <w:p w14:paraId="5EDB1D7C" w14:textId="77777777" w:rsidR="00527BD4" w:rsidRPr="005819CE" w:rsidRDefault="00527BD4" w:rsidP="00361A56">
          <w:pPr>
            <w:pStyle w:val="Huisstijl-Kopje"/>
          </w:pPr>
        </w:p>
      </w:tc>
    </w:tr>
  </w:tbl>
  <w:p w14:paraId="0402A2C7" w14:textId="77777777" w:rsidR="00527BD4" w:rsidRDefault="00527BD4" w:rsidP="008C356D">
    <w:pPr>
      <w:pStyle w:val="Koptekst"/>
      <w:rPr>
        <w:rFonts w:cs="Verdana-Bold"/>
        <w:b/>
        <w:bCs/>
        <w:smallCaps/>
        <w:szCs w:val="18"/>
      </w:rPr>
    </w:pPr>
  </w:p>
  <w:p w14:paraId="742B5487" w14:textId="77777777" w:rsidR="00527BD4" w:rsidRDefault="00527BD4" w:rsidP="008C356D"/>
  <w:p w14:paraId="3D56ADA3" w14:textId="77777777" w:rsidR="00527BD4" w:rsidRPr="00740712" w:rsidRDefault="00527BD4" w:rsidP="008C356D"/>
  <w:p w14:paraId="415023F3" w14:textId="77777777" w:rsidR="00527BD4" w:rsidRPr="00217880" w:rsidRDefault="00527BD4" w:rsidP="008C356D">
    <w:pPr>
      <w:spacing w:line="0" w:lineRule="atLeast"/>
      <w:rPr>
        <w:sz w:val="2"/>
        <w:szCs w:val="2"/>
      </w:rPr>
    </w:pPr>
  </w:p>
  <w:p w14:paraId="3A800409" w14:textId="77777777" w:rsidR="00527BD4" w:rsidRDefault="00527BD4" w:rsidP="004F44C2">
    <w:pPr>
      <w:pStyle w:val="Koptekst"/>
      <w:rPr>
        <w:rFonts w:cs="Verdana-Bold"/>
        <w:b/>
        <w:bCs/>
        <w:smallCaps/>
        <w:szCs w:val="18"/>
      </w:rPr>
    </w:pPr>
  </w:p>
  <w:p w14:paraId="5C27902E" w14:textId="77777777" w:rsidR="00527BD4" w:rsidRDefault="00527BD4" w:rsidP="004F44C2"/>
  <w:p w14:paraId="74D3166A" w14:textId="77777777" w:rsidR="00527BD4" w:rsidRPr="00740712" w:rsidRDefault="00527BD4" w:rsidP="004F44C2"/>
  <w:p w14:paraId="610FDB5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517C0" w14:paraId="56D97E21" w14:textId="77777777" w:rsidTr="00751A6A">
      <w:trPr>
        <w:trHeight w:val="2636"/>
      </w:trPr>
      <w:tc>
        <w:tcPr>
          <w:tcW w:w="737" w:type="dxa"/>
        </w:tcPr>
        <w:p w14:paraId="7F7969AD" w14:textId="77777777" w:rsidR="00527BD4" w:rsidRDefault="00527BD4" w:rsidP="00D0609E">
          <w:pPr>
            <w:framePr w:w="6340" w:h="2750" w:hRule="exact" w:hSpace="180" w:wrap="around" w:vAnchor="page" w:hAnchor="text" w:x="3873" w:y="-140"/>
            <w:spacing w:line="240" w:lineRule="auto"/>
          </w:pPr>
        </w:p>
      </w:tc>
      <w:tc>
        <w:tcPr>
          <w:tcW w:w="5156" w:type="dxa"/>
        </w:tcPr>
        <w:p w14:paraId="6FD80DC7" w14:textId="77777777" w:rsidR="00527BD4" w:rsidRDefault="00A501F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82F46DF" wp14:editId="08BEB5D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E9575EA" w14:textId="77777777" w:rsidR="00F4553F" w:rsidRDefault="00F4553F" w:rsidP="00651CEE">
          <w:pPr>
            <w:framePr w:w="6340" w:h="2750" w:hRule="exact" w:hSpace="180" w:wrap="around" w:vAnchor="page" w:hAnchor="text" w:x="3873" w:y="-140"/>
            <w:spacing w:line="240" w:lineRule="auto"/>
          </w:pPr>
        </w:p>
      </w:tc>
    </w:tr>
  </w:tbl>
  <w:p w14:paraId="70C895F2" w14:textId="77777777" w:rsidR="00527BD4" w:rsidRDefault="00527BD4" w:rsidP="00D0609E">
    <w:pPr>
      <w:framePr w:w="6340" w:h="2750" w:hRule="exact" w:hSpace="180" w:wrap="around" w:vAnchor="page" w:hAnchor="text" w:x="3873" w:y="-140"/>
    </w:pPr>
  </w:p>
  <w:p w14:paraId="5A2D5C9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517C0" w14:paraId="2D080443" w14:textId="77777777" w:rsidTr="00A50CF6">
      <w:tc>
        <w:tcPr>
          <w:tcW w:w="2160" w:type="dxa"/>
        </w:tcPr>
        <w:p w14:paraId="19455064" w14:textId="77777777" w:rsidR="00527BD4" w:rsidRPr="005819CE" w:rsidRDefault="00A501F9" w:rsidP="00A50CF6">
          <w:pPr>
            <w:pStyle w:val="Huisstijl-Adres"/>
            <w:rPr>
              <w:b/>
            </w:rPr>
          </w:pPr>
          <w:r>
            <w:rPr>
              <w:b/>
            </w:rPr>
            <w:t>Directoraat-generaal Realisatie Groene Groei</w:t>
          </w:r>
          <w:r w:rsidRPr="005819CE">
            <w:rPr>
              <w:b/>
            </w:rPr>
            <w:br/>
          </w:r>
          <w:r>
            <w:t>Directie Verduurzaming Industrie</w:t>
          </w:r>
        </w:p>
        <w:p w14:paraId="1329CFC4" w14:textId="77777777" w:rsidR="00527BD4" w:rsidRPr="00BE5ED9" w:rsidRDefault="00A501F9" w:rsidP="00A50CF6">
          <w:pPr>
            <w:pStyle w:val="Huisstijl-Adres"/>
          </w:pPr>
          <w:r>
            <w:rPr>
              <w:b/>
            </w:rPr>
            <w:t>Bezoekadres</w:t>
          </w:r>
          <w:r>
            <w:rPr>
              <w:b/>
            </w:rPr>
            <w:br/>
          </w:r>
          <w:r>
            <w:t>Bezuidenhoutseweg 73</w:t>
          </w:r>
          <w:r w:rsidRPr="005819CE">
            <w:br/>
          </w:r>
          <w:r>
            <w:t>2594 AC Den Haag</w:t>
          </w:r>
        </w:p>
        <w:p w14:paraId="461457F6" w14:textId="77777777" w:rsidR="00EF495B" w:rsidRDefault="00A501F9" w:rsidP="0098788A">
          <w:pPr>
            <w:pStyle w:val="Huisstijl-Adres"/>
          </w:pPr>
          <w:r>
            <w:rPr>
              <w:b/>
            </w:rPr>
            <w:t>Postadres</w:t>
          </w:r>
          <w:r>
            <w:rPr>
              <w:b/>
            </w:rPr>
            <w:br/>
          </w:r>
          <w:r>
            <w:t>Postbus 20401</w:t>
          </w:r>
          <w:r w:rsidRPr="005819CE">
            <w:br/>
            <w:t>2500 E</w:t>
          </w:r>
          <w:r>
            <w:t>K</w:t>
          </w:r>
          <w:r w:rsidRPr="005819CE">
            <w:t xml:space="preserve"> Den Haag</w:t>
          </w:r>
        </w:p>
        <w:p w14:paraId="157F5655" w14:textId="77777777" w:rsidR="00EF495B" w:rsidRPr="005B3814" w:rsidRDefault="00A501F9" w:rsidP="0098788A">
          <w:pPr>
            <w:pStyle w:val="Huisstijl-Adres"/>
          </w:pPr>
          <w:r>
            <w:rPr>
              <w:b/>
            </w:rPr>
            <w:t>Overheidsidentificatienr</w:t>
          </w:r>
          <w:r>
            <w:rPr>
              <w:b/>
            </w:rPr>
            <w:br/>
          </w:r>
          <w:r w:rsidR="002D0DDB" w:rsidRPr="002D0DDB">
            <w:t>00000003952069570000</w:t>
          </w:r>
        </w:p>
        <w:p w14:paraId="2CF779CA" w14:textId="0D0079C3" w:rsidR="00527BD4" w:rsidRPr="00AB5E13" w:rsidRDefault="00A501F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517C0" w14:paraId="1B0B67EB" w14:textId="77777777" w:rsidTr="00A50CF6">
      <w:trPr>
        <w:trHeight w:hRule="exact" w:val="200"/>
      </w:trPr>
      <w:tc>
        <w:tcPr>
          <w:tcW w:w="2160" w:type="dxa"/>
        </w:tcPr>
        <w:p w14:paraId="27985BED" w14:textId="77777777" w:rsidR="00527BD4" w:rsidRPr="005819CE" w:rsidRDefault="00527BD4" w:rsidP="00A50CF6"/>
      </w:tc>
    </w:tr>
    <w:tr w:rsidR="005517C0" w14:paraId="5B63EB3E" w14:textId="77777777" w:rsidTr="00A50CF6">
      <w:tc>
        <w:tcPr>
          <w:tcW w:w="2160" w:type="dxa"/>
        </w:tcPr>
        <w:p w14:paraId="1F9E6D87" w14:textId="77777777" w:rsidR="000C0163" w:rsidRPr="005819CE" w:rsidRDefault="00A501F9" w:rsidP="000C0163">
          <w:pPr>
            <w:pStyle w:val="Huisstijl-Kopje"/>
          </w:pPr>
          <w:r>
            <w:t>Ons kenmerk</w:t>
          </w:r>
          <w:r w:rsidRPr="005819CE">
            <w:t xml:space="preserve"> </w:t>
          </w:r>
        </w:p>
        <w:p w14:paraId="3AB56156" w14:textId="7A4481D4" w:rsidR="00527BD4" w:rsidRPr="005819CE" w:rsidRDefault="00A501F9" w:rsidP="00A50CF6">
          <w:pPr>
            <w:pStyle w:val="Huisstijl-Gegeven"/>
          </w:pPr>
          <w:r>
            <w:t>KGG_DGRGG_VI</w:t>
          </w:r>
          <w:r w:rsidR="00926AE2">
            <w:t xml:space="preserve"> /</w:t>
          </w:r>
          <w:r w:rsidR="00EB4E8D">
            <w:t xml:space="preserve"> </w:t>
          </w:r>
          <w:r w:rsidR="003546BE" w:rsidRPr="003546BE">
            <w:t>103966635</w:t>
          </w:r>
        </w:p>
      </w:tc>
    </w:tr>
  </w:tbl>
  <w:p w14:paraId="2344A2E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517C0" w14:paraId="48CA7DDD" w14:textId="77777777" w:rsidTr="007610AA">
      <w:trPr>
        <w:trHeight w:val="400"/>
      </w:trPr>
      <w:tc>
        <w:tcPr>
          <w:tcW w:w="7520" w:type="dxa"/>
          <w:gridSpan w:val="2"/>
        </w:tcPr>
        <w:p w14:paraId="1B2A8203" w14:textId="77777777" w:rsidR="00527BD4" w:rsidRPr="00BC3B53" w:rsidRDefault="00A501F9" w:rsidP="00A50CF6">
          <w:pPr>
            <w:pStyle w:val="Huisstijl-Retouradres"/>
          </w:pPr>
          <w:r>
            <w:t>&gt; Retouradres Postbus 20401 2500 EK Den Haag</w:t>
          </w:r>
        </w:p>
      </w:tc>
    </w:tr>
    <w:tr w:rsidR="005517C0" w14:paraId="34C026F9" w14:textId="77777777" w:rsidTr="007610AA">
      <w:tc>
        <w:tcPr>
          <w:tcW w:w="7520" w:type="dxa"/>
          <w:gridSpan w:val="2"/>
        </w:tcPr>
        <w:p w14:paraId="1B4B59C9" w14:textId="77777777" w:rsidR="00527BD4" w:rsidRPr="00983E8F" w:rsidRDefault="00527BD4" w:rsidP="00A50CF6">
          <w:pPr>
            <w:pStyle w:val="Huisstijl-Rubricering"/>
          </w:pPr>
        </w:p>
      </w:tc>
    </w:tr>
    <w:tr w:rsidR="005517C0" w14:paraId="6CC7F53B" w14:textId="77777777" w:rsidTr="007610AA">
      <w:trPr>
        <w:trHeight w:hRule="exact" w:val="2440"/>
      </w:trPr>
      <w:tc>
        <w:tcPr>
          <w:tcW w:w="7520" w:type="dxa"/>
          <w:gridSpan w:val="2"/>
        </w:tcPr>
        <w:p w14:paraId="4AA3E5B7" w14:textId="77777777" w:rsidR="00527BD4" w:rsidRDefault="00A501F9" w:rsidP="00A50CF6">
          <w:pPr>
            <w:pStyle w:val="Huisstijl-NAW"/>
          </w:pPr>
          <w:r>
            <w:t xml:space="preserve">De Voorzitter van de Tweede Kamer </w:t>
          </w:r>
        </w:p>
        <w:p w14:paraId="0CB06D5C" w14:textId="77777777" w:rsidR="00D87195" w:rsidRDefault="00A501F9" w:rsidP="00D87195">
          <w:pPr>
            <w:pStyle w:val="Huisstijl-NAW"/>
          </w:pPr>
          <w:r>
            <w:t>der Staten-Generaal</w:t>
          </w:r>
        </w:p>
        <w:p w14:paraId="676007A9" w14:textId="77777777" w:rsidR="00EA0F13" w:rsidRDefault="00A501F9" w:rsidP="00EA0F13">
          <w:pPr>
            <w:rPr>
              <w:szCs w:val="18"/>
            </w:rPr>
          </w:pPr>
          <w:r>
            <w:rPr>
              <w:szCs w:val="18"/>
            </w:rPr>
            <w:t>Prinses Irenestraat 6</w:t>
          </w:r>
        </w:p>
        <w:p w14:paraId="6A12C2CC" w14:textId="77777777" w:rsidR="00985E56" w:rsidRDefault="00A501F9" w:rsidP="00EA0F13">
          <w:r>
            <w:rPr>
              <w:szCs w:val="18"/>
            </w:rPr>
            <w:t>2595 BD  DEN HAAG</w:t>
          </w:r>
        </w:p>
      </w:tc>
    </w:tr>
    <w:tr w:rsidR="005517C0" w14:paraId="02F5E184" w14:textId="77777777" w:rsidTr="007610AA">
      <w:trPr>
        <w:trHeight w:hRule="exact" w:val="400"/>
      </w:trPr>
      <w:tc>
        <w:tcPr>
          <w:tcW w:w="7520" w:type="dxa"/>
          <w:gridSpan w:val="2"/>
        </w:tcPr>
        <w:p w14:paraId="4E17D29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517C0" w14:paraId="158A534B" w14:textId="77777777" w:rsidTr="007610AA">
      <w:trPr>
        <w:trHeight w:val="240"/>
      </w:trPr>
      <w:tc>
        <w:tcPr>
          <w:tcW w:w="900" w:type="dxa"/>
        </w:tcPr>
        <w:p w14:paraId="2DD93A74" w14:textId="77777777" w:rsidR="00527BD4" w:rsidRPr="007709EF" w:rsidRDefault="00A501F9" w:rsidP="00A50CF6">
          <w:pPr>
            <w:rPr>
              <w:szCs w:val="18"/>
            </w:rPr>
          </w:pPr>
          <w:r>
            <w:rPr>
              <w:szCs w:val="18"/>
            </w:rPr>
            <w:t>Datum</w:t>
          </w:r>
        </w:p>
      </w:tc>
      <w:tc>
        <w:tcPr>
          <w:tcW w:w="6620" w:type="dxa"/>
        </w:tcPr>
        <w:p w14:paraId="01A44226" w14:textId="0A3E43F0" w:rsidR="00527BD4" w:rsidRPr="007709EF" w:rsidRDefault="002F14E3" w:rsidP="00A50CF6">
          <w:r>
            <w:t>3 februari 2026</w:t>
          </w:r>
        </w:p>
      </w:tc>
    </w:tr>
    <w:tr w:rsidR="005517C0" w14:paraId="36B073D3" w14:textId="77777777" w:rsidTr="007610AA">
      <w:trPr>
        <w:trHeight w:val="240"/>
      </w:trPr>
      <w:tc>
        <w:tcPr>
          <w:tcW w:w="900" w:type="dxa"/>
        </w:tcPr>
        <w:p w14:paraId="76AA3385" w14:textId="77777777" w:rsidR="00527BD4" w:rsidRPr="007709EF" w:rsidRDefault="00A501F9" w:rsidP="00A50CF6">
          <w:pPr>
            <w:rPr>
              <w:szCs w:val="18"/>
            </w:rPr>
          </w:pPr>
          <w:r>
            <w:rPr>
              <w:szCs w:val="18"/>
            </w:rPr>
            <w:t>Betreft</w:t>
          </w:r>
        </w:p>
      </w:tc>
      <w:tc>
        <w:tcPr>
          <w:tcW w:w="6620" w:type="dxa"/>
        </w:tcPr>
        <w:p w14:paraId="7A876166" w14:textId="488BB2B3" w:rsidR="00527BD4" w:rsidRPr="007709EF" w:rsidRDefault="00A501F9" w:rsidP="00A50CF6">
          <w:r>
            <w:t xml:space="preserve">Beantwoording Kamervragen over het bericht dat activiteiten van </w:t>
          </w:r>
          <w:proofErr w:type="spellStart"/>
          <w:r>
            <w:t>Sabic</w:t>
          </w:r>
          <w:proofErr w:type="spellEnd"/>
          <w:r>
            <w:t xml:space="preserve"> in Geleen en Bergen op Zoom verkocht worden aan een Duitse investeringsmaatschappij</w:t>
          </w:r>
        </w:p>
      </w:tc>
    </w:tr>
  </w:tbl>
  <w:p w14:paraId="2A5843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664F3C8">
      <w:start w:val="1"/>
      <w:numFmt w:val="bullet"/>
      <w:pStyle w:val="Lijstopsomteken"/>
      <w:lvlText w:val="•"/>
      <w:lvlJc w:val="left"/>
      <w:pPr>
        <w:tabs>
          <w:tab w:val="num" w:pos="227"/>
        </w:tabs>
        <w:ind w:left="227" w:hanging="227"/>
      </w:pPr>
      <w:rPr>
        <w:rFonts w:ascii="Verdana" w:hAnsi="Verdana" w:hint="default"/>
        <w:sz w:val="18"/>
        <w:szCs w:val="18"/>
      </w:rPr>
    </w:lvl>
    <w:lvl w:ilvl="1" w:tplc="F80C6B40" w:tentative="1">
      <w:start w:val="1"/>
      <w:numFmt w:val="bullet"/>
      <w:lvlText w:val="o"/>
      <w:lvlJc w:val="left"/>
      <w:pPr>
        <w:tabs>
          <w:tab w:val="num" w:pos="1440"/>
        </w:tabs>
        <w:ind w:left="1440" w:hanging="360"/>
      </w:pPr>
      <w:rPr>
        <w:rFonts w:ascii="Courier New" w:hAnsi="Courier New" w:cs="Courier New" w:hint="default"/>
      </w:rPr>
    </w:lvl>
    <w:lvl w:ilvl="2" w:tplc="D27C7418" w:tentative="1">
      <w:start w:val="1"/>
      <w:numFmt w:val="bullet"/>
      <w:lvlText w:val=""/>
      <w:lvlJc w:val="left"/>
      <w:pPr>
        <w:tabs>
          <w:tab w:val="num" w:pos="2160"/>
        </w:tabs>
        <w:ind w:left="2160" w:hanging="360"/>
      </w:pPr>
      <w:rPr>
        <w:rFonts w:ascii="Wingdings" w:hAnsi="Wingdings" w:hint="default"/>
      </w:rPr>
    </w:lvl>
    <w:lvl w:ilvl="3" w:tplc="5DBEDCBA" w:tentative="1">
      <w:start w:val="1"/>
      <w:numFmt w:val="bullet"/>
      <w:lvlText w:val=""/>
      <w:lvlJc w:val="left"/>
      <w:pPr>
        <w:tabs>
          <w:tab w:val="num" w:pos="2880"/>
        </w:tabs>
        <w:ind w:left="2880" w:hanging="360"/>
      </w:pPr>
      <w:rPr>
        <w:rFonts w:ascii="Symbol" w:hAnsi="Symbol" w:hint="default"/>
      </w:rPr>
    </w:lvl>
    <w:lvl w:ilvl="4" w:tplc="7E8C4684" w:tentative="1">
      <w:start w:val="1"/>
      <w:numFmt w:val="bullet"/>
      <w:lvlText w:val="o"/>
      <w:lvlJc w:val="left"/>
      <w:pPr>
        <w:tabs>
          <w:tab w:val="num" w:pos="3600"/>
        </w:tabs>
        <w:ind w:left="3600" w:hanging="360"/>
      </w:pPr>
      <w:rPr>
        <w:rFonts w:ascii="Courier New" w:hAnsi="Courier New" w:cs="Courier New" w:hint="default"/>
      </w:rPr>
    </w:lvl>
    <w:lvl w:ilvl="5" w:tplc="938284E0" w:tentative="1">
      <w:start w:val="1"/>
      <w:numFmt w:val="bullet"/>
      <w:lvlText w:val=""/>
      <w:lvlJc w:val="left"/>
      <w:pPr>
        <w:tabs>
          <w:tab w:val="num" w:pos="4320"/>
        </w:tabs>
        <w:ind w:left="4320" w:hanging="360"/>
      </w:pPr>
      <w:rPr>
        <w:rFonts w:ascii="Wingdings" w:hAnsi="Wingdings" w:hint="default"/>
      </w:rPr>
    </w:lvl>
    <w:lvl w:ilvl="6" w:tplc="09B47E04" w:tentative="1">
      <w:start w:val="1"/>
      <w:numFmt w:val="bullet"/>
      <w:lvlText w:val=""/>
      <w:lvlJc w:val="left"/>
      <w:pPr>
        <w:tabs>
          <w:tab w:val="num" w:pos="5040"/>
        </w:tabs>
        <w:ind w:left="5040" w:hanging="360"/>
      </w:pPr>
      <w:rPr>
        <w:rFonts w:ascii="Symbol" w:hAnsi="Symbol" w:hint="default"/>
      </w:rPr>
    </w:lvl>
    <w:lvl w:ilvl="7" w:tplc="D940F6DC" w:tentative="1">
      <w:start w:val="1"/>
      <w:numFmt w:val="bullet"/>
      <w:lvlText w:val="o"/>
      <w:lvlJc w:val="left"/>
      <w:pPr>
        <w:tabs>
          <w:tab w:val="num" w:pos="5760"/>
        </w:tabs>
        <w:ind w:left="5760" w:hanging="360"/>
      </w:pPr>
      <w:rPr>
        <w:rFonts w:ascii="Courier New" w:hAnsi="Courier New" w:cs="Courier New" w:hint="default"/>
      </w:rPr>
    </w:lvl>
    <w:lvl w:ilvl="8" w:tplc="05CCC2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A36D16E">
      <w:start w:val="1"/>
      <w:numFmt w:val="bullet"/>
      <w:pStyle w:val="Lijstopsomteken2"/>
      <w:lvlText w:val="–"/>
      <w:lvlJc w:val="left"/>
      <w:pPr>
        <w:tabs>
          <w:tab w:val="num" w:pos="227"/>
        </w:tabs>
        <w:ind w:left="227" w:firstLine="0"/>
      </w:pPr>
      <w:rPr>
        <w:rFonts w:ascii="Verdana" w:hAnsi="Verdana" w:hint="default"/>
      </w:rPr>
    </w:lvl>
    <w:lvl w:ilvl="1" w:tplc="F610745E" w:tentative="1">
      <w:start w:val="1"/>
      <w:numFmt w:val="bullet"/>
      <w:lvlText w:val="o"/>
      <w:lvlJc w:val="left"/>
      <w:pPr>
        <w:tabs>
          <w:tab w:val="num" w:pos="1440"/>
        </w:tabs>
        <w:ind w:left="1440" w:hanging="360"/>
      </w:pPr>
      <w:rPr>
        <w:rFonts w:ascii="Courier New" w:hAnsi="Courier New" w:cs="Courier New" w:hint="default"/>
      </w:rPr>
    </w:lvl>
    <w:lvl w:ilvl="2" w:tplc="CA56C516" w:tentative="1">
      <w:start w:val="1"/>
      <w:numFmt w:val="bullet"/>
      <w:lvlText w:val=""/>
      <w:lvlJc w:val="left"/>
      <w:pPr>
        <w:tabs>
          <w:tab w:val="num" w:pos="2160"/>
        </w:tabs>
        <w:ind w:left="2160" w:hanging="360"/>
      </w:pPr>
      <w:rPr>
        <w:rFonts w:ascii="Wingdings" w:hAnsi="Wingdings" w:hint="default"/>
      </w:rPr>
    </w:lvl>
    <w:lvl w:ilvl="3" w:tplc="5FF4B076" w:tentative="1">
      <w:start w:val="1"/>
      <w:numFmt w:val="bullet"/>
      <w:lvlText w:val=""/>
      <w:lvlJc w:val="left"/>
      <w:pPr>
        <w:tabs>
          <w:tab w:val="num" w:pos="2880"/>
        </w:tabs>
        <w:ind w:left="2880" w:hanging="360"/>
      </w:pPr>
      <w:rPr>
        <w:rFonts w:ascii="Symbol" w:hAnsi="Symbol" w:hint="default"/>
      </w:rPr>
    </w:lvl>
    <w:lvl w:ilvl="4" w:tplc="31CE2FA6" w:tentative="1">
      <w:start w:val="1"/>
      <w:numFmt w:val="bullet"/>
      <w:lvlText w:val="o"/>
      <w:lvlJc w:val="left"/>
      <w:pPr>
        <w:tabs>
          <w:tab w:val="num" w:pos="3600"/>
        </w:tabs>
        <w:ind w:left="3600" w:hanging="360"/>
      </w:pPr>
      <w:rPr>
        <w:rFonts w:ascii="Courier New" w:hAnsi="Courier New" w:cs="Courier New" w:hint="default"/>
      </w:rPr>
    </w:lvl>
    <w:lvl w:ilvl="5" w:tplc="6B8EBE72" w:tentative="1">
      <w:start w:val="1"/>
      <w:numFmt w:val="bullet"/>
      <w:lvlText w:val=""/>
      <w:lvlJc w:val="left"/>
      <w:pPr>
        <w:tabs>
          <w:tab w:val="num" w:pos="4320"/>
        </w:tabs>
        <w:ind w:left="4320" w:hanging="360"/>
      </w:pPr>
      <w:rPr>
        <w:rFonts w:ascii="Wingdings" w:hAnsi="Wingdings" w:hint="default"/>
      </w:rPr>
    </w:lvl>
    <w:lvl w:ilvl="6" w:tplc="AA9A8720" w:tentative="1">
      <w:start w:val="1"/>
      <w:numFmt w:val="bullet"/>
      <w:lvlText w:val=""/>
      <w:lvlJc w:val="left"/>
      <w:pPr>
        <w:tabs>
          <w:tab w:val="num" w:pos="5040"/>
        </w:tabs>
        <w:ind w:left="5040" w:hanging="360"/>
      </w:pPr>
      <w:rPr>
        <w:rFonts w:ascii="Symbol" w:hAnsi="Symbol" w:hint="default"/>
      </w:rPr>
    </w:lvl>
    <w:lvl w:ilvl="7" w:tplc="4B988886" w:tentative="1">
      <w:start w:val="1"/>
      <w:numFmt w:val="bullet"/>
      <w:lvlText w:val="o"/>
      <w:lvlJc w:val="left"/>
      <w:pPr>
        <w:tabs>
          <w:tab w:val="num" w:pos="5760"/>
        </w:tabs>
        <w:ind w:left="5760" w:hanging="360"/>
      </w:pPr>
      <w:rPr>
        <w:rFonts w:ascii="Courier New" w:hAnsi="Courier New" w:cs="Courier New" w:hint="default"/>
      </w:rPr>
    </w:lvl>
    <w:lvl w:ilvl="8" w:tplc="046E3C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765834"/>
    <w:multiLevelType w:val="multilevel"/>
    <w:tmpl w:val="3D728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4927946">
    <w:abstractNumId w:val="10"/>
  </w:num>
  <w:num w:numId="2" w16cid:durableId="1775327069">
    <w:abstractNumId w:val="7"/>
  </w:num>
  <w:num w:numId="3" w16cid:durableId="1496216000">
    <w:abstractNumId w:val="6"/>
  </w:num>
  <w:num w:numId="4" w16cid:durableId="1273440214">
    <w:abstractNumId w:val="5"/>
  </w:num>
  <w:num w:numId="5" w16cid:durableId="620376825">
    <w:abstractNumId w:val="4"/>
  </w:num>
  <w:num w:numId="6" w16cid:durableId="1224565196">
    <w:abstractNumId w:val="8"/>
  </w:num>
  <w:num w:numId="7" w16cid:durableId="1386562886">
    <w:abstractNumId w:val="3"/>
  </w:num>
  <w:num w:numId="8" w16cid:durableId="566770339">
    <w:abstractNumId w:val="2"/>
  </w:num>
  <w:num w:numId="9" w16cid:durableId="601500662">
    <w:abstractNumId w:val="1"/>
  </w:num>
  <w:num w:numId="10" w16cid:durableId="809055378">
    <w:abstractNumId w:val="0"/>
  </w:num>
  <w:num w:numId="11" w16cid:durableId="653610515">
    <w:abstractNumId w:val="9"/>
  </w:num>
  <w:num w:numId="12" w16cid:durableId="2031955033">
    <w:abstractNumId w:val="11"/>
  </w:num>
  <w:num w:numId="13" w16cid:durableId="1548106838">
    <w:abstractNumId w:val="14"/>
  </w:num>
  <w:num w:numId="14" w16cid:durableId="1249270829">
    <w:abstractNumId w:val="12"/>
  </w:num>
  <w:num w:numId="15" w16cid:durableId="6468585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03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1B16"/>
    <w:rsid w:val="00212F2A"/>
    <w:rsid w:val="00214F2B"/>
    <w:rsid w:val="00217771"/>
    <w:rsid w:val="00217880"/>
    <w:rsid w:val="00222D66"/>
    <w:rsid w:val="00224A8A"/>
    <w:rsid w:val="00225675"/>
    <w:rsid w:val="002309A8"/>
    <w:rsid w:val="0023505F"/>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14E3"/>
    <w:rsid w:val="002F5147"/>
    <w:rsid w:val="002F7ABD"/>
    <w:rsid w:val="00312597"/>
    <w:rsid w:val="00312BF1"/>
    <w:rsid w:val="00327BA5"/>
    <w:rsid w:val="0033326F"/>
    <w:rsid w:val="00334154"/>
    <w:rsid w:val="00335C5E"/>
    <w:rsid w:val="003372C4"/>
    <w:rsid w:val="00340ECA"/>
    <w:rsid w:val="00341FA0"/>
    <w:rsid w:val="00344F3D"/>
    <w:rsid w:val="00345299"/>
    <w:rsid w:val="00351A8D"/>
    <w:rsid w:val="003526BB"/>
    <w:rsid w:val="00352BCF"/>
    <w:rsid w:val="00352DFB"/>
    <w:rsid w:val="00353932"/>
    <w:rsid w:val="0035464B"/>
    <w:rsid w:val="003546BE"/>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17C0"/>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28AA"/>
    <w:rsid w:val="006E3546"/>
    <w:rsid w:val="006E3FA9"/>
    <w:rsid w:val="006E7D82"/>
    <w:rsid w:val="006F038F"/>
    <w:rsid w:val="006F0F93"/>
    <w:rsid w:val="006F31F2"/>
    <w:rsid w:val="006F7494"/>
    <w:rsid w:val="006F751F"/>
    <w:rsid w:val="00703961"/>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2C82"/>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1BEF"/>
    <w:rsid w:val="00994FDA"/>
    <w:rsid w:val="009A31BF"/>
    <w:rsid w:val="009A3B71"/>
    <w:rsid w:val="009A61BC"/>
    <w:rsid w:val="009B0138"/>
    <w:rsid w:val="009B0FE9"/>
    <w:rsid w:val="009B173A"/>
    <w:rsid w:val="009B47B9"/>
    <w:rsid w:val="009C3F20"/>
    <w:rsid w:val="009C5FBC"/>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1F9"/>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B5E13"/>
    <w:rsid w:val="00AE013D"/>
    <w:rsid w:val="00AE11B7"/>
    <w:rsid w:val="00AE7F68"/>
    <w:rsid w:val="00AF2321"/>
    <w:rsid w:val="00AF52F6"/>
    <w:rsid w:val="00AF52FD"/>
    <w:rsid w:val="00AF54A8"/>
    <w:rsid w:val="00AF7237"/>
    <w:rsid w:val="00B00172"/>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B7142"/>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317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B7408"/>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0FAB"/>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27DF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2B11"/>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0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211B16"/>
    <w:rPr>
      <w:vertAlign w:val="superscript"/>
    </w:rPr>
  </w:style>
  <w:style w:type="paragraph" w:styleId="Lijstalinea">
    <w:name w:val="List Paragraph"/>
    <w:basedOn w:val="Standaard"/>
    <w:uiPriority w:val="34"/>
    <w:qFormat/>
    <w:rsid w:val="00211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60B6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15308"/>
    <w:rsid w:val="003B3E22"/>
    <w:rsid w:val="004C4F26"/>
    <w:rsid w:val="0056545E"/>
    <w:rsid w:val="006835D9"/>
    <w:rsid w:val="006D28AA"/>
    <w:rsid w:val="008D2C82"/>
    <w:rsid w:val="00984C2E"/>
    <w:rsid w:val="009B47B9"/>
    <w:rsid w:val="009C5FBC"/>
    <w:rsid w:val="00A22FC5"/>
    <w:rsid w:val="00B00172"/>
    <w:rsid w:val="00B23C77"/>
    <w:rsid w:val="00B60B61"/>
    <w:rsid w:val="00BD5BD1"/>
    <w:rsid w:val="00D70FAB"/>
    <w:rsid w:val="00DC6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929</ap:Words>
  <ap:Characters>5112</ap:Characters>
  <ap:DocSecurity>0</ap:DocSecurity>
  <ap:Lines>42</ap:Lines>
  <ap:Paragraphs>12</ap:Paragraphs>
  <ap:ScaleCrop>false</ap:ScaleCrop>
  <ap:LinksUpToDate>false</ap:LinksUpToDate>
  <ap:CharactersWithSpaces>6029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2026-02-03T15:55:00.0000000Z</dcterms:created>
  <dcterms:modified xsi:type="dcterms:W3CDTF">2026-02-03T15:55:00.0000000Z</dcterms:modified>
  <dc:description>------------------------</dc:description>
  <dc:subject/>
  <keywords/>
  <version/>
  <category/>
</coreProperties>
</file>