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551" w:rsidP="00B97551" w:rsidRDefault="00B97551" w14:paraId="07AC36AF" w14:textId="55CE832E">
      <w:pPr>
        <w:spacing w:line="276" w:lineRule="auto"/>
      </w:pPr>
      <w:r>
        <w:t>AH 1025</w:t>
      </w:r>
    </w:p>
    <w:p w:rsidR="00B97551" w:rsidP="00B97551" w:rsidRDefault="00B97551" w14:paraId="73048C64" w14:textId="5C0886C3">
      <w:pPr>
        <w:spacing w:line="276" w:lineRule="auto"/>
      </w:pPr>
      <w:r>
        <w:t>2026z00125</w:t>
      </w:r>
    </w:p>
    <w:p w:rsidRPr="00B97551" w:rsidR="00B97551" w:rsidP="00B97551" w:rsidRDefault="00B97551" w14:paraId="44974CE2" w14:textId="4375611D">
      <w:pPr>
        <w:rPr>
          <w:rFonts w:ascii="Times New Roman" w:hAnsi="Times New Roman"/>
          <w:bCs/>
          <w:sz w:val="24"/>
        </w:rPr>
      </w:pPr>
      <w:r w:rsidRPr="007B1B93">
        <w:rPr>
          <w:rFonts w:ascii="Times New Roman" w:hAnsi="Times New Roman"/>
          <w:bCs/>
          <w:sz w:val="24"/>
        </w:rPr>
        <w:t xml:space="preserve">Antwoord van staatssecretaris </w:t>
      </w:r>
      <w:r w:rsidRPr="007B1B93">
        <w:rPr>
          <w:bCs/>
          <w:sz w:val="24"/>
        </w:rPr>
        <w:t xml:space="preserve">Heijnen </w:t>
      </w:r>
      <w:r w:rsidRPr="007B1B93">
        <w:rPr>
          <w:rFonts w:ascii="Times New Roman" w:hAnsi="Times New Roman"/>
          <w:bCs/>
          <w:sz w:val="24"/>
        </w:rPr>
        <w:t>(Financiën)</w:t>
      </w:r>
      <w:r>
        <w:rPr>
          <w:rFonts w:ascii="Times New Roman" w:hAnsi="Times New Roman"/>
          <w:bCs/>
          <w:sz w:val="24"/>
        </w:rPr>
        <w:t xml:space="preserve">, mede namens de </w:t>
      </w:r>
      <w:r w:rsidRPr="00B97551">
        <w:rPr>
          <w:rFonts w:ascii="Times New Roman" w:hAnsi="Times New Roman"/>
          <w:bCs/>
          <w:sz w:val="24"/>
        </w:rPr>
        <w:t>minister van Economische Zaken</w:t>
      </w:r>
      <w:r w:rsidRPr="007B1B93">
        <w:rPr>
          <w:rFonts w:ascii="Times New Roman" w:hAnsi="Times New Roman"/>
          <w:bCs/>
          <w:sz w:val="24"/>
        </w:rPr>
        <w:t xml:space="preserve"> (ontvangen</w:t>
      </w:r>
      <w:r>
        <w:rPr>
          <w:rFonts w:ascii="Times New Roman" w:hAnsi="Times New Roman"/>
          <w:bCs/>
          <w:sz w:val="24"/>
        </w:rPr>
        <w:t xml:space="preserve"> 3 februari 2026)</w:t>
      </w:r>
    </w:p>
    <w:p w:rsidRPr="00B0375E" w:rsidR="00B97551" w:rsidP="00B97551" w:rsidRDefault="00B97551" w14:paraId="74BA7C5C" w14:textId="77777777">
      <w:pPr>
        <w:spacing w:line="276" w:lineRule="auto"/>
        <w:rPr>
          <w:b/>
          <w:bCs/>
        </w:rPr>
      </w:pPr>
      <w:r w:rsidRPr="75A0F331">
        <w:rPr>
          <w:b/>
          <w:bCs/>
        </w:rPr>
        <w:t>1. Bent u bekend met het NRC-artikel 'Ook bij het tegengaan van belastingontwijking zwicht de rest van de wereld voor Trump' van 6 januari 2026?</w:t>
      </w:r>
    </w:p>
    <w:p w:rsidRPr="00B0375E" w:rsidR="00B97551" w:rsidP="00B97551" w:rsidRDefault="00B97551" w14:paraId="3141DCBE" w14:textId="77777777">
      <w:pPr>
        <w:spacing w:line="276" w:lineRule="auto"/>
      </w:pPr>
      <w:r w:rsidRPr="75A0F331">
        <w:t>Ja.</w:t>
      </w:r>
    </w:p>
    <w:p w:rsidR="00B97551" w:rsidP="00B97551" w:rsidRDefault="00B97551" w14:paraId="46BE40A9" w14:textId="77777777">
      <w:pPr>
        <w:spacing w:line="276" w:lineRule="auto"/>
        <w:rPr>
          <w:b/>
          <w:bCs/>
        </w:rPr>
      </w:pPr>
      <w:r w:rsidRPr="75A0F331">
        <w:rPr>
          <w:b/>
          <w:bCs/>
        </w:rPr>
        <w:t>2. Deelt u de opvatting dat de OESO-minimumwinstbelasting van 15% onder andere bedoeld is om voor alle grote multinationals een gelijk minimum te creëren zodat er geen “race to the bottom”plaatsvindt en belastingontwijking wordt tegengegaan? Zo ja, kunt u reflecteren wat het effect is van de gemaakte uitzondering voor Amerikaanse multinationals hierop? Zo nee, waarom niet?</w:t>
      </w:r>
    </w:p>
    <w:p w:rsidR="00B97551" w:rsidP="00B97551" w:rsidRDefault="00B97551" w14:paraId="0BC372DB" w14:textId="77777777">
      <w:pPr>
        <w:spacing w:line="276" w:lineRule="auto"/>
      </w:pPr>
      <w:r w:rsidRPr="75A0F331">
        <w:t>De OESO-minimumwinstbelasting, ook wel Pijler 2 genoemd, beoogt ervoor te zorgen dat multinationale groepen met een omzet van ten minste € 750 miljoen ten minste effectief 15% aan belasting over hun winst betalen. Pijler 2 voorziet in een bijheffing als in een jurisdictie effectief te weinig winstbelasting is betaald. Het doel van Pijler 2 is tweeledig. Ten eerste beoogt Pijler 2 de prikkel voor bedrijven te verminderen om winsten te verschuiven naar laagbelastende jurisdicties. Ten tweede beoogt Pijler 2 een ondergrens te stellen aan belastingconcurrentie tussen jurisdicties. Hiermee wordt een race naar de bodem in de winstbelasting tegengegaan en een gelijker speelveld gecreëerd voor internationaal opererende ondernemingen. Pijler 2 zorgt daarmee voor een wereldwijd minimumniveau van belastingheffing voor multinationale groepen.</w:t>
      </w:r>
    </w:p>
    <w:p w:rsidRPr="00EB2C73" w:rsidR="00B97551" w:rsidP="00B97551" w:rsidRDefault="00B97551" w14:paraId="6419FEC4" w14:textId="77777777">
      <w:pPr>
        <w:spacing w:line="276" w:lineRule="auto"/>
      </w:pPr>
      <w:r w:rsidRPr="75A0F331">
        <w:t>In het akkoord van het Inclusive Framework (IF) van 5 januari 2026 over het Side-by-Side-pakket wordt de nadruk gelegd op het belang van Pijler 2 als het primaire systeem voor het waarborgen van een minimumniveau van belastingheffing. Dit gemeenschappelijke systeem is met reden zorgvuldig ontworpen, waarbij de bijheffing tot het minimumbelastingtarief van 15% op een gecoördineerde manier wordt berekend op basis van een internationaal afgesproken belastinggrondslag. De Nederlandse inzet was er op gericht om afwijkingen van het gemeenschappelijke systeem tot een minimum te beperken. Tegelijkertijd ziet het kabinet het overkoepelende belang van het in stand houden van een netwerk van minimumbelastingen in een zo groot mogelijk internationaal verband, ook als dat betekent dat tegemoetgekomen wordt aan andere jurisdicties die een belastingstelsel hebben dat een minimumniveau van belastingheffing waarborgt. De internationaal gecoördineerde uitleg van de Pijler 2-regels zorgt voor eenduidigheid en biedt belastingplichtigen zekerheid. Daarnaast bevat het Side-by-Side-pakket waarborgen zodat geen afbreuk wordt gedaan aan de doelstellingen van de Pijler 2-regels. Zo wordt de status van een kwalificerende Side-by-Side veilige haven niet willekeurig verleend. In het IF-akkoord zijn robuuste en strikte criteria afgesproken om te kwalificeren als een belastingstelsel dat gelijkwaardig is aan Pijler 2.</w:t>
      </w:r>
      <w:bookmarkStart w:name="_Hlk219721639" w:id="0"/>
      <w:bookmarkEnd w:id="0"/>
    </w:p>
    <w:p w:rsidR="00B97551" w:rsidP="00B97551" w:rsidRDefault="00B97551" w14:paraId="544FA2C8" w14:textId="77777777">
      <w:pPr>
        <w:spacing w:line="276" w:lineRule="auto"/>
        <w:rPr>
          <w:b/>
          <w:bCs/>
        </w:rPr>
      </w:pPr>
      <w:r w:rsidRPr="75A0F331">
        <w:rPr>
          <w:b/>
          <w:bCs/>
        </w:rPr>
        <w:t>3. Erkent u dat het niet toepassen van het OESO-minimumtarief op Amerikaanse multinationals, terwijl deze wel van toepassing wordt op Europese en Nederlandse multinationals, het beoogde gelijke speelveld onder druk zet?</w:t>
      </w:r>
    </w:p>
    <w:p w:rsidR="00B97551" w:rsidP="00B97551" w:rsidRDefault="00B97551" w14:paraId="0E24BCFC" w14:textId="77777777">
      <w:pPr>
        <w:spacing w:line="276" w:lineRule="auto"/>
        <w:rPr>
          <w:b/>
          <w:bCs/>
        </w:rPr>
      </w:pPr>
      <w:r w:rsidRPr="75A0F331">
        <w:lastRenderedPageBreak/>
        <w:t xml:space="preserve">Het kabinet vindt het belangrijk om in het oog te houden dat Nederlandse multinationals onder gelijke voorwaarden kunnen concurreren met lokale ondernemingen in Side-by-Side veiligehavenjurisdicties. Het is daarom van belang dat niet-implementerende jurisdicties zich niet voordeliger kunnen positioneren ten opzichte van jurisdicties die wel Pijler 2 implementeren. Het is positief dat robuuste en strikte criteria zijn afgesproken voor de Side-by-Side veiligehavenregel. Ook hecht het kabinet aan de onveranderde werking van de binnenlandse bijheffing. Dit is positief voor het gelijke speelveld en voor het waarborgen van de beleidsdoelstellingen van Pijler 2, aangezien alle multinationale groepen onderworpen kunnen zijn aan een binnenlandse bijheffing – voor zover die wordt geheven in jurisdicties waarin zij opereren – ongeacht de locatie van het hoofdkantoor. Het is van belang dat onder het Side-by-Side-systeem een prikkel blijft bestaan voor jurisdicties om een binnenlandse bijheffing te behouden dan wel in te voeren. Mede daarom hecht het kabinet aan de toekomstige evaluatie om te volgen hoe het Side-by-Side-systeem in de praktijk uitpakt en als nodig maatregelen te nemen om risico’s met betrekking tot het gelijke speelveld of grondslaguitholling en winstverschuiving te ondervangen. </w:t>
      </w:r>
    </w:p>
    <w:p w:rsidR="00B97551" w:rsidP="00B97551" w:rsidRDefault="00B97551" w14:paraId="3272B95C" w14:textId="77777777">
      <w:pPr>
        <w:spacing w:line="276" w:lineRule="auto"/>
        <w:rPr>
          <w:b/>
          <w:bCs/>
        </w:rPr>
      </w:pPr>
      <w:r w:rsidRPr="75A0F331">
        <w:rPr>
          <w:b/>
          <w:bCs/>
        </w:rPr>
        <w:t>4. Welke signalen heeft u ontvangen van Nederlandse en/of Europese bedrijven over het belang van een wereldwijde minimumwinstbelasting die zonder uitzonderingen wordt toegepast met het oog op een gelijk speelveld?</w:t>
      </w:r>
    </w:p>
    <w:p w:rsidRPr="00EB2C73" w:rsidR="00B97551" w:rsidP="00B97551" w:rsidRDefault="00B97551" w14:paraId="763DBF88" w14:textId="77777777">
      <w:pPr>
        <w:spacing w:line="276" w:lineRule="auto"/>
        <w:rPr>
          <w:b/>
          <w:bCs/>
        </w:rPr>
      </w:pPr>
      <w:r>
        <w:t>Het internationale bedrijfsleven dat bij de OESO wordt vertegenwoordigd in de Business Advisory Group is positief over het Side-by-Side-pakket.</w:t>
      </w:r>
      <w:r>
        <w:rPr>
          <w:rStyle w:val="Voetnootmarkering"/>
        </w:rPr>
        <w:footnoteReference w:id="1"/>
      </w:r>
      <w:r>
        <w:t xml:space="preserve"> Op ambtelijk niveau is veelvuldig in verschillende gremia gesproken met het Nederlandse bedrijfsleven over Pijler 2. Daarbij is ook gesproken over de positie van jurisdicties die Pijler 2 niet hebben ingevoerd en het belang van een gelijk speelveld. Ook heeft het Nederlandse bedrijfsleven aandacht gevraagd voor administratieve lasten en de stabiliteit van het internationale belastingsysteem. Het Nederlandse bedrijfsleven zal s</w:t>
      </w:r>
      <w:r w:rsidRPr="004454B7">
        <w:t>ommige elementen van het Side-by-Side-pakket</w:t>
      </w:r>
      <w:r>
        <w:t xml:space="preserve"> positief waarderen</w:t>
      </w:r>
      <w:r w:rsidRPr="004454B7">
        <w:t>, zoals de verlenging van de tijdelijke veiligehaven</w:t>
      </w:r>
      <w:r>
        <w:t>regel</w:t>
      </w:r>
      <w:r w:rsidRPr="004454B7">
        <w:t xml:space="preserve"> op basis van een kwalificerend landenrapport en de gunstige behandeling van kwalificerende belastingprikkel</w:t>
      </w:r>
      <w:r>
        <w:t>s</w:t>
      </w:r>
      <w:r w:rsidRPr="004454B7">
        <w:t xml:space="preserve">. Anderzijds wijst het bedrijfsleven er op dat Amerikaanse multinationals in voorkomende gevallen minder belasting over hun buitenlandse winsten </w:t>
      </w:r>
      <w:r>
        <w:t>kunnen</w:t>
      </w:r>
      <w:r w:rsidRPr="004454B7">
        <w:t xml:space="preserve"> betalen dan onder Pijler 2 het geval zou zijn.</w:t>
      </w:r>
      <w:r>
        <w:t xml:space="preserve"> H</w:t>
      </w:r>
      <w:r w:rsidRPr="00AF3B80">
        <w:t xml:space="preserve">et </w:t>
      </w:r>
      <w:r>
        <w:t xml:space="preserve">kabinet erkent het </w:t>
      </w:r>
      <w:r w:rsidRPr="00AF3B80">
        <w:t>belang dat niet-implementerende jurisdicties zich niet voordeliger kunnen positioneren ten opzichte van jurisdicties die wel Pijler 2 implementeren</w:t>
      </w:r>
      <w:r>
        <w:t>. Nederland heeft tijdens de onderhandelingen ook ingezet op het behoud van een gelijk speelveld en het concurrentievermogen van het Europese en Nederlandse bedrijfsleven</w:t>
      </w:r>
      <w:r w:rsidRPr="00AF3B80">
        <w:t xml:space="preserve">. </w:t>
      </w:r>
      <w:r w:rsidRPr="00CF2710">
        <w:t xml:space="preserve">Uitgangspunt van het Side-by-Side-systeem is </w:t>
      </w:r>
      <w:r>
        <w:t>uiteindelijk</w:t>
      </w:r>
      <w:r w:rsidRPr="00CF2710">
        <w:t xml:space="preserve"> dat de effectieve belastingdruk voor multinationale ondernemingen vergelijkbaar uitpakt onder zowel Pijler 2 als kwalificerende gelijkwaardige belastingstelsels. </w:t>
      </w:r>
      <w:r>
        <w:t>H</w:t>
      </w:r>
      <w:r w:rsidRPr="00AF3B80">
        <w:t xml:space="preserve">et </w:t>
      </w:r>
      <w:r>
        <w:t xml:space="preserve">is daarom </w:t>
      </w:r>
      <w:r w:rsidRPr="00AF3B80">
        <w:t>positief dat</w:t>
      </w:r>
      <w:r>
        <w:t xml:space="preserve"> </w:t>
      </w:r>
      <w:r w:rsidRPr="00AF3B80">
        <w:t xml:space="preserve">robuuste en strikte criteria zijn afgesproken voor de </w:t>
      </w:r>
      <w:r w:rsidRPr="00336227">
        <w:t xml:space="preserve">Side-by-Side </w:t>
      </w:r>
      <w:r>
        <w:t>veiligehavenregel</w:t>
      </w:r>
      <w:r w:rsidRPr="00336227">
        <w:t>.</w:t>
      </w:r>
      <w:r w:rsidRPr="00AF3B80">
        <w:t xml:space="preserve"> Ook hecht het kabinet aan de onveranderde werking van de binnenlandse bijheffing. Dit is positief voor het gelijke speelveld en voor het </w:t>
      </w:r>
      <w:r>
        <w:t>waar</w:t>
      </w:r>
      <w:r w:rsidRPr="00AF3B80">
        <w:t>borgen van de beleidsdoelstellingen van Pijler 2, aangezien alle multinationale groepen onderworpen kunnen zijn aan een binnenlandse bijheffing – voor zover die wordt geheven in jurisdicties waar</w:t>
      </w:r>
      <w:r>
        <w:t>in</w:t>
      </w:r>
      <w:r w:rsidRPr="00AF3B80">
        <w:t xml:space="preserve"> zij opereren – ongeacht de locatie van het hoofdkantoor. </w:t>
      </w:r>
      <w:r>
        <w:t>H</w:t>
      </w:r>
      <w:r w:rsidRPr="00AF3B80">
        <w:t xml:space="preserve">et </w:t>
      </w:r>
      <w:r>
        <w:t>is</w:t>
      </w:r>
      <w:r w:rsidRPr="00AF3B80">
        <w:t xml:space="preserve"> van belang dat onder het </w:t>
      </w:r>
      <w:r w:rsidRPr="00336227">
        <w:t xml:space="preserve">Side-by-Side-systeem een prikkel blijft bestaan voor jurisdicties om een binnenlandse bijheffing te behouden dan wel in te voeren. Mede daarom hecht het kabinet aan de toekomstige evaluatie om te volgen hoe het Side-by-Side-systeem in de praktijk uitpakt en als nodig maatregelen te nemen om risico’s met betrekking tot </w:t>
      </w:r>
      <w:r w:rsidRPr="00336227">
        <w:lastRenderedPageBreak/>
        <w:t>het gelijke speelveld of grondslaguitholling en winstverschuiving te ondervangen. In het bijzonder vindt het kabinet het belangrijk om in het oog te houden dat Nederlandse multinationals onder gelijke voorwaarden kunnen concurreren met lokale ondernemingen in Side-by-Side veilige haven-</w:t>
      </w:r>
      <w:r w:rsidRPr="00AF3B80">
        <w:t>jurisdicties.</w:t>
      </w:r>
    </w:p>
    <w:p w:rsidR="00B97551" w:rsidP="00B97551" w:rsidRDefault="00B97551" w14:paraId="39E9BEB1" w14:textId="77777777">
      <w:pPr>
        <w:spacing w:line="276" w:lineRule="auto"/>
        <w:rPr>
          <w:b/>
          <w:bCs/>
        </w:rPr>
      </w:pPr>
      <w:r w:rsidRPr="75A0F331">
        <w:rPr>
          <w:b/>
          <w:bCs/>
        </w:rPr>
        <w:t>5. Hoe beoordeelt u het gegeven dat de uitzondering voor Amerikaanse multinationals ertoe leidt dat grote, zeer winstgevende Amerikaanse multinationals die actief zijn op de Nederlandse en Europese markt niet in alle gevallen een vergelijkbare minimumwinstbelasting betalen als Europese bedrijven?</w:t>
      </w:r>
    </w:p>
    <w:p w:rsidRPr="00F12E64" w:rsidR="00B97551" w:rsidP="00B97551" w:rsidRDefault="00B97551" w14:paraId="5745508F" w14:textId="77777777">
      <w:pPr>
        <w:spacing w:line="276" w:lineRule="auto"/>
      </w:pPr>
      <w:r w:rsidRPr="75A0F331">
        <w:t>De dochterondernemingen van Amerikaanse multinationals in Nederland en in de meeste andere EU-lidstaten zijn onderworpen aan de binnenlandse bijheffing voor zover hun effectieve belastingdruk minder dan 15% bedraagt. In deze gevallen betalen zij over de winsten in Nederland en andere EU-lidstaten een vergelijkbare minimumwinstbelasting als Europese multinationals zouden betalen.</w:t>
      </w:r>
    </w:p>
    <w:p w:rsidRPr="0039242E" w:rsidR="00B97551" w:rsidP="00B97551" w:rsidRDefault="00B97551" w14:paraId="19306A00" w14:textId="77777777">
      <w:pPr>
        <w:spacing w:line="276" w:lineRule="auto"/>
        <w:rPr>
          <w:b/>
          <w:bCs/>
        </w:rPr>
      </w:pPr>
      <w:r w:rsidRPr="75A0F331">
        <w:rPr>
          <w:b/>
          <w:bCs/>
        </w:rPr>
        <w:t>6. Deelt u de analyse dat het internationale belastingstelsel, dat nog grotendeels is gebaseerd op fysieke aanwezigheid, fundamenteel tekortschiet in een economie waarin waardecreatie steeds vaker digitaal plaatsvindt? Zo nee, waarom niet?</w:t>
      </w:r>
    </w:p>
    <w:p w:rsidR="00B97551" w:rsidP="00B97551" w:rsidRDefault="00B97551" w14:paraId="715F32A0" w14:textId="77777777">
      <w:pPr>
        <w:spacing w:line="276" w:lineRule="auto"/>
      </w:pPr>
      <w:r>
        <w:t>De nationale wetten en bilaterale belastingverdragen b</w:t>
      </w:r>
      <w:r w:rsidRPr="0039242E">
        <w:t xml:space="preserve">innen het huidige internationale belastingstelsel </w:t>
      </w:r>
      <w:r>
        <w:t xml:space="preserve">sluiten </w:t>
      </w:r>
      <w:r w:rsidRPr="0039242E">
        <w:t xml:space="preserve">voor de verdeling van heffingsrechten over winsten </w:t>
      </w:r>
      <w:r>
        <w:t xml:space="preserve">inderdaad </w:t>
      </w:r>
      <w:r w:rsidRPr="0039242E">
        <w:t xml:space="preserve">grotendeels aan bij de fysieke aanwezigheid van een bedrijf in een land. </w:t>
      </w:r>
      <w:r>
        <w:t>Ook het huidige Nederlandse verdragsbeleid sluit grotendeels aan bij dit uitgangspunt.</w:t>
      </w:r>
      <w:r>
        <w:rPr>
          <w:rStyle w:val="Voetnootmarkering"/>
        </w:rPr>
        <w:footnoteReference w:id="2"/>
      </w:r>
      <w:r>
        <w:t xml:space="preserve"> In mijn brief over digitale diensten belastingen geef ik aan dat</w:t>
      </w:r>
      <w:r w:rsidRPr="009C291C">
        <w:t xml:space="preserve"> </w:t>
      </w:r>
      <w:r>
        <w:t xml:space="preserve">in internationale fora en in het publieke debat inderdaad </w:t>
      </w:r>
      <w:r w:rsidRPr="0039242E">
        <w:t xml:space="preserve">de vraag </w:t>
      </w:r>
      <w:r>
        <w:t xml:space="preserve">speelt </w:t>
      </w:r>
      <w:r w:rsidRPr="0039242E">
        <w:t>of de eis van fysieke aanwezigheid nog wel passend is in de huidige tijd van digitalisering.</w:t>
      </w:r>
      <w:r>
        <w:rPr>
          <w:rStyle w:val="Voetnootmarkering"/>
        </w:rPr>
        <w:footnoteReference w:id="3"/>
      </w:r>
      <w:r w:rsidRPr="0039242E">
        <w:t xml:space="preserve"> Bedrijven hebben namelijk door digitale mogelijkheden steeds minder een fysieke aanwezigheid nodig om in een land actief te zijn en omzet te genereren. Dat geldt bij uitstek voor digitale bedrijven, maar is ook bij andere bedrijven aan de orde. </w:t>
      </w:r>
    </w:p>
    <w:p w:rsidRPr="0039242E" w:rsidR="00B97551" w:rsidP="00B97551" w:rsidRDefault="00B97551" w14:paraId="6C261FE7" w14:textId="77777777">
      <w:pPr>
        <w:spacing w:line="276" w:lineRule="auto"/>
        <w:rPr>
          <w:b/>
          <w:bCs/>
        </w:rPr>
      </w:pPr>
      <w:r w:rsidRPr="75A0F331">
        <w:rPr>
          <w:b/>
          <w:bCs/>
        </w:rPr>
        <w:t>7. Zijn er concrete alternatieven om alsnog een gelijk speelveld te creëren tussen Europese multinationals en Amerikaanse multinationals? Bijvoorbeeld door in te zetten op een Europese Digitale Dienstenbelasting?</w:t>
      </w:r>
    </w:p>
    <w:p w:rsidRPr="0039242E" w:rsidR="00B97551" w:rsidP="00B97551" w:rsidRDefault="00B97551" w14:paraId="0DA2E3D2" w14:textId="77777777">
      <w:pPr>
        <w:spacing w:line="276" w:lineRule="auto"/>
      </w:pPr>
      <w:r w:rsidRPr="0039242E">
        <w:t xml:space="preserve">De discussies over de digitaliserende economie lopen al langere tijd. </w:t>
      </w:r>
      <w:r>
        <w:t xml:space="preserve">In mijn brief over digitale dienstenbelastingen loop ik een aantal </w:t>
      </w:r>
      <w:r w:rsidRPr="0039242E">
        <w:t xml:space="preserve">belangrijke initiatieven </w:t>
      </w:r>
      <w:r>
        <w:t xml:space="preserve">langs </w:t>
      </w:r>
      <w:r w:rsidRPr="0039242E">
        <w:t>die de afgelopen jaren de revue zijn gepasseerd</w:t>
      </w:r>
      <w:r>
        <w:t xml:space="preserve">, waaronder Pijler 1 van </w:t>
      </w:r>
      <w:r w:rsidRPr="005145F4">
        <w:t xml:space="preserve">het </w:t>
      </w:r>
      <w:r>
        <w:t>IF</w:t>
      </w:r>
      <w:r w:rsidRPr="005145F4">
        <w:t xml:space="preserve"> </w:t>
      </w:r>
      <w:r>
        <w:t xml:space="preserve">en eerdere richtlijnvoorstellen in de Europese Unie. Op dit moment is een akkoord op Pijler 1 op korte termijn niet realistisch en zijn de voorstellen in de Europese Unie niet aangenomen. Mede daarom wordt de discussie over een digitale dienstenbelasting in meerdere landen weer gevoerd. </w:t>
      </w:r>
      <w:r w:rsidRPr="00C06377">
        <w:t xml:space="preserve">De invoering van een </w:t>
      </w:r>
      <w:r>
        <w:t>(Europese) digitaledienstenbelasting</w:t>
      </w:r>
      <w:r w:rsidRPr="00C06377">
        <w:t xml:space="preserve"> is </w:t>
      </w:r>
      <w:r>
        <w:t xml:space="preserve">echter </w:t>
      </w:r>
      <w:r w:rsidRPr="00C06377">
        <w:t>complex en kent verschillende risico’s en onzekerheden.</w:t>
      </w:r>
      <w:r>
        <w:t xml:space="preserve"> </w:t>
      </w:r>
      <w:r w:rsidRPr="00C06377">
        <w:t xml:space="preserve">Het </w:t>
      </w:r>
      <w:r>
        <w:t xml:space="preserve">is onduidelijk </w:t>
      </w:r>
      <w:r w:rsidRPr="00C06377">
        <w:t>of de mogelijke voordelen van een</w:t>
      </w:r>
      <w:r>
        <w:t xml:space="preserve"> digitaledienstenbelasting</w:t>
      </w:r>
      <w:r w:rsidRPr="00C06377">
        <w:t xml:space="preserve"> opwegen tegen de risico’s en onzekerheden.</w:t>
      </w:r>
      <w:r>
        <w:t xml:space="preserve"> Voor een overzicht en verdere uitwerking van deze aspecten daarvan verwijs ik naar de eerdergenoemde brief. Uiteraard neem ik nota van de aangenomen motie van het lid Dassen om </w:t>
      </w:r>
      <w:r>
        <w:lastRenderedPageBreak/>
        <w:t>te verkennen hoe een Europese digitaledienstenbelasting kan worden ingevoerd.</w:t>
      </w:r>
      <w:r>
        <w:rPr>
          <w:rStyle w:val="Voetnootmarkering"/>
        </w:rPr>
        <w:footnoteReference w:id="4"/>
      </w:r>
      <w:r>
        <w:t xml:space="preserve"> Gelet op de demissionaire status van het kabinet is die verkenning aan een volgend kabinet. </w:t>
      </w:r>
    </w:p>
    <w:p w:rsidRPr="0039242E" w:rsidR="00B97551" w:rsidP="00B97551" w:rsidRDefault="00B97551" w14:paraId="3D0AAF5A" w14:textId="77777777">
      <w:pPr>
        <w:spacing w:line="276" w:lineRule="auto"/>
        <w:rPr>
          <w:b/>
          <w:bCs/>
        </w:rPr>
      </w:pPr>
      <w:r w:rsidRPr="75A0F331">
        <w:rPr>
          <w:b/>
          <w:bCs/>
        </w:rPr>
        <w:t>8. Bent u bereid om samen met gelijkgezinde EU-lidstaten op te trekken om te komen tot een gecoördineerde Europese digitale dienstenbelasting? Zo nee, waarom niet?</w:t>
      </w:r>
    </w:p>
    <w:p w:rsidR="00B97551" w:rsidP="00B97551" w:rsidRDefault="00B97551" w14:paraId="5DF5F526" w14:textId="77777777">
      <w:pPr>
        <w:spacing w:line="276" w:lineRule="auto"/>
      </w:pPr>
      <w:r w:rsidRPr="75A0F331">
        <w:t>Gelet op de demissionaire status van het kabinet zijn beleidskeuzes omtrent een digitale dienstenbelasting op dit moment niet aan de orde.</w:t>
      </w:r>
    </w:p>
    <w:p w:rsidRPr="00840D9C" w:rsidR="00B97551" w:rsidP="00B97551" w:rsidRDefault="00B97551" w14:paraId="3FCA8A65" w14:textId="77777777">
      <w:pPr>
        <w:spacing w:line="276" w:lineRule="auto"/>
        <w:rPr>
          <w:b/>
          <w:bCs/>
        </w:rPr>
      </w:pPr>
      <w:bookmarkStart w:name="_Hlk220934232" w:id="1"/>
      <w:r w:rsidRPr="75A0F331">
        <w:rPr>
          <w:b/>
          <w:bCs/>
        </w:rPr>
        <w:t>9. Acht u het een reëel risico dat bedrijven hun hoofdkantoor verplaatsen naar de Verenigde Staten om onder het mondiale minimumtarief uit te komen? Zo ja, welke maatregelen overweegt u om dit tegen te gaan?</w:t>
      </w:r>
    </w:p>
    <w:p w:rsidRPr="00840D9C" w:rsidR="00B97551" w:rsidP="00B97551" w:rsidRDefault="00B97551" w14:paraId="582C2B7E" w14:textId="77777777">
      <w:pPr>
        <w:spacing w:line="276" w:lineRule="auto"/>
      </w:pPr>
      <w:bookmarkStart w:name="_Hlk219997799" w:id="2"/>
      <w:r w:rsidRPr="75A0F331">
        <w:t xml:space="preserve">Het kabinet stelt voorop dat meerdere factoren van belang zijn om een hoofdkantoor in een bepaalde jurisdictie te vestigen. De fiscaliteit is een van die factoren. </w:t>
      </w:r>
      <w:r>
        <w:t xml:space="preserve">Het tarief voor de vennootschapsbelasting bedraagt 25,8%, hetgeen boven het EU-gemiddelde is. </w:t>
      </w:r>
      <w:r w:rsidRPr="75A0F331">
        <w:t xml:space="preserve">Pijler 2 behoort </w:t>
      </w:r>
      <w:r>
        <w:t xml:space="preserve">ook </w:t>
      </w:r>
      <w:r w:rsidRPr="75A0F331">
        <w:t>tot de fiscale regelingen die in de overweging kunnen worden betrokken, maar er zijn ook andere f</w:t>
      </w:r>
      <w:r>
        <w:t>actoren</w:t>
      </w:r>
      <w:r w:rsidRPr="75A0F331">
        <w:t xml:space="preserve"> die </w:t>
      </w:r>
      <w:r>
        <w:t xml:space="preserve">voor </w:t>
      </w:r>
      <w:r w:rsidRPr="75A0F331">
        <w:t xml:space="preserve">een jurisdictie </w:t>
      </w:r>
      <w:r>
        <w:t>van belang kunnen zijn</w:t>
      </w:r>
      <w:r w:rsidRPr="75A0F331">
        <w:t xml:space="preserve">. </w:t>
      </w:r>
      <w:bookmarkEnd w:id="1"/>
      <w:r w:rsidRPr="75A0F331">
        <w:t xml:space="preserve">Wat betreft de invloed van het Side-by-Side pakket, is het volgende van belang. Met het akkoord over het Side-by-Side-pakket is vooralsnog alleen het Amerikaanse belastingstelsel aangemerkt als een kwalificerend Side-by-Side-regime. Op grond van de Side-by-Side veiligehavenregel zullen de landen die Pijler 2 hebben ingevoerd niet bijheffen op grond van de inkomen-inclusiemaatregel of de onderbelaste winstmaatregel over de laagbelaste winst van entiteiten die deel uitmaken van een multinationale groep met een hoofdkantoor in de VS. Niettemin kan op grond van de binnenlandse bijheffingmaatregel worden bijgeheven tot het effectieve minimumbelastingtarief van 15%. Deze binnenlandse bijheffingsmaatregel blijft onverkort gehandhaafd onder het Side-by-Side-systeem ten aanzien van laagbelaste entiteiten die deel uitmaken van een multinationale groep met een hoofdkantoor in de VS. Veel jurisdicties hebben de binnenlandse bijheffing ingevoerd of zijn daarmee bezig. Op dit moment kennen zo’n zestig jurisdicties een binnenlandse bijheffing. Daarnaast is voor de belastingpositie van dochterondernemingen in de Verenigde Staten van niet-Amerikaanse multinationals van belang dat de overeengekomen gunstige behandeling van </w:t>
      </w:r>
      <w:r w:rsidRPr="75A0F331">
        <w:rPr>
          <w:i/>
          <w:iCs/>
        </w:rPr>
        <w:t>Substance Based Tax Incentives</w:t>
      </w:r>
      <w:r w:rsidRPr="75A0F331">
        <w:t xml:space="preserve"> ertoe leidt dat niet-Amerikaanse multinationals niet of in mindere mate zullen worden geconfronteerd met bijheffing ten aanzien van hun dochterondernemingen in de Verenigde Staten. Dit betekent dat zij in die gevallen fiscaal gezien onder grotendeels dezelfde omstandigheden kunnen blijven opereren als Amerikaanse ondernemingen. Vanwege de binnenlandse bijheffing in buitenlandse jurisdicties en de gunstige behandeling van </w:t>
      </w:r>
      <w:r w:rsidRPr="75A0F331">
        <w:rPr>
          <w:i/>
          <w:iCs/>
        </w:rPr>
        <w:t>Substance-Based Tax Incentives</w:t>
      </w:r>
      <w:r w:rsidRPr="75A0F331">
        <w:t xml:space="preserve"> wordt het risico op verplaatsing van hoofdkantoren naar de VS louter als gevolg van van het Side-by-Side-pakket beperkt. Ten slotte, eventuele wijzigingen in de vennootschapsstructuur om bijheffing te ontgaan, kan het IF meenemen in de toekomstige evaluatie.</w:t>
      </w:r>
      <w:bookmarkStart w:name="_Hlk219997948" w:id="3"/>
      <w:bookmarkEnd w:id="2"/>
    </w:p>
    <w:bookmarkEnd w:id="3"/>
    <w:p w:rsidR="00B97551" w:rsidP="00B97551" w:rsidRDefault="00B97551" w14:paraId="318D62B5" w14:textId="77777777">
      <w:pPr>
        <w:spacing w:line="276" w:lineRule="auto"/>
        <w:rPr>
          <w:b/>
          <w:bCs/>
        </w:rPr>
      </w:pPr>
      <w:r w:rsidRPr="75A0F331">
        <w:rPr>
          <w:b/>
          <w:bCs/>
        </w:rPr>
        <w:t>10. Deelt u de opvatting dat dreigementen zoals de “revenge tax” geen reden mag zijn om af te zien van eerlijke belastingheffing en nationale fiscale soevereiniteit? Zo nee, waarom niet?</w:t>
      </w:r>
    </w:p>
    <w:p w:rsidRPr="00AB7D2A" w:rsidR="00B97551" w:rsidP="00B97551" w:rsidRDefault="00B97551" w14:paraId="18107CBE" w14:textId="77777777">
      <w:pPr>
        <w:spacing w:line="276" w:lineRule="auto"/>
      </w:pPr>
      <w:r w:rsidRPr="75A0F331">
        <w:t xml:space="preserve">Het kabinet neemt altijd het overkoepelende belang van het in stand houden van een netwerk van minimumbelastingen in een zo groot mogelijk internationaal verband als uitgangspunt. </w:t>
      </w:r>
    </w:p>
    <w:p w:rsidR="00730AE6" w:rsidRDefault="00730AE6" w14:paraId="4B8E4756" w14:textId="77777777"/>
    <w:sectPr w:rsidR="00730AE6" w:rsidSect="00B97551">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8BD4" w14:textId="77777777" w:rsidR="00B97551" w:rsidRDefault="00B97551" w:rsidP="00B97551">
      <w:pPr>
        <w:spacing w:after="0" w:line="240" w:lineRule="auto"/>
      </w:pPr>
      <w:r>
        <w:separator/>
      </w:r>
    </w:p>
  </w:endnote>
  <w:endnote w:type="continuationSeparator" w:id="0">
    <w:p w14:paraId="5D33509C" w14:textId="77777777" w:rsidR="00B97551" w:rsidRDefault="00B97551" w:rsidP="00B9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9AED" w14:textId="77777777" w:rsidR="00B97551" w:rsidRPr="00B97551" w:rsidRDefault="00B97551" w:rsidP="00B975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27C6" w14:textId="77777777" w:rsidR="00B97551" w:rsidRPr="00B97551" w:rsidRDefault="00B97551" w:rsidP="00B975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DC22" w14:textId="77777777" w:rsidR="00B97551" w:rsidRPr="00B97551" w:rsidRDefault="00B97551" w:rsidP="00B975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62D2" w14:textId="77777777" w:rsidR="00B97551" w:rsidRDefault="00B97551" w:rsidP="00B97551">
      <w:pPr>
        <w:spacing w:after="0" w:line="240" w:lineRule="auto"/>
      </w:pPr>
      <w:r>
        <w:separator/>
      </w:r>
    </w:p>
  </w:footnote>
  <w:footnote w:type="continuationSeparator" w:id="0">
    <w:p w14:paraId="59DBD5D5" w14:textId="77777777" w:rsidR="00B97551" w:rsidRDefault="00B97551" w:rsidP="00B97551">
      <w:pPr>
        <w:spacing w:after="0" w:line="240" w:lineRule="auto"/>
      </w:pPr>
      <w:r>
        <w:continuationSeparator/>
      </w:r>
    </w:p>
  </w:footnote>
  <w:footnote w:id="1">
    <w:p w14:paraId="6520C805" w14:textId="77777777" w:rsidR="00B97551" w:rsidRPr="002D2EE6" w:rsidRDefault="00B97551" w:rsidP="00B97551">
      <w:pPr>
        <w:pStyle w:val="Voetnoottekst"/>
        <w:rPr>
          <w:sz w:val="16"/>
          <w:szCs w:val="16"/>
          <w:lang w:val="nl-NL"/>
        </w:rPr>
      </w:pPr>
      <w:r w:rsidRPr="002D2EE6">
        <w:rPr>
          <w:rStyle w:val="Voetnootmarkering"/>
          <w:sz w:val="16"/>
          <w:szCs w:val="16"/>
        </w:rPr>
        <w:footnoteRef/>
      </w:r>
      <w:r w:rsidRPr="002D2EE6">
        <w:rPr>
          <w:sz w:val="16"/>
          <w:szCs w:val="16"/>
          <w:lang w:val="nl-NL"/>
        </w:rPr>
        <w:t xml:space="preserve"> https://www.businessatoecd.org/newsroom/media-releases/business-at-oecd-commends-the-oecd/g20-inclusive-frameworks-global-minimum-tax-side-by-side-package</w:t>
      </w:r>
      <w:r>
        <w:rPr>
          <w:sz w:val="16"/>
          <w:szCs w:val="16"/>
          <w:lang w:val="nl-NL"/>
        </w:rPr>
        <w:t>.</w:t>
      </w:r>
    </w:p>
  </w:footnote>
  <w:footnote w:id="2">
    <w:p w14:paraId="35A65C1B" w14:textId="77777777" w:rsidR="00B97551" w:rsidRPr="005C2330" w:rsidRDefault="00B97551" w:rsidP="00B97551">
      <w:pPr>
        <w:pStyle w:val="Voetnoottekst"/>
        <w:rPr>
          <w:sz w:val="15"/>
          <w:szCs w:val="15"/>
          <w:lang w:val="nl-NL"/>
        </w:rPr>
      </w:pPr>
      <w:r w:rsidRPr="005C2330">
        <w:rPr>
          <w:rStyle w:val="Voetnootmarkering"/>
          <w:sz w:val="15"/>
          <w:szCs w:val="15"/>
        </w:rPr>
        <w:footnoteRef/>
      </w:r>
      <w:r w:rsidRPr="005C2330">
        <w:rPr>
          <w:sz w:val="15"/>
          <w:szCs w:val="15"/>
          <w:lang w:val="nl-NL"/>
        </w:rPr>
        <w:t xml:space="preserve"> Notitie Fiscaal Verdragsbeleid 2020.</w:t>
      </w:r>
    </w:p>
  </w:footnote>
  <w:footnote w:id="3">
    <w:p w14:paraId="4A284E0D" w14:textId="77777777" w:rsidR="00B97551" w:rsidRPr="0009325A" w:rsidRDefault="00B97551" w:rsidP="00B97551">
      <w:r>
        <w:t xml:space="preserve">  </w:t>
      </w:r>
      <w:r w:rsidRPr="75A0F331">
        <w:rPr>
          <w:sz w:val="15"/>
          <w:szCs w:val="15"/>
        </w:rPr>
        <w:t>Kamerstukken 2025/26, 32140 nr. 277.</w:t>
      </w:r>
    </w:p>
  </w:footnote>
  <w:footnote w:id="4">
    <w:p w14:paraId="07472530" w14:textId="77777777" w:rsidR="00B97551" w:rsidRPr="00A81129" w:rsidRDefault="00B97551" w:rsidP="00B97551">
      <w:pPr>
        <w:pStyle w:val="Voetnoottekst"/>
        <w:rPr>
          <w:sz w:val="15"/>
          <w:szCs w:val="15"/>
          <w:lang w:val="nl-NL"/>
        </w:rPr>
      </w:pPr>
      <w:r w:rsidRPr="00A81129">
        <w:rPr>
          <w:rStyle w:val="Voetnootmarkering"/>
          <w:sz w:val="15"/>
          <w:szCs w:val="15"/>
        </w:rPr>
        <w:footnoteRef/>
      </w:r>
      <w:r w:rsidRPr="0099094F">
        <w:rPr>
          <w:sz w:val="15"/>
          <w:szCs w:val="15"/>
          <w:lang w:val="nl-NL"/>
        </w:rPr>
        <w:t xml:space="preserve"> </w:t>
      </w:r>
      <w:r w:rsidRPr="00A81129">
        <w:rPr>
          <w:sz w:val="15"/>
          <w:szCs w:val="15"/>
          <w:lang w:val="nl-NL"/>
        </w:rPr>
        <w:t>Kamerstukken 2025/26, 36800-XVII nr.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565B" w14:textId="77777777" w:rsidR="00B97551" w:rsidRPr="00B97551" w:rsidRDefault="00B97551" w:rsidP="00B975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E89E" w14:textId="77777777" w:rsidR="00B97551" w:rsidRPr="00B97551" w:rsidRDefault="00B97551" w:rsidP="00B975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4422" w14:textId="77777777" w:rsidR="00B97551" w:rsidRPr="00B97551" w:rsidRDefault="00B97551" w:rsidP="00B975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51"/>
    <w:rsid w:val="00316621"/>
    <w:rsid w:val="00730AE6"/>
    <w:rsid w:val="00B97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B88E"/>
  <w15:chartTrackingRefBased/>
  <w15:docId w15:val="{014568C7-CB91-42EB-B197-7030FAA7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7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7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75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75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75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75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75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75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75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75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75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75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75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75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75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75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75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7551"/>
    <w:rPr>
      <w:rFonts w:eastAsiaTheme="majorEastAsia" w:cstheme="majorBidi"/>
      <w:color w:val="272727" w:themeColor="text1" w:themeTint="D8"/>
    </w:rPr>
  </w:style>
  <w:style w:type="paragraph" w:styleId="Titel">
    <w:name w:val="Title"/>
    <w:basedOn w:val="Standaard"/>
    <w:next w:val="Standaard"/>
    <w:link w:val="TitelChar"/>
    <w:uiPriority w:val="10"/>
    <w:qFormat/>
    <w:rsid w:val="00B97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75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75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75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75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7551"/>
    <w:rPr>
      <w:i/>
      <w:iCs/>
      <w:color w:val="404040" w:themeColor="text1" w:themeTint="BF"/>
    </w:rPr>
  </w:style>
  <w:style w:type="paragraph" w:styleId="Lijstalinea">
    <w:name w:val="List Paragraph"/>
    <w:basedOn w:val="Standaard"/>
    <w:uiPriority w:val="34"/>
    <w:qFormat/>
    <w:rsid w:val="00B97551"/>
    <w:pPr>
      <w:ind w:left="720"/>
      <w:contextualSpacing/>
    </w:pPr>
  </w:style>
  <w:style w:type="character" w:styleId="Intensievebenadrukking">
    <w:name w:val="Intense Emphasis"/>
    <w:basedOn w:val="Standaardalinea-lettertype"/>
    <w:uiPriority w:val="21"/>
    <w:qFormat/>
    <w:rsid w:val="00B97551"/>
    <w:rPr>
      <w:i/>
      <w:iCs/>
      <w:color w:val="2F5496" w:themeColor="accent1" w:themeShade="BF"/>
    </w:rPr>
  </w:style>
  <w:style w:type="paragraph" w:styleId="Duidelijkcitaat">
    <w:name w:val="Intense Quote"/>
    <w:basedOn w:val="Standaard"/>
    <w:next w:val="Standaard"/>
    <w:link w:val="DuidelijkcitaatChar"/>
    <w:uiPriority w:val="30"/>
    <w:qFormat/>
    <w:rsid w:val="00B97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7551"/>
    <w:rPr>
      <w:i/>
      <w:iCs/>
      <w:color w:val="2F5496" w:themeColor="accent1" w:themeShade="BF"/>
    </w:rPr>
  </w:style>
  <w:style w:type="character" w:styleId="Intensieveverwijzing">
    <w:name w:val="Intense Reference"/>
    <w:basedOn w:val="Standaardalinea-lettertype"/>
    <w:uiPriority w:val="32"/>
    <w:qFormat/>
    <w:rsid w:val="00B9755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97551"/>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97551"/>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B97551"/>
    <w:rPr>
      <w:vertAlign w:val="superscript"/>
    </w:rPr>
  </w:style>
  <w:style w:type="paragraph" w:styleId="Koptekst">
    <w:name w:val="header"/>
    <w:basedOn w:val="Standaard"/>
    <w:link w:val="KoptekstChar"/>
    <w:uiPriority w:val="99"/>
    <w:unhideWhenUsed/>
    <w:rsid w:val="00B975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7551"/>
  </w:style>
  <w:style w:type="paragraph" w:styleId="Voettekst">
    <w:name w:val="footer"/>
    <w:basedOn w:val="Standaard"/>
    <w:link w:val="VoettekstChar"/>
    <w:uiPriority w:val="99"/>
    <w:unhideWhenUsed/>
    <w:rsid w:val="00B975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2115</ap:Words>
  <ap:Characters>11633</ap:Characters>
  <ap:DocSecurity>0</ap:DocSecurity>
  <ap:Lines>96</ap:Lines>
  <ap:Paragraphs>27</ap:Paragraphs>
  <ap:ScaleCrop>false</ap:ScaleCrop>
  <ap:LinksUpToDate>false</ap:LinksUpToDate>
  <ap:CharactersWithSpaces>13721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2026-02-03T18:28:00.0000000Z</dcterms:created>
  <dcterms:modified xsi:type="dcterms:W3CDTF">2026-02-03T18:29:00.0000000Z</dcterms:modified>
  <version/>
  <category/>
</coreProperties>
</file>