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2BF" w:rsidP="00A712BF" w:rsidRDefault="00A712BF" w14:paraId="09CBBAF3" w14:textId="7E816E0F">
      <w:pPr>
        <w:spacing w:line="276" w:lineRule="auto"/>
      </w:pPr>
      <w:r>
        <w:t>AH 1026</w:t>
      </w:r>
    </w:p>
    <w:p w:rsidR="00A712BF" w:rsidP="00A712BF" w:rsidRDefault="00A712BF" w14:paraId="26B6DB3A" w14:textId="3B125E5A">
      <w:pPr>
        <w:spacing w:line="276" w:lineRule="auto"/>
      </w:pPr>
      <w:r>
        <w:t>2026Z00187</w:t>
      </w:r>
    </w:p>
    <w:p w:rsidRPr="00A712BF" w:rsidR="00A712BF" w:rsidP="00A712BF" w:rsidRDefault="00A712BF" w14:paraId="6EF22952" w14:textId="4BEDCB98">
      <w:pPr>
        <w:rPr>
          <w:rFonts w:ascii="Times New Roman" w:hAnsi="Times New Roman"/>
          <w:bCs/>
          <w:sz w:val="24"/>
        </w:rPr>
      </w:pPr>
      <w:r w:rsidRPr="007B1B93">
        <w:rPr>
          <w:rFonts w:ascii="Times New Roman" w:hAnsi="Times New Roman"/>
          <w:bCs/>
          <w:sz w:val="24"/>
        </w:rPr>
        <w:t xml:space="preserve">Antwoord van staatssecretaris </w:t>
      </w:r>
      <w:r w:rsidRPr="007B1B93">
        <w:rPr>
          <w:bCs/>
          <w:sz w:val="24"/>
        </w:rPr>
        <w:t xml:space="preserve">Heijnen </w:t>
      </w:r>
      <w:r w:rsidRPr="007B1B93">
        <w:rPr>
          <w:rFonts w:ascii="Times New Roman" w:hAnsi="Times New Roman"/>
          <w:bCs/>
          <w:sz w:val="24"/>
        </w:rPr>
        <w:t>(Financiën)</w:t>
      </w:r>
      <w:r>
        <w:rPr>
          <w:rFonts w:ascii="Times New Roman" w:hAnsi="Times New Roman"/>
          <w:bCs/>
          <w:sz w:val="24"/>
        </w:rPr>
        <w:t xml:space="preserve">, mede namens de </w:t>
      </w:r>
      <w:r w:rsidRPr="00A712BF">
        <w:rPr>
          <w:rFonts w:ascii="Times New Roman" w:hAnsi="Times New Roman"/>
          <w:bCs/>
          <w:sz w:val="24"/>
        </w:rPr>
        <w:t>minister van Economische Zaken</w:t>
      </w:r>
      <w:r w:rsidRPr="007B1B93">
        <w:rPr>
          <w:rFonts w:ascii="Times New Roman" w:hAnsi="Times New Roman"/>
          <w:bCs/>
          <w:sz w:val="24"/>
        </w:rPr>
        <w:t xml:space="preserve"> (ontvangen</w:t>
      </w:r>
      <w:r>
        <w:rPr>
          <w:rFonts w:ascii="Times New Roman" w:hAnsi="Times New Roman"/>
          <w:bCs/>
          <w:sz w:val="24"/>
        </w:rPr>
        <w:t xml:space="preserve"> 3 februari 2026)</w:t>
      </w:r>
    </w:p>
    <w:p w:rsidRPr="00357508" w:rsidR="00A712BF" w:rsidP="00A712BF" w:rsidRDefault="00A712BF" w14:paraId="67CFC10F" w14:textId="77777777">
      <w:pPr>
        <w:spacing w:line="276" w:lineRule="auto"/>
        <w:rPr>
          <w:b/>
          <w:bCs/>
        </w:rPr>
      </w:pPr>
      <w:r w:rsidRPr="00357508">
        <w:rPr>
          <w:b/>
          <w:bCs/>
        </w:rPr>
        <w:t>1.</w:t>
      </w:r>
      <w:r>
        <w:rPr>
          <w:b/>
          <w:bCs/>
        </w:rPr>
        <w:t xml:space="preserve"> </w:t>
      </w:r>
      <w:r w:rsidRPr="00357508">
        <w:rPr>
          <w:b/>
          <w:bCs/>
        </w:rPr>
        <w:t>Bent u bekend met het artikel 'VS bedingen uitzonderingen op minimumbelasting multinationals'?</w:t>
      </w:r>
      <w:r>
        <w:rPr>
          <w:rStyle w:val="Voetnootmarkering"/>
          <w:b/>
          <w:bCs/>
        </w:rPr>
        <w:footnoteReference w:id="1"/>
      </w:r>
    </w:p>
    <w:p w:rsidRPr="00357508" w:rsidR="00A712BF" w:rsidP="00A712BF" w:rsidRDefault="00A712BF" w14:paraId="282E52EA" w14:textId="77777777">
      <w:r>
        <w:t>Ja.</w:t>
      </w:r>
    </w:p>
    <w:p w:rsidR="00A712BF" w:rsidP="00A712BF" w:rsidRDefault="00A712BF" w14:paraId="142F9528" w14:textId="77777777">
      <w:pPr>
        <w:spacing w:line="276" w:lineRule="auto"/>
        <w:rPr>
          <w:b/>
          <w:bCs/>
        </w:rPr>
      </w:pPr>
      <w:r w:rsidRPr="00357508">
        <w:rPr>
          <w:b/>
          <w:bCs/>
        </w:rPr>
        <w:t>2. Kunt u reflecteren op de in het artikel opgenomen stelling dat Amerikaanse multinationals zijn uitgezonderd van de wereldwijde minimumbelasting van 15% waarover in 2021 door ruim 130 landen een akkoord is gesloten, en dat deze uitzonderingspositie de minimumbelasting voor multinationals verwatert?</w:t>
      </w:r>
    </w:p>
    <w:p w:rsidRPr="00357508" w:rsidR="00A712BF" w:rsidP="00A712BF" w:rsidRDefault="00A712BF" w14:paraId="0079D137" w14:textId="77777777">
      <w:pPr>
        <w:spacing w:line="276" w:lineRule="auto"/>
        <w:rPr>
          <w:b/>
          <w:bCs/>
        </w:rPr>
      </w:pPr>
      <w:r>
        <w:t>I</w:t>
      </w:r>
      <w:r w:rsidRPr="00AB778D">
        <w:t xml:space="preserve">n het akkoord </w:t>
      </w:r>
      <w:r>
        <w:t xml:space="preserve">van het Inclusive Framework (IF) van 5 januari 2026 over het zogeheten Side-by-Side-pakket </w:t>
      </w:r>
      <w:r w:rsidRPr="00AB778D">
        <w:t xml:space="preserve">wordt </w:t>
      </w:r>
      <w:r>
        <w:t xml:space="preserve">de nadruk </w:t>
      </w:r>
      <w:r w:rsidRPr="00AB778D">
        <w:t xml:space="preserve">gelegd op het belang van Pijler 2 als het primaire systeem voor het waarborgen van een minimumniveau van belastingheffing. Dit gemeenschappelijke systeem is met reden zorgvuldig ontworpen, waarbij de </w:t>
      </w:r>
      <w:r>
        <w:t xml:space="preserve">bijheffing tot het minimumbelastingtarief van 15 % </w:t>
      </w:r>
      <w:r w:rsidRPr="00AB778D">
        <w:t xml:space="preserve">op een gecoördineerde manier wordt berekend op basis van een </w:t>
      </w:r>
      <w:r>
        <w:t>internationaal afgesproken</w:t>
      </w:r>
      <w:r w:rsidRPr="00AB778D">
        <w:t xml:space="preserve"> belastinggrondslag. </w:t>
      </w:r>
      <w:r>
        <w:t>D</w:t>
      </w:r>
      <w:r w:rsidRPr="00AB778D">
        <w:t xml:space="preserve">e Nederlandse inzet </w:t>
      </w:r>
      <w:r>
        <w:t xml:space="preserve">was er </w:t>
      </w:r>
      <w:r w:rsidRPr="00AB778D">
        <w:t>op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belastingstelsel hebben dat een minimumniveau van belastingheffing waarborgt.</w:t>
      </w:r>
      <w:r>
        <w:t xml:space="preserve"> De internationaal gecoördineerde uitleg van de Pijler 2-regels zorgt voor eenduidigheid en biedt belastingplichtigen zekerheid. Daarnaast bevat het Side-by-Side-pakket waarborgen zodat geen afbreuk wordt gedaan aan de doelstellingen van de Pijler 2-regels. Zo wordt de status van een kwalificerende Side-by-Side veiligehavenregel niet willekeurig verleend. In het IF-akkoord zijn robuuste en strikte criteria afgesproken om te kwalificeren als een belastingstelsel dat gelijkwaardig is aan Pijler 2.</w:t>
      </w:r>
    </w:p>
    <w:p w:rsidR="00A712BF" w:rsidP="00A712BF" w:rsidRDefault="00A712BF" w14:paraId="5C5BC880" w14:textId="77777777">
      <w:pPr>
        <w:spacing w:line="276" w:lineRule="auto"/>
        <w:rPr>
          <w:b/>
          <w:bCs/>
        </w:rPr>
      </w:pPr>
      <w:r w:rsidRPr="00357508">
        <w:rPr>
          <w:b/>
          <w:bCs/>
        </w:rPr>
        <w:t>3. Kunt u reflecteren op de in hetzelfde artikel opgenomen stelling dat onder meer Polen, Tsjechi</w:t>
      </w:r>
      <w:r w:rsidRPr="00357508">
        <w:rPr>
          <w:rFonts w:hint="eastAsia"/>
          <w:b/>
          <w:bCs/>
        </w:rPr>
        <w:t>ë</w:t>
      </w:r>
      <w:r w:rsidRPr="00357508">
        <w:rPr>
          <w:b/>
          <w:bCs/>
        </w:rPr>
        <w:t xml:space="preserve"> en Estland aanvankelijk bezwaar hebben gemaakt tegen deze uitzonderingspositie vanwege de vrees voor een verslechtering van de concurrentiepositie van Europese concerns?</w:t>
      </w:r>
    </w:p>
    <w:p w:rsidRPr="00357508" w:rsidR="00A712BF" w:rsidP="00A712BF" w:rsidRDefault="00A712BF" w14:paraId="4827C612" w14:textId="77777777">
      <w:pPr>
        <w:spacing w:line="276" w:lineRule="auto"/>
      </w:pPr>
      <w:r>
        <w:t xml:space="preserve">Het kabinet begrijpt dat er bij sommige EU-lidstaten vrees bestond voor een akkoord over de </w:t>
      </w:r>
      <w:r w:rsidRPr="00B043D5">
        <w:t xml:space="preserve">Side-by-Side </w:t>
      </w:r>
      <w:r>
        <w:t>veiligehavenregel</w:t>
      </w:r>
      <w:r w:rsidRPr="00B043D5">
        <w:t xml:space="preserve"> omwille</w:t>
      </w:r>
      <w:r>
        <w:t xml:space="preserve"> van de concurrentiepositie van Europese multinationals. Niettemin vindt het kabinet dat met het akkoord het best mogelijke resultaat is bereikt waarbij </w:t>
      </w:r>
      <w:r w:rsidRPr="00D4267E">
        <w:t xml:space="preserve">de Pijler 2-doelstellingen grotendeels zijn gewaarborgd en een netwerk van minimumbelastingen </w:t>
      </w:r>
      <w:r>
        <w:t>in stand</w:t>
      </w:r>
      <w:r w:rsidRPr="00D4267E">
        <w:t xml:space="preserve"> kan worden gehouden in een zo groot mogelijk internationaal verband.</w:t>
      </w:r>
      <w:r>
        <w:t xml:space="preserve"> Dat is ook van belang voor het EU-concurrentievermogen. De EU is immers niet gebaat bij een nieuwe race naar de bodem in de winstbelasting.</w:t>
      </w:r>
    </w:p>
    <w:p w:rsidR="00A712BF" w:rsidP="00A712BF" w:rsidRDefault="00A712BF" w14:paraId="38E6713D" w14:textId="77777777">
      <w:pPr>
        <w:spacing w:line="276" w:lineRule="auto"/>
        <w:rPr>
          <w:b/>
          <w:bCs/>
        </w:rPr>
      </w:pPr>
      <w:r w:rsidRPr="00357508">
        <w:rPr>
          <w:b/>
          <w:bCs/>
        </w:rPr>
        <w:t xml:space="preserve">4. Kunt u reflecteren op de in het artikel aangehaalde analyse van Van Weeghel dat het hanteren van een samengesteld wereldwijd gemiddeld effectief belastingtarief Amerikaanse ondernemingen </w:t>
      </w:r>
      <w:r w:rsidRPr="00357508">
        <w:rPr>
          <w:b/>
          <w:bCs/>
        </w:rPr>
        <w:lastRenderedPageBreak/>
        <w:t>een voordeel verschaft ten opzichte van concurrenten uit landen die de OESO-minimumbelasting per jurisdictie toepassen, waaronder de EU-lidstaten, Japan, het Verenigd Koninkrijk en Canada?</w:t>
      </w:r>
    </w:p>
    <w:p w:rsidRPr="00357508" w:rsidR="00A712BF" w:rsidP="00A712BF" w:rsidRDefault="00A712BF" w14:paraId="7B92FCAF" w14:textId="77777777">
      <w:pPr>
        <w:spacing w:line="276" w:lineRule="auto"/>
      </w:pPr>
      <w:r>
        <w:t>Het IF heeft geconcludeerd dat het Amerikaanse belastingstelsel aan de overeengekomen voorwaarden voldoet en de status krijgt van een kwalificerend Side-by-Side-regime. Op grond van het Amerikaanse NCTI</w:t>
      </w:r>
      <w:r>
        <w:rPr>
          <w:rStyle w:val="Voetnootmarkering"/>
        </w:rPr>
        <w:footnoteReference w:id="2"/>
      </w:r>
      <w:r>
        <w:t xml:space="preserve">-systeem wordt in voorkomende gevallen belasting geheven over de niet-uitgekeerde winsten van buitenlandse dochterondernemingen van Amerikaanse multinationals. Voor de berekening van die belasting wordt onder meer uitgegaan van de gezamenlijke winsten van die dochterondernemingen wereldwijd en de totale winstbelasting betaald in de desbetreffende landen. Pijler 2 gaat uit van een bijheffing indien de effectieve belastingdruk van de entiteiten van een multinational in een jurisdictie minder dan 15% bedraagt. Afhankelijk van de omstandigheden van het geval is het mogelijk dat onder het Amerikaanse NCTI-systeem minder belasting zal worden geheven dan bij toepassing van Pijler 2 het geval zou zijn geweest. Echter, gezien de verschillende kenmerken en de technische vormgeving van beide systemen kan niet worden gezegd dat het ene systeem steeds leidt tot een lagere belastingdruk dan het andere. Uitgangspunt van het Side-by-Side-systeem is dat de effectieve belastingdruk voor multinationale ondernemingen vergelijkbaar uitpakt onder zowel Pijler 2 als kwalificerende gelijkwaardige belastingstelsels. </w:t>
      </w:r>
    </w:p>
    <w:p w:rsidR="00A712BF" w:rsidP="00A712BF" w:rsidRDefault="00A712BF" w14:paraId="50F4C95F" w14:textId="77777777">
      <w:pPr>
        <w:spacing w:line="276" w:lineRule="auto"/>
        <w:rPr>
          <w:b/>
          <w:bCs/>
        </w:rPr>
      </w:pPr>
      <w:r w:rsidRPr="00357508">
        <w:rPr>
          <w:b/>
          <w:bCs/>
        </w:rPr>
        <w:t>5. Kunt u reflecteren op de in het artikel aangehaalde analyse van De Wilde dat de Verenigde Staten bij het bepalen van de binnenlandse effectieve belastingdruk fiscale stimulansen buiten beschouwing laten, terwijl deze onder de OESO-regels juist meetellen, en dat deze systematiek investeren in de Verenigde Staten aantrekkelijker maakt voor Amerikaanse bedrijven dan voor ondernemingen uit EU-landen en andere early adopters?</w:t>
      </w:r>
    </w:p>
    <w:p w:rsidRPr="00357508" w:rsidR="00A712BF" w:rsidP="00A712BF" w:rsidRDefault="00A712BF" w14:paraId="59DE2ED5" w14:textId="77777777">
      <w:pPr>
        <w:spacing w:line="276" w:lineRule="auto"/>
        <w:rPr>
          <w:b/>
          <w:bCs/>
        </w:rPr>
      </w:pPr>
      <w:r>
        <w:t xml:space="preserve">Voor de belastingpositie van dochterondernemingen in de Verenigde Staten van niet-Amerikaanse multinationals is van belang dat de overeengekomen gunstige behandeling van </w:t>
      </w:r>
      <w:r w:rsidRPr="00E22CA3">
        <w:rPr>
          <w:i/>
          <w:iCs/>
        </w:rPr>
        <w:t>Substance Based Tax Incentives</w:t>
      </w:r>
      <w:r>
        <w:t xml:space="preserve"> onder Pijler 2 er naar verwachting toe leidt dat niet-Amerikaanse multinationals niet of in mindere mate zullen worden geconfronteerd met bijheffing ten aanzien van hun dochterondernemingen in de Verenigde Staten. Dit betekent dat zij in die gevallen in de Verenigde Staten fiscaal gezien onder grotendeels dezelfde voorwaarden kunnen opereren als Amerikaanse multinationals.</w:t>
      </w:r>
    </w:p>
    <w:p w:rsidR="00A712BF" w:rsidP="00A712BF" w:rsidRDefault="00A712BF" w14:paraId="3BB77BBE" w14:textId="77777777">
      <w:pPr>
        <w:spacing w:line="276" w:lineRule="auto"/>
        <w:rPr>
          <w:b/>
          <w:bCs/>
        </w:rPr>
      </w:pPr>
      <w:r w:rsidRPr="00357508">
        <w:rPr>
          <w:b/>
          <w:bCs/>
        </w:rPr>
        <w:t>6. Hoe rijmt u de in het artikel opgenomen passages, waarin wordt gesteld dat de uitzonderingspositie voor Amerikaanse multinationals leidt tot concurrentievoordelen en een verwatering van de minimumbelasting, met de stelling in de Kamerbrief dat het van belang is dat niet-implementerende jurisdicties zich niet voordeliger kunnen positioneren ten opzichte van jurisdicties die Pijler 2 wel implementeren (p. 6)?</w:t>
      </w:r>
    </w:p>
    <w:p w:rsidRPr="00357508" w:rsidR="00A712BF" w:rsidP="00A712BF" w:rsidRDefault="00A712BF" w14:paraId="0913041D" w14:textId="77777777">
      <w:pPr>
        <w:spacing w:line="276" w:lineRule="auto"/>
        <w:rPr>
          <w:b/>
          <w:bCs/>
        </w:rPr>
      </w:pPr>
      <w:r>
        <w:t>V</w:t>
      </w:r>
      <w:r w:rsidRPr="00AF3B80">
        <w:t xml:space="preserve">oor de </w:t>
      </w:r>
      <w:r w:rsidRPr="00377447">
        <w:t xml:space="preserve">Side-by-Side </w:t>
      </w:r>
      <w:r>
        <w:t xml:space="preserve">veiligehavenregel zijn </w:t>
      </w:r>
      <w:r w:rsidRPr="00AF3B80">
        <w:t xml:space="preserve">robuuste en strikte criteria afgesproken. </w:t>
      </w:r>
      <w:r>
        <w:t xml:space="preserve">Daarnaast is de werking van de </w:t>
      </w:r>
      <w:r w:rsidRPr="00AF3B80">
        <w:t xml:space="preserve">binnenlandse bijheffing </w:t>
      </w:r>
      <w:r>
        <w:t xml:space="preserve">onveranderd. </w:t>
      </w:r>
      <w:r w:rsidRPr="00AF3B80">
        <w:t xml:space="preserve">Dit is positief voor het gelijke speelveld en voor het </w:t>
      </w:r>
      <w:r>
        <w:t>waar</w:t>
      </w:r>
      <w:r w:rsidRPr="00AF3B80">
        <w:t>borgen van de beleidsdoelstellingen van Pijler 2, aangezien alle multinationale groepen onderworpen kunnen zijn aan een binnenlandse bijheffing – voor zover die wordt geheven in jurisdicties waar</w:t>
      </w:r>
      <w:r>
        <w:t>in</w:t>
      </w:r>
      <w:r w:rsidRPr="00AF3B80">
        <w:t xml:space="preserve"> zij opereren – ongeacht de locatie van het hoofdkantoor. </w:t>
      </w:r>
      <w:r>
        <w:t>H</w:t>
      </w:r>
      <w:r w:rsidRPr="00AF3B80">
        <w:t xml:space="preserve">et </w:t>
      </w:r>
      <w:r>
        <w:t>is</w:t>
      </w:r>
      <w:r w:rsidRPr="00AF3B80">
        <w:t xml:space="preserve"> van belang dat onder het </w:t>
      </w:r>
      <w:r w:rsidRPr="00377447">
        <w:t>Side-by-Side-</w:t>
      </w:r>
      <w:r w:rsidRPr="00AF3B80">
        <w:t xml:space="preserve">systeem een prikkel blijft bestaan voor jurisdicties om een binnenlandse bijheffing te behouden dan wel in te voeren. Mede daarom hecht het kabinet aan de toekomstige evaluatie om te </w:t>
      </w:r>
      <w:r>
        <w:t>volgen</w:t>
      </w:r>
      <w:r w:rsidRPr="00AF3B80">
        <w:t xml:space="preserve"> hoe het </w:t>
      </w:r>
      <w:r w:rsidRPr="00377447">
        <w:t>Side-by-Side</w:t>
      </w:r>
      <w:r w:rsidRPr="00AF3B80">
        <w:t xml:space="preserve">-systeem in de praktijk uitpakt en als nodig </w:t>
      </w:r>
      <w:r>
        <w:t>maatregelen</w:t>
      </w:r>
      <w:r w:rsidRPr="00AF3B80">
        <w:t xml:space="preserve"> </w:t>
      </w:r>
      <w:r w:rsidRPr="00AF3B80">
        <w:lastRenderedPageBreak/>
        <w:t xml:space="preserve">te nemen om risico’s met betrekking tot het gelijke speelveld of grondslaguitholling en winstverschuiving </w:t>
      </w:r>
      <w:r>
        <w:t>te ondervangen</w:t>
      </w:r>
      <w:r w:rsidRPr="00AF3B80">
        <w:t>.</w:t>
      </w:r>
      <w:r>
        <w:t xml:space="preserve"> </w:t>
      </w:r>
    </w:p>
    <w:p w:rsidR="00A712BF" w:rsidP="00A712BF" w:rsidRDefault="00A712BF" w14:paraId="39918914" w14:textId="77777777">
      <w:pPr>
        <w:spacing w:line="276" w:lineRule="auto"/>
        <w:rPr>
          <w:b/>
          <w:bCs/>
        </w:rPr>
      </w:pPr>
      <w:r w:rsidRPr="00357508">
        <w:rPr>
          <w:b/>
          <w:bCs/>
        </w:rPr>
        <w:t>7. Kunt u, ter toelichting op de werking van het Side-by-Side-regime, een uitgewerkt rekenvoorbeeld (met expliciet vermelde aannames) verstrekken waarin u eenzelfde multinationale groep onder (i) de reguliere Pijler 2-systematiek (per jurisdictie-toets met toepassing van IIR/UTPR) en (ii) het Side-by- Side-regime (met vrijstelling van IIR/UTPR voor de uiteindelijke moederentiteit in een kwalificerende jurisdictie) vergelijkt en daarbij inzichtelijk maakt in welke gevallen en waarom deze benadering in de praktijk kan leiden tot een lagere (of anders verdeelde) effectieve belastingdruk?</w:t>
      </w:r>
    </w:p>
    <w:p w:rsidR="00A712BF" w:rsidP="00A712BF" w:rsidRDefault="00A712BF" w14:paraId="1F44951E" w14:textId="77777777">
      <w:pPr>
        <w:spacing w:line="276" w:lineRule="auto"/>
      </w:pPr>
      <w:r>
        <w:t xml:space="preserve">Ten eerste hangt de uitkomst van een vergelijking af van de kenmerken en de technische vormgeving van het toepasselijke Side-by-Side-regime. Tot nu toe is alleen het Amerikaanse belastingstelsel aangemerkt als een kwalificerend Side-by-Side-regime. De kenmerken en de technische vormgeving van Pijler 2 zijn niet goed vergelijkbaar met de kenmerken en de technische vormgeving van het Amerikaanse belastingstelsel. Om enigszins recht te doen aan de gevallen in de praktijk zou moeten worden uitgegaan van een groot aantal variabelen zoals de belastbare winstgrondslag, de aanwezigheid van ‘substance’, de belastingheffing in de eigen jurisdictie en in de jurisdicties van de dochterondernemingen alsmede de mogelijkheid tot verrekening van in het buitenland geheven belastingen. Als gevolg daarvan zouden steeds verschillende aannames moeten worden gemaakt. Een eenvoudig begrijpelijk rekenvoorbeeld zou geen betrouwbaar beeld geven in welke gevallen in de praktijk het Amerikaanse belastingstelsel kan leiden tot een lagere of anders verdeelde belastingdruk. </w:t>
      </w:r>
    </w:p>
    <w:p w:rsidR="00A712BF" w:rsidP="00A712BF" w:rsidRDefault="00A712BF" w14:paraId="25195300" w14:textId="77777777">
      <w:pPr>
        <w:spacing w:line="276" w:lineRule="auto"/>
        <w:rPr>
          <w:b/>
          <w:bCs/>
        </w:rPr>
      </w:pPr>
      <w:r w:rsidRPr="00357508">
        <w:rPr>
          <w:b/>
          <w:bCs/>
        </w:rPr>
        <w:t xml:space="preserve">8. Kunt u in het in de vorige vraag gevraagde rekenvoorbeeld tevens uitgaan van een situatie waarin de multinationale groep activiteiten ontplooit in ten minste </w:t>
      </w:r>
      <w:r w:rsidRPr="00357508">
        <w:rPr>
          <w:rFonts w:hint="eastAsia"/>
          <w:b/>
          <w:bCs/>
        </w:rPr>
        <w:t>éé</w:t>
      </w:r>
      <w:r w:rsidRPr="00357508">
        <w:rPr>
          <w:b/>
          <w:bCs/>
        </w:rPr>
        <w:t>n laagbelastende jurisdictie, en inzichtelijk maken hoe de effectieve belastingdruk onder de reguliere Pijler-2-systematiek zich in dat geval verhoudt tot de belastingdruk onder het Side-by-Side-regime?</w:t>
      </w:r>
    </w:p>
    <w:p w:rsidRPr="00357508" w:rsidR="00A712BF" w:rsidP="00A712BF" w:rsidRDefault="00A712BF" w14:paraId="5791FC31" w14:textId="77777777">
      <w:pPr>
        <w:spacing w:line="276" w:lineRule="auto"/>
      </w:pPr>
      <w:r>
        <w:t>Ook hier geldt dat de uitkomst van een vergelijking afhangt van de kenmerken en de technische vormgeving van het toepasselijke Side-by-Side-regime en dat tot nu toe alleen het Amerikaanse belastingstelsel is aangemerkt als een kwalificerend Side-by-Side-regime. Ook in geval van een multinationale groep met een dochteronderneming in ten minste één laagbelastende jurisdictie geeft een eenvoudig begrijpelijk rekenvoorbeeld om de hiervoor genoemde redenen geen betrouwbaar beeld hoe de belastingdruk onder Pijler 2 zich in de praktijk verhoudt tot de belastingdruk onder het Amerikaanse belastingstelsel.</w:t>
      </w:r>
    </w:p>
    <w:p w:rsidR="00A712BF" w:rsidP="00A712BF" w:rsidRDefault="00A712BF" w14:paraId="1684D1CC" w14:textId="77777777">
      <w:pPr>
        <w:spacing w:line="276" w:lineRule="auto"/>
        <w:rPr>
          <w:b/>
          <w:bCs/>
        </w:rPr>
      </w:pPr>
      <w:r w:rsidRPr="00357508">
        <w:rPr>
          <w:b/>
          <w:bCs/>
        </w:rPr>
        <w:t>9. Acht u het vanuit het oogpunt van gelijke concurrentieverhoudingen verdedigbaar dat Amerikaanse multinationals kunnen volstaan met een wereldwijd gemiddeld effectief tarief, terwijl Europese multinationals per jurisdictie aan de 15%-toets zijn onderworpen?</w:t>
      </w:r>
    </w:p>
    <w:p w:rsidR="00A712BF" w:rsidP="00A712BF" w:rsidRDefault="00A712BF" w14:paraId="00714B77" w14:textId="77777777">
      <w:pPr>
        <w:spacing w:line="276" w:lineRule="auto"/>
      </w:pPr>
      <w:r>
        <w:t xml:space="preserve">Op grond van het Amerikaanse NCTI-systeem wordt voor de berekening van de toepasselijke belasting onder meer uitgegaan van de gezamenlijke winsten van de tot een Amerikaanse multinationale groep behorende dochterondernemingen buiten de VS en de totale winstbelasting betaald in de desbetreffende andere landen. Pijler 2 gaat uit van een bijheffing indien de effectieve belastingdruk van de entiteiten van een multinationale groep in een jurisdictie minder dan 15% bedraagt. Afhankelijk van de omstandigheden van het geval is het mogelijk dat onder het NCTI-systeem minder of meer belasting zal worden geheven dan bij toepassing van Pijler 2 het geval zou </w:t>
      </w:r>
      <w:r>
        <w:lastRenderedPageBreak/>
        <w:t>zijn geweest. Gezien de verschillende kenmerken en de technische vormgeving van beide systemen kan niet worden gezegd dat het ene systeem steeds leidt tot een lagere belastingdruk dan het andere. Het IF heeft vastgesteld dat er g</w:t>
      </w:r>
      <w:r w:rsidRPr="004F7C46">
        <w:t xml:space="preserve">een materieel risico </w:t>
      </w:r>
      <w:r>
        <w:t xml:space="preserve">is </w:t>
      </w:r>
      <w:r w:rsidRPr="004F7C46">
        <w:t xml:space="preserve">dat de buitenlandse winsten van </w:t>
      </w:r>
      <w:r>
        <w:t xml:space="preserve">Amerikaanse </w:t>
      </w:r>
      <w:r w:rsidRPr="004F7C46">
        <w:t xml:space="preserve">multinationale groepen die </w:t>
      </w:r>
      <w:r>
        <w:t xml:space="preserve">gezien hun omvang </w:t>
      </w:r>
      <w:r w:rsidRPr="004F7C46">
        <w:t xml:space="preserve">onder Pijler 2 zouden vallen, onderworpen zijn aan een effectief tarief van minder dan 15%. </w:t>
      </w:r>
      <w:r w:rsidRPr="005A56BF">
        <w:t xml:space="preserve">Het uitgangspunt van het Side-by-Side-systeem </w:t>
      </w:r>
      <w:r>
        <w:t xml:space="preserve">is </w:t>
      </w:r>
      <w:r w:rsidRPr="005A56BF">
        <w:t xml:space="preserve">dat de effectieve belastingdruk voor multinationale ondernemingen vergelijkbaar uitpakt onder zowel Pijler 2 als kwalificerende </w:t>
      </w:r>
      <w:r>
        <w:t>gelijkwaardige</w:t>
      </w:r>
      <w:r w:rsidRPr="005A56BF">
        <w:t xml:space="preserve"> belastingstelsels. Daarbij is de toekomstige evaluatie van belang om te </w:t>
      </w:r>
      <w:r>
        <w:t>volgen</w:t>
      </w:r>
      <w:r w:rsidRPr="005A56BF">
        <w:t xml:space="preserve"> hoe dit in de praktijk uitpakt.</w:t>
      </w:r>
    </w:p>
    <w:p w:rsidR="00A712BF" w:rsidP="00A712BF" w:rsidRDefault="00A712BF" w14:paraId="1568CB3B" w14:textId="77777777">
      <w:pPr>
        <w:spacing w:line="276" w:lineRule="auto"/>
        <w:rPr>
          <w:b/>
          <w:bCs/>
        </w:rPr>
      </w:pPr>
      <w:r w:rsidRPr="00357508">
        <w:rPr>
          <w:b/>
          <w:bCs/>
        </w:rPr>
        <w:t>10. Kunt u uiteenzetten welke concrete waarborgen het kabinet ziet om te voorkomen dat de erkenning van het Amerikaanse belastingstelsel als kwalificerend Side-by-Side-regime leidt tot structurele concurrentieverstoringen ten nadele van in de EU gevestigde concerns en in hoeverre deze waarborgen naar uw oordeel toereikend zijn?</w:t>
      </w:r>
    </w:p>
    <w:p w:rsidRPr="00357508" w:rsidR="00A712BF" w:rsidP="00A712BF" w:rsidRDefault="00A712BF" w14:paraId="70495659" w14:textId="77777777">
      <w:pPr>
        <w:spacing w:line="276" w:lineRule="auto"/>
      </w:pPr>
      <w:r w:rsidRPr="00502A34">
        <w:t>Als onderdeel van het akkoord is afgesproken dat eventuele substantiële risico’s met betrekking tot het gelijke speelveld of grondslaguitholling en winstverschuiving zullen worden</w:t>
      </w:r>
      <w:r>
        <w:t xml:space="preserve"> ondervangen.</w:t>
      </w:r>
      <w:r w:rsidRPr="00502A34">
        <w:t xml:space="preserve"> Daartoe zal het </w:t>
      </w:r>
      <w:r>
        <w:t>IF</w:t>
      </w:r>
      <w:r w:rsidRPr="00502A34">
        <w:t xml:space="preserve"> een evaluatie (‘</w:t>
      </w:r>
      <w:r w:rsidRPr="00502A34">
        <w:rPr>
          <w:i/>
          <w:iCs/>
        </w:rPr>
        <w:t>stocktake</w:t>
      </w:r>
      <w:r w:rsidRPr="00502A34">
        <w:t xml:space="preserve">’) </w:t>
      </w:r>
      <w:r>
        <w:t>uitvoeren</w:t>
      </w:r>
      <w:r w:rsidRPr="00502A34">
        <w:t xml:space="preserve"> die in 2029 moet worden afgerond, op basis van een objectief</w:t>
      </w:r>
      <w:r>
        <w:t xml:space="preserve"> </w:t>
      </w:r>
      <w:r w:rsidRPr="00502A34">
        <w:t xml:space="preserve">en </w:t>
      </w:r>
      <w:r>
        <w:t xml:space="preserve">een op </w:t>
      </w:r>
      <w:r w:rsidRPr="00502A34">
        <w:t>dat</w:t>
      </w:r>
      <w:r>
        <w:t>a gebaseerd</w:t>
      </w:r>
      <w:r w:rsidRPr="00502A34">
        <w:t xml:space="preserve"> proces. Daarbij zal bijvoorbeeld worden gekeken in hoeverre jurisdicties binnenlandse bijheffingen behouden </w:t>
      </w:r>
      <w:r>
        <w:t>of invoeren. Verder zal worden gekeken</w:t>
      </w:r>
      <w:r w:rsidRPr="00502A34">
        <w:t xml:space="preserve"> naar eventuele onbedoelde effecten zoals materiële concurrentieverstoringen tussen multinationale groepen en negatieve gedragseffecten, zoals een toename van winsten in laagbelastende jurisdicties zonder een binnenlandse bijheffing. Het </w:t>
      </w:r>
      <w:r>
        <w:t>IF</w:t>
      </w:r>
      <w:r w:rsidRPr="00502A34">
        <w:t xml:space="preserve"> verbindt zich er ook toe om gerichte oplossingen te overwegen wanneer zich</w:t>
      </w:r>
      <w:r>
        <w:t xml:space="preserve"> bepaalde</w:t>
      </w:r>
      <w:r w:rsidRPr="00502A34">
        <w:t xml:space="preserve"> risico’s met betrekking tot het gelijke speelveld voordoen.</w:t>
      </w:r>
      <w:r>
        <w:t xml:space="preserve"> Het kabinet vindt deze evaluatie van groot belang.</w:t>
      </w:r>
    </w:p>
    <w:p w:rsidR="00A712BF" w:rsidP="00A712BF" w:rsidRDefault="00A712BF" w14:paraId="48827759" w14:textId="77777777">
      <w:pPr>
        <w:spacing w:line="276" w:lineRule="auto"/>
        <w:rPr>
          <w:b/>
          <w:bCs/>
        </w:rPr>
      </w:pPr>
      <w:r w:rsidRPr="00357508">
        <w:rPr>
          <w:b/>
          <w:bCs/>
        </w:rPr>
        <w:t>11. Kunt u uiteenzetten welke mitigerende maatregelen (fiscaal en niet-fiscaal) het kabinet voorziet om eventuele structurele concurrentieverstoringen te beperken die kunnen voortvloeien uit de erkenning van het Amerikaanse belastingstelsel als kwalificerend Side-by-Side-regime ten opzichte van in de EU gevestigde concerns?</w:t>
      </w:r>
    </w:p>
    <w:p w:rsidRPr="00357508" w:rsidR="00A712BF" w:rsidP="00A712BF" w:rsidRDefault="00A712BF" w14:paraId="50297FDA" w14:textId="77777777">
      <w:pPr>
        <w:spacing w:line="276" w:lineRule="auto"/>
      </w:pPr>
      <w:r>
        <w:t>Welke maatregelen eventueel aangewezen zouden zijn, hangt ervan af welke elementen in welk systeem een eventuele structurele concurrentieverstoring zouden veroorzaken. Dat is op voorhand niet te zeggen en zou moeten blijken uit de evaluatie. Dat neemt niet weg dat altijd gekeken kan worden naar fiscale maatregelen ten gunste van het vestigingsklimaat voor zover die passen in het Pijler 2-raamwerk.</w:t>
      </w:r>
    </w:p>
    <w:p w:rsidR="00A712BF" w:rsidP="00A712BF" w:rsidRDefault="00A712BF" w14:paraId="631AA4F6" w14:textId="77777777">
      <w:pPr>
        <w:spacing w:line="276" w:lineRule="auto"/>
        <w:rPr>
          <w:b/>
          <w:bCs/>
        </w:rPr>
      </w:pPr>
      <w:r w:rsidRPr="00357508">
        <w:rPr>
          <w:b/>
          <w:bCs/>
        </w:rPr>
        <w:t>12. In hoeverre acht u het risico re</w:t>
      </w:r>
      <w:r w:rsidRPr="00357508">
        <w:rPr>
          <w:rFonts w:hint="eastAsia"/>
          <w:b/>
          <w:bCs/>
        </w:rPr>
        <w:t>ë</w:t>
      </w:r>
      <w:r w:rsidRPr="00357508">
        <w:rPr>
          <w:b/>
          <w:bCs/>
        </w:rPr>
        <w:t>el dat multinationals hun winstallocatie aanpassen om optimaal gebruik te maken van de vrijstelling van IIR en UTPR onder het Side-by-Side-regime en welke kwantitatieve inschatting ligt hieraan ten grondslag?</w:t>
      </w:r>
    </w:p>
    <w:p w:rsidRPr="00357508" w:rsidR="00A712BF" w:rsidP="00A712BF" w:rsidRDefault="00A712BF" w14:paraId="1037583F" w14:textId="77777777">
      <w:pPr>
        <w:spacing w:line="276" w:lineRule="auto"/>
      </w:pPr>
      <w:r>
        <w:t xml:space="preserve">Het is niet geheel duidelijk wat in dit verband wordt bedoeld met de aanpassing van de winstallocatie nu de voor Pijler 2 relevante winst wordt bepaald aan de hand van de commerciële jaarrekening. Het is denkbaar dat een multinational met hoofdkantoor in een kwalificerende Side-by-Sidejurisdictie besluit om winstgevende activiteiten in een voorheen laagbelastende jurisdictie die een binnenlandse bijheffing heeft ingevoerd, te verplaatsen naar een andere, nog steeds laagbelastende jurisdictie (zonder binnenlandse bijheffing). Maar of dat werkelijk een reëel risico is, is moeilijk in te schatten omdat voor een dergelijke verplaatsing verscheidene factoren een rol kunnen spelen. De aangekondigde evaluatie in 2029 zal hier naar verwachting meer inzicht in geven. </w:t>
      </w:r>
    </w:p>
    <w:p w:rsidR="00A712BF" w:rsidP="00A712BF" w:rsidRDefault="00A712BF" w14:paraId="36412B6D" w14:textId="77777777">
      <w:pPr>
        <w:spacing w:line="276" w:lineRule="auto"/>
        <w:rPr>
          <w:b/>
          <w:bCs/>
        </w:rPr>
      </w:pPr>
      <w:r w:rsidRPr="00357508">
        <w:rPr>
          <w:b/>
          <w:bCs/>
        </w:rPr>
        <w:lastRenderedPageBreak/>
        <w:t xml:space="preserve">13. Indien bij deze risico-inschatting wordt uitgegaan van mogelijke gedragseffecten, betreft dit dan een aanvullende derving bovenop de in de Kamerbrief geraamde circa </w:t>
      </w:r>
      <w:r w:rsidRPr="00357508">
        <w:rPr>
          <w:rFonts w:hint="eastAsia"/>
          <w:b/>
          <w:bCs/>
        </w:rPr>
        <w:t>€</w:t>
      </w:r>
      <w:r w:rsidRPr="00357508">
        <w:rPr>
          <w:b/>
          <w:bCs/>
        </w:rPr>
        <w:t>120 miljoen per jaar die voortvloeit uit het niet toepassen van de inkomens-inclusiemaatregel en de onderbelastewinstmaatregel, of zijn deze gedragseffecten reeds in die raming verdisconteerd?</w:t>
      </w:r>
    </w:p>
    <w:p w:rsidR="00A712BF" w:rsidP="00A712BF" w:rsidRDefault="00A712BF" w14:paraId="7D2BB376" w14:textId="77777777">
      <w:pPr>
        <w:spacing w:line="276" w:lineRule="auto"/>
      </w:pPr>
      <w:r>
        <w:t>Het akkoord zal naar verwachting in eerste instantie met name effect hebben op multinationals met een Amerikaans hoofdkantoor en op multinationals die kunnen profiteren van de gunstigere behandeling van belastingvoordelen. De positieve gedragseffecten van de minimumbelasting, zoals winstverschuiving (terug) naar Nederland, zullen bij deze bedrijven naar verwachting in mindere mate optreden. Dit is al meegenomen in de budgettaire raming. Dit inzicht zorgt dus niet voor een aanvullende derving bovenop de geraamde € 120 miljoen.</w:t>
      </w:r>
    </w:p>
    <w:p w:rsidR="00A712BF" w:rsidP="00A712BF" w:rsidRDefault="00A712BF" w14:paraId="10909EEB" w14:textId="77777777">
      <w:pPr>
        <w:spacing w:line="276" w:lineRule="auto"/>
        <w:rPr>
          <w:b/>
          <w:bCs/>
        </w:rPr>
      </w:pPr>
      <w:r w:rsidRPr="00357508">
        <w:rPr>
          <w:b/>
          <w:bCs/>
        </w:rPr>
        <w:t>14. Bent u voornemens om, naast de in het Inclusive Framework afgesproken evaluatie (</w:t>
      </w:r>
      <w:r w:rsidRPr="00357508">
        <w:rPr>
          <w:rFonts w:hint="eastAsia"/>
          <w:b/>
          <w:bCs/>
        </w:rPr>
        <w:t>‘</w:t>
      </w:r>
      <w:r w:rsidRPr="00357508">
        <w:rPr>
          <w:b/>
          <w:bCs/>
        </w:rPr>
        <w:t>stocktake</w:t>
      </w:r>
      <w:r w:rsidRPr="00357508">
        <w:rPr>
          <w:rFonts w:hint="eastAsia"/>
          <w:b/>
          <w:bCs/>
        </w:rPr>
        <w:t>’</w:t>
      </w:r>
      <w:r w:rsidRPr="00357508">
        <w:rPr>
          <w:b/>
          <w:bCs/>
        </w:rPr>
        <w:t>) in 2029, een nationale evaluatie uit te voeren naar de effecten van het Side-by-Side-regime, in het bijzonder ten aanzien van concurrentieverhoudingen, gedragseffecten en budgettaire opbrengsten voor Nederland?</w:t>
      </w:r>
    </w:p>
    <w:p w:rsidR="00A712BF" w:rsidP="00A712BF" w:rsidRDefault="00A712BF" w14:paraId="172D6A53" w14:textId="77777777">
      <w:pPr>
        <w:spacing w:line="276" w:lineRule="auto"/>
      </w:pPr>
      <w:r>
        <w:t xml:space="preserve">Het is van belang dat het IF zal </w:t>
      </w:r>
      <w:r w:rsidRPr="00E16892">
        <w:t>monitoren hoe het Side-by-Side-systeem in de praktijk uitpakt en</w:t>
      </w:r>
      <w:r>
        <w:t xml:space="preserve"> –als nodig </w:t>
      </w:r>
      <w:r w:rsidRPr="00E16892">
        <w:t xml:space="preserve">actie </w:t>
      </w:r>
      <w:r>
        <w:t xml:space="preserve">kan </w:t>
      </w:r>
      <w:r w:rsidRPr="00E16892">
        <w:t xml:space="preserve">ondernemen om risico’s met betrekking tot het gelijke speelveld of grondslaguitholling en winstverschuiving te adresseren. In het bijzonder vindt het kabinet het belangrijk om </w:t>
      </w:r>
      <w:r>
        <w:t xml:space="preserve">bij die evaluatie </w:t>
      </w:r>
      <w:r w:rsidRPr="00E16892">
        <w:t>in het oog te houden dat Nederlandse bedrijven onder gelijke voorwaarden kunnen concurreren met lokale bedrijven in Side-by-Side- of UPE Safe Harbour-jurisdicties</w:t>
      </w:r>
      <w:r>
        <w:t xml:space="preserve">. Uiteraard zal uw Kamer te zijner tijd worden geïnformeerd over de uitkomsten van deze evaluatie en zullen bij de Nederlandse weging van de uitkomsten waar relevant ook eigen gegevens en analyses worden betrokken. </w:t>
      </w:r>
      <w:r w:rsidRPr="009A1962">
        <w:t>Daarbij zal het kabinet ook de signalen vanuit de praktijk in de gaten houden.</w:t>
      </w:r>
      <w:r>
        <w:t xml:space="preserve"> </w:t>
      </w:r>
    </w:p>
    <w:p w:rsidR="00A712BF" w:rsidP="00A712BF" w:rsidRDefault="00A712BF" w14:paraId="4454BA88" w14:textId="77777777">
      <w:pPr>
        <w:spacing w:line="276" w:lineRule="auto"/>
        <w:rPr>
          <w:b/>
          <w:bCs/>
        </w:rPr>
      </w:pPr>
      <w:r w:rsidRPr="00357508">
        <w:rPr>
          <w:b/>
          <w:bCs/>
        </w:rPr>
        <w:t>15. Welke gevolgen verwacht u dat de uitzonderingspositie voor Amerikaanse multinationals heeft voor het Nederlandse vestigingsklimaat?</w:t>
      </w:r>
    </w:p>
    <w:p w:rsidRPr="000823C2" w:rsidR="00A712BF" w:rsidP="00A712BF" w:rsidRDefault="00A712BF" w14:paraId="0184DF15" w14:textId="77777777">
      <w:pPr>
        <w:spacing w:line="276" w:lineRule="auto"/>
      </w:pPr>
      <w:r>
        <w:t xml:space="preserve">Het is niet de verwachting dat de Side-by-Side veiligehavenregel grote gevolgen heeft voor het Nederlandse vestigingsklimaat. In het algemeen geldt dat het IF-akkoord </w:t>
      </w:r>
      <w:r w:rsidRPr="003F5EE8">
        <w:t xml:space="preserve">van belang </w:t>
      </w:r>
      <w:r>
        <w:t xml:space="preserve">is </w:t>
      </w:r>
      <w:r w:rsidRPr="003F5EE8">
        <w:t>om zekerheid en stabiliteit te waarborgen in het internationale belastingsysteem</w:t>
      </w:r>
      <w:r>
        <w:t>. Daar heeft ook het Nederlandse vestigingsklimaat baat bij.</w:t>
      </w:r>
    </w:p>
    <w:p w:rsidR="00A712BF" w:rsidP="00A712BF" w:rsidRDefault="00A712BF" w14:paraId="616EDCC7" w14:textId="77777777">
      <w:pPr>
        <w:spacing w:line="276" w:lineRule="auto"/>
        <w:rPr>
          <w:b/>
          <w:bCs/>
        </w:rPr>
      </w:pPr>
      <w:r w:rsidRPr="00357508">
        <w:rPr>
          <w:b/>
          <w:bCs/>
        </w:rPr>
        <w:t>16. Welke signalen ontvangt u vanuit het Nederlandse bedrijfsleven over de gevolgen van deze uitzonderingspositie voor hun internationale concurrentiepositie?</w:t>
      </w:r>
    </w:p>
    <w:p w:rsidRPr="001B655C" w:rsidR="00A712BF" w:rsidP="00A712BF" w:rsidRDefault="00A712BF" w14:paraId="7518A851" w14:textId="77777777">
      <w:pPr>
        <w:spacing w:line="276" w:lineRule="auto"/>
      </w:pPr>
      <w:bookmarkStart w:name="_Hlk218946560" w:id="0"/>
      <w:r w:rsidRPr="00BC7CFA">
        <w:rPr>
          <w:kern w:val="0"/>
          <w14:ligatures w14:val="none"/>
        </w:rPr>
        <w:t>Het internationale bedrijfsleven dat bij de OESO wordt vertegenwoordigd in de Business Advisory Group is positief over het Side-by-Side-pakket.</w:t>
      </w:r>
      <w:r w:rsidRPr="00BC7CFA">
        <w:rPr>
          <w:kern w:val="0"/>
          <w:vertAlign w:val="superscript"/>
          <w14:ligatures w14:val="none"/>
        </w:rPr>
        <w:footnoteReference w:id="3"/>
      </w:r>
      <w:r w:rsidRPr="00BC7CFA">
        <w:rPr>
          <w:kern w:val="0"/>
          <w14:ligatures w14:val="none"/>
        </w:rPr>
        <w:t xml:space="preserve"> </w:t>
      </w:r>
      <w:r>
        <w:t>Op ambtelijk niveau is veelvuldig in verschillende gremia gesproken met het Nederlandse bedrijfsleven over Pijler 2. Daarbij is ook gesproken over de positie van jurisdicties die Pijler 2 niet hebben ingevoerd en het belang van een gelijk speelveld. Ook heeft het Nederlandse bedrijfsleven aandacht gevraagd voor administratieve lasten en de stabiliteit van het internationale belastingsysteem. Het Nederlandse bedrijfsleven zal s</w:t>
      </w:r>
      <w:r w:rsidRPr="004454B7">
        <w:t>ommige elementen van het Side-by-Side-pakket</w:t>
      </w:r>
      <w:r>
        <w:t xml:space="preserve"> positief waarderen</w:t>
      </w:r>
      <w:r w:rsidRPr="004454B7">
        <w:t>, zoals de verlenging van de tijdelijke veiligehaven</w:t>
      </w:r>
      <w:r>
        <w:t>regel</w:t>
      </w:r>
      <w:r w:rsidRPr="004454B7">
        <w:t xml:space="preserve"> op basis van een kwalificerend landenrapport en de gunstige behandeling van kwalificerende </w:t>
      </w:r>
      <w:r w:rsidRPr="004454B7">
        <w:lastRenderedPageBreak/>
        <w:t>belastingprikkel</w:t>
      </w:r>
      <w:r>
        <w:t>s</w:t>
      </w:r>
      <w:r w:rsidRPr="001B655C">
        <w:t xml:space="preserve">. Anderzijds wijst het bedrijfsleven erop dat Amerikaanse multinationals in voorkomende gevallen minder belasting over hun buitenlandse winsten </w:t>
      </w:r>
      <w:r>
        <w:t>kunnen</w:t>
      </w:r>
      <w:r w:rsidRPr="001B655C">
        <w:t xml:space="preserve"> betalen dan onder Pijler 2 het geval zou zijn.</w:t>
      </w:r>
      <w:bookmarkEnd w:id="0"/>
      <w:r>
        <w:t xml:space="preserve"> Het kabinet erkent het </w:t>
      </w:r>
      <w:r w:rsidRPr="001B655C">
        <w:t>belang dat niet-implementerende jurisdicties zich niet voordeliger kunnen positioneren ten opzichte van jurisdicties die wel Pijler 2 implementeren.</w:t>
      </w:r>
      <w:r>
        <w:t xml:space="preserve"> Nederland heeft tijdens de onderhandelingen ook ingezet op het behoud van een gelijk speelveld en het concurrentievermogen van het Europese en Nederlandse bedrijfsleven.</w:t>
      </w:r>
      <w:r w:rsidRPr="001B655C">
        <w:t xml:space="preserve"> </w:t>
      </w:r>
      <w:bookmarkStart w:name="_Hlk219725534" w:id="1"/>
      <w:r>
        <w:t xml:space="preserve">Uitgangspunt van het Side-by-Side-systeem is uiteindelijk dat de effectieve belastingdruk voor multinationale ondernemingen vergelijkbaar uitpakt onder zowel Pijler 2 als kwalificerende gelijkwaardige belastingstelsels. </w:t>
      </w:r>
      <w:bookmarkEnd w:id="1"/>
      <w:r w:rsidRPr="001B655C">
        <w:t>Het kabinet wijst in dit verband op de onveranderde werking van de binnenlandse bijheffing. Dit is positief voor het gelijke speelveld en voor het waarborgen van de beleidsdoelstellingen van Pijler 2, aangezien alle multinationale groepen onderworpen kunnen zijn aan een binnenlandse bijheffing – voor zover die wordt geheven in jurisdicties waarin zij opereren – ongeacht de locatie van het hoofdkantoor. Het is van belang dat onder het Side-by-Side-systeem een prikkel blijft bestaan voor jurisdicties om een binnenlandse bijheffing te behouden dan wel in te voeren. Mede daarom hecht het kabinet aan de toekomstige evaluatie om te volgen hoe het Side-by-Side-systeem in de praktijk uitpakt en als nodig maatregelen te nemen om risico’s met betrekking tot het gelijke speelveld of grondslaguitholling en winstverschuiving te ondervangen. In het bijzonder vindt het kabinet het belangrijk om in het oog te houden dat Nederlandse multinationals onder gelijke voorwaarden kunnen concurreren met lokale ondernemingen in een Side-by-Side veilige haven jurisdictie.</w:t>
      </w:r>
    </w:p>
    <w:p w:rsidR="00A712BF" w:rsidP="00A712BF" w:rsidRDefault="00A712BF" w14:paraId="4DFE118D" w14:textId="77777777">
      <w:pPr>
        <w:spacing w:line="276" w:lineRule="auto"/>
        <w:rPr>
          <w:b/>
          <w:bCs/>
        </w:rPr>
      </w:pPr>
      <w:r w:rsidRPr="00357508">
        <w:rPr>
          <w:b/>
          <w:bCs/>
        </w:rPr>
        <w:t>17. In hoeverre leidt deze uitzonderingspositie er naar uw oordeel toe dat Nederlandse en Europese ondernemingen structureel op achterstand komen ten opzichte van Amerikaanse concurrenten?</w:t>
      </w:r>
    </w:p>
    <w:p w:rsidRPr="00E3111A" w:rsidR="00A712BF" w:rsidP="00A712BF" w:rsidRDefault="00A712BF" w14:paraId="26F43E3E" w14:textId="77777777">
      <w:pPr>
        <w:spacing w:line="276" w:lineRule="auto"/>
      </w:pPr>
      <w:r>
        <w:t>De positie, in het bijzonder de fiscale positie, van Nederlandse en Europese ondernemingen hangt af van verscheidene nationale en internationale factoren. Het kabinet denkt niet dat Nederlandse en Europese ondernemingen als gevolg van de Side-by-Side veiligehavenregel structureel op achterstand komen. Uitgangspunt van het Side-by-Side-systeem is in ieder geval dat de effectieve belastingdruk voor multinationale ondernemingen vergelijkbaar uitpakt onder zowel Pijler 2 als kwalificerende gelijkwaardige belastingstelsels. Daarnaast zal h</w:t>
      </w:r>
      <w:r w:rsidRPr="00502A34">
        <w:t>et IF</w:t>
      </w:r>
      <w:r>
        <w:t xml:space="preserve"> </w:t>
      </w:r>
      <w:r w:rsidRPr="00502A34">
        <w:t>een evaluatie (‘</w:t>
      </w:r>
      <w:r w:rsidRPr="00502A34">
        <w:rPr>
          <w:i/>
          <w:iCs/>
        </w:rPr>
        <w:t>stocktake</w:t>
      </w:r>
      <w:r w:rsidRPr="00502A34">
        <w:t xml:space="preserve">’) </w:t>
      </w:r>
      <w:r>
        <w:t>uitvoeren</w:t>
      </w:r>
      <w:r w:rsidRPr="00502A34">
        <w:t xml:space="preserve"> die in 2029 moet worden afgerond, op basis van een objectief</w:t>
      </w:r>
      <w:r>
        <w:t xml:space="preserve"> </w:t>
      </w:r>
      <w:r w:rsidRPr="00502A34">
        <w:t xml:space="preserve">en </w:t>
      </w:r>
      <w:r>
        <w:t xml:space="preserve">een op </w:t>
      </w:r>
      <w:r w:rsidRPr="00502A34">
        <w:t>dat</w:t>
      </w:r>
      <w:r>
        <w:t>a gebaseerd</w:t>
      </w:r>
      <w:r w:rsidRPr="00502A34">
        <w:t xml:space="preserve"> proces. Het IF verbindt zich er ook toe om gerichte oplossingen te overwegen wanneer zich</w:t>
      </w:r>
      <w:r>
        <w:t xml:space="preserve"> bepaalde</w:t>
      </w:r>
      <w:r w:rsidRPr="00502A34">
        <w:t xml:space="preserve"> risico’s met betrekking tot het gelijke speelveld voordoen.</w:t>
      </w:r>
      <w:r>
        <w:t xml:space="preserve"> Het kabinet vindt deze evaluatie van groot belang.</w:t>
      </w:r>
    </w:p>
    <w:p w:rsidR="00A712BF" w:rsidP="00A712BF" w:rsidRDefault="00A712BF" w14:paraId="03049935" w14:textId="77777777">
      <w:pPr>
        <w:spacing w:line="276" w:lineRule="auto"/>
        <w:rPr>
          <w:b/>
          <w:bCs/>
        </w:rPr>
      </w:pPr>
      <w:r w:rsidRPr="00357508">
        <w:rPr>
          <w:b/>
          <w:bCs/>
        </w:rPr>
        <w:t>18. Welke concrete maatregelen onderneemt u om te voorkomen dat Nederland economisch nadeel ondervindt van de uitzonderingspositie voor de Verenigde Staten?</w:t>
      </w:r>
    </w:p>
    <w:p w:rsidRPr="00835C3C" w:rsidR="00A712BF" w:rsidP="00A712BF" w:rsidRDefault="00A712BF" w14:paraId="62764112" w14:textId="77777777">
      <w:pPr>
        <w:spacing w:line="276" w:lineRule="auto"/>
      </w:pPr>
      <w:r>
        <w:t>Het is voorbarig om op voorhand te stellen dat Nederland een beduidend economisch nadeel ondervindt als gevolg van de Side-by-Side veiligehavenregel zoals ook in de beantwoording van vraag 17 geschetst. H</w:t>
      </w:r>
      <w:r w:rsidRPr="00502A34">
        <w:t>et IF</w:t>
      </w:r>
      <w:r>
        <w:t xml:space="preserve"> zal </w:t>
      </w:r>
      <w:r w:rsidRPr="00502A34">
        <w:t>een evaluatie (‘</w:t>
      </w:r>
      <w:r w:rsidRPr="00502A34">
        <w:rPr>
          <w:i/>
          <w:iCs/>
        </w:rPr>
        <w:t>stocktake</w:t>
      </w:r>
      <w:r w:rsidRPr="00502A34">
        <w:t xml:space="preserve">’) </w:t>
      </w:r>
      <w:r>
        <w:t>uitvoeren</w:t>
      </w:r>
      <w:r w:rsidRPr="00502A34">
        <w:t xml:space="preserve"> die in 2029 moet worden afgerond, op basis van een objectief</w:t>
      </w:r>
      <w:r>
        <w:t xml:space="preserve"> </w:t>
      </w:r>
      <w:r w:rsidRPr="00502A34">
        <w:t xml:space="preserve">en </w:t>
      </w:r>
      <w:r>
        <w:t xml:space="preserve">een op </w:t>
      </w:r>
      <w:r w:rsidRPr="00502A34">
        <w:t>dat</w:t>
      </w:r>
      <w:r>
        <w:t>a gebaseerd</w:t>
      </w:r>
      <w:r w:rsidRPr="00502A34">
        <w:t xml:space="preserve"> proces. Het IF verbindt zich er ook toe om gerichte oplossingen te overwegen wanneer zich</w:t>
      </w:r>
      <w:r>
        <w:t xml:space="preserve"> bepaalde</w:t>
      </w:r>
      <w:r w:rsidRPr="00502A34">
        <w:t xml:space="preserve"> risico’s met betrekking tot het gelijke speelveld voordoen.</w:t>
      </w:r>
      <w:r>
        <w:t xml:space="preserve"> Het kabinet vindt deze evaluatie van groot belang.</w:t>
      </w:r>
    </w:p>
    <w:p w:rsidR="00A712BF" w:rsidP="00A712BF" w:rsidRDefault="00A712BF" w14:paraId="6DAB3FEE" w14:textId="77777777">
      <w:pPr>
        <w:spacing w:line="276" w:lineRule="auto"/>
        <w:rPr>
          <w:b/>
          <w:bCs/>
        </w:rPr>
      </w:pPr>
      <w:r w:rsidRPr="00357508">
        <w:rPr>
          <w:b/>
          <w:bCs/>
        </w:rPr>
        <w:lastRenderedPageBreak/>
        <w:t>19. Acht u het wenselijk dat Nederland onderdeel blijft van internationale afspraken die ertoe kunnen leiden dat het Nederlandse vestigingsklimaat minder aantrekkelijk wordt en Nederlandse bedrijven in een nadeliger positie komen ten opzichte van Amerikaanse</w:t>
      </w:r>
      <w:r>
        <w:rPr>
          <w:b/>
          <w:bCs/>
        </w:rPr>
        <w:t xml:space="preserve"> </w:t>
      </w:r>
      <w:r w:rsidRPr="00357508">
        <w:rPr>
          <w:b/>
          <w:bCs/>
        </w:rPr>
        <w:t>ondernemingen?</w:t>
      </w:r>
    </w:p>
    <w:p w:rsidRPr="00F04312" w:rsidR="00A712BF" w:rsidP="00A712BF" w:rsidRDefault="00A712BF" w14:paraId="5DC08FFC" w14:textId="77777777">
      <w:pPr>
        <w:spacing w:line="276" w:lineRule="auto"/>
      </w:pPr>
      <w:r>
        <w:t xml:space="preserve">Het kabinet vindt dat afspraken over onder meer het tegengaan van belastingontwijking door multinationals, zoals de wereldwijde minimumbelasting, het beste in mondiaal verband kunnen worden gemaakt. Dit is van groot belang voor </w:t>
      </w:r>
      <w:r w:rsidRPr="008A666D">
        <w:t>de effectiviteit en stabiliteit van het internationale belastingstelsel</w:t>
      </w:r>
      <w:r>
        <w:t xml:space="preserve">. De OESO-modelregels voor de wereldwijde minimumbelasting zijn binnen de Europese Unie opgenomen in Richtlijn (EU) 2022/2523 </w:t>
      </w:r>
      <w:r w:rsidRPr="00F04312">
        <w:t>van de Raad van 14 december 2022 tot waarborging van een mondiaal minimumniveau van belastingheffing voor groepen van multinationale ondernemingen en omvangrijke binnenlandse groepen in de Unie</w:t>
      </w:r>
      <w:r>
        <w:t>. Nederland heeft deze richtlijn geïmplementeerd door middel van de Wet minimumbelasting 2024. Nederland is hiermee gehouden aan de regels van de wereldwijde minimumbelasting. Nog los daarvan: in het hypothetische geval waarin Nederland de regels van de minimumbelasting niet zou toepassen, zouden andere jurisdicties de minimumbelasting die Nederland als gevolg daarvan niet zou heffen, wel kunnen heffen</w:t>
      </w:r>
      <w:r w:rsidRPr="009A1962">
        <w:t>. Het kabinet is daarnaast van mening dat het opnemen van de het Side-by-</w:t>
      </w:r>
      <w:r w:rsidRPr="00824DCC">
        <w:t>S</w:t>
      </w:r>
      <w:r>
        <w:t>i</w:t>
      </w:r>
      <w:r w:rsidRPr="009A1962">
        <w:t>de pakket in de Nederlandse wetgeving zorgt voor eenduidigheid en belastingplichtigen zekerheid biedt, wat ook ten goede kan komen aan het vestigingsklimaat.</w:t>
      </w:r>
      <w:r>
        <w:t xml:space="preserve"> </w:t>
      </w:r>
    </w:p>
    <w:p w:rsidR="00A712BF" w:rsidP="00A712BF" w:rsidRDefault="00A712BF" w14:paraId="3F60A092" w14:textId="77777777">
      <w:pPr>
        <w:spacing w:line="276" w:lineRule="auto"/>
        <w:rPr>
          <w:b/>
          <w:bCs/>
        </w:rPr>
      </w:pPr>
      <w:r w:rsidRPr="00357508">
        <w:rPr>
          <w:b/>
          <w:bCs/>
        </w:rPr>
        <w:t>20. Hoe beoordeelt u, in het licht van deze uitzonderingspositie, de haalbaarheid en geloofwaardigheid van toekomstige mondiale belastingafspraken wanneer de Verenigde Staten structureel een eigen uitzonderingspositie afdwingen en andere landen zich daaraan aanpassen?</w:t>
      </w:r>
    </w:p>
    <w:p w:rsidRPr="003C56F8" w:rsidR="00A712BF" w:rsidP="00A712BF" w:rsidRDefault="00A712BF" w14:paraId="78FCDBB3" w14:textId="77777777">
      <w:pPr>
        <w:spacing w:line="276" w:lineRule="auto"/>
      </w:pPr>
      <w:r>
        <w:t xml:space="preserve">Het kabinet vindt dat afspraken over onder meer het tegengaan van belastingontwijking door multinationals of de uitwisseling van gegevens tussen landen het beste in mondiaal verband kunnen worden gemaakt. Dit is van groot belang voor </w:t>
      </w:r>
      <w:r w:rsidRPr="008A666D">
        <w:t>de effectiviteit en stabiliteit van het internationale belastingstelsel</w:t>
      </w:r>
      <w:r>
        <w:t xml:space="preserve">. De betrokkenheid van de Verenigde Staten is daarbij van groot belang, zeker voor zover hun belastingsysteem als gelijkwaardig kan worden gezien. </w:t>
      </w:r>
    </w:p>
    <w:p w:rsidR="00A712BF" w:rsidP="00A712BF" w:rsidRDefault="00A712BF" w14:paraId="178559FE" w14:textId="77777777">
      <w:pPr>
        <w:spacing w:line="276" w:lineRule="auto"/>
        <w:rPr>
          <w:b/>
          <w:bCs/>
        </w:rPr>
      </w:pPr>
      <w:r w:rsidRPr="00357508">
        <w:rPr>
          <w:b/>
          <w:bCs/>
        </w:rPr>
        <w:t>21. Kunt u deze vragen binnen twee weken en elk van de vragen afzonderlijk beantwoorden?</w:t>
      </w:r>
    </w:p>
    <w:p w:rsidRPr="00357508" w:rsidR="00A712BF" w:rsidP="00A712BF" w:rsidRDefault="00A712BF" w14:paraId="71DA1167" w14:textId="77777777">
      <w:pPr>
        <w:spacing w:line="276" w:lineRule="auto"/>
      </w:pPr>
      <w:r>
        <w:t xml:space="preserve">De vragen zijn elk afzonderlijk beantwoord. </w:t>
      </w:r>
      <w:r w:rsidRPr="009C7CD1">
        <w:t xml:space="preserve">Helaas is </w:t>
      </w:r>
      <w:r>
        <w:t xml:space="preserve">het </w:t>
      </w:r>
      <w:r w:rsidRPr="009C7CD1">
        <w:t>niet gelukt om de vragen binnen de gebruikelijke termijn te beantwoorden</w:t>
      </w:r>
      <w:r>
        <w:t>.</w:t>
      </w:r>
    </w:p>
    <w:p w:rsidR="00730AE6" w:rsidRDefault="00730AE6" w14:paraId="55DA9C18" w14:textId="77777777"/>
    <w:sectPr w:rsidR="00730AE6" w:rsidSect="00A712BF">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9666" w14:textId="77777777" w:rsidR="00A712BF" w:rsidRDefault="00A712BF" w:rsidP="00A712BF">
      <w:pPr>
        <w:spacing w:after="0" w:line="240" w:lineRule="auto"/>
      </w:pPr>
      <w:r>
        <w:separator/>
      </w:r>
    </w:p>
  </w:endnote>
  <w:endnote w:type="continuationSeparator" w:id="0">
    <w:p w14:paraId="43DF1C6A" w14:textId="77777777" w:rsidR="00A712BF" w:rsidRDefault="00A712BF" w:rsidP="00A7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7469" w14:textId="77777777" w:rsidR="00A712BF" w:rsidRPr="00A712BF" w:rsidRDefault="00A712BF" w:rsidP="00A712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6CF0" w14:textId="77777777" w:rsidR="00A712BF" w:rsidRPr="00A712BF" w:rsidRDefault="00A712BF" w:rsidP="00A712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644" w14:textId="77777777" w:rsidR="00A712BF" w:rsidRPr="00A712BF" w:rsidRDefault="00A712BF" w:rsidP="00A712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AD08" w14:textId="77777777" w:rsidR="00A712BF" w:rsidRDefault="00A712BF" w:rsidP="00A712BF">
      <w:pPr>
        <w:spacing w:after="0" w:line="240" w:lineRule="auto"/>
      </w:pPr>
      <w:r>
        <w:separator/>
      </w:r>
    </w:p>
  </w:footnote>
  <w:footnote w:type="continuationSeparator" w:id="0">
    <w:p w14:paraId="67F4C865" w14:textId="77777777" w:rsidR="00A712BF" w:rsidRDefault="00A712BF" w:rsidP="00A712BF">
      <w:pPr>
        <w:spacing w:after="0" w:line="240" w:lineRule="auto"/>
      </w:pPr>
      <w:r>
        <w:continuationSeparator/>
      </w:r>
    </w:p>
  </w:footnote>
  <w:footnote w:id="1">
    <w:p w14:paraId="45748227" w14:textId="77777777" w:rsidR="00A712BF" w:rsidRPr="00A33825" w:rsidRDefault="00A712BF" w:rsidP="00A712BF">
      <w:pPr>
        <w:pStyle w:val="Voetnoottekst"/>
        <w:rPr>
          <w:sz w:val="16"/>
          <w:szCs w:val="16"/>
        </w:rPr>
      </w:pPr>
      <w:r w:rsidRPr="00357508">
        <w:rPr>
          <w:rStyle w:val="Voetnootmarkering"/>
          <w:sz w:val="16"/>
          <w:szCs w:val="16"/>
        </w:rPr>
        <w:footnoteRef/>
      </w:r>
      <w:r w:rsidRPr="00357508">
        <w:rPr>
          <w:sz w:val="16"/>
          <w:szCs w:val="16"/>
        </w:rPr>
        <w:t xml:space="preserve"> FD, 6 januari 2026, 'VS bedingen uitzonderingen op minimumbelasting multinationals'.</w:t>
      </w:r>
    </w:p>
  </w:footnote>
  <w:footnote w:id="2">
    <w:p w14:paraId="21B1FEBE" w14:textId="77777777" w:rsidR="00A712BF" w:rsidRPr="00A33825" w:rsidRDefault="00A712BF" w:rsidP="00A712BF">
      <w:pPr>
        <w:pStyle w:val="Voetnoottekst"/>
        <w:rPr>
          <w:lang w:val="en-GB"/>
        </w:rPr>
      </w:pPr>
      <w:r w:rsidRPr="00A33825">
        <w:rPr>
          <w:rStyle w:val="Voetnootmarkering"/>
          <w:sz w:val="16"/>
          <w:szCs w:val="16"/>
        </w:rPr>
        <w:footnoteRef/>
      </w:r>
      <w:r w:rsidRPr="00A33825">
        <w:rPr>
          <w:sz w:val="16"/>
          <w:szCs w:val="16"/>
          <w:lang w:val="en-GB"/>
        </w:rPr>
        <w:t xml:space="preserve"> Net CFC (Controlled Foreign Corporation) Tested Income.</w:t>
      </w:r>
    </w:p>
  </w:footnote>
  <w:footnote w:id="3">
    <w:p w14:paraId="44867A11" w14:textId="77777777" w:rsidR="00A712BF" w:rsidRPr="00824DCC" w:rsidRDefault="00A712BF" w:rsidP="00A712BF">
      <w:pPr>
        <w:pStyle w:val="Voetnoottekst"/>
        <w:rPr>
          <w:sz w:val="16"/>
          <w:szCs w:val="16"/>
          <w:lang w:val="en-GB"/>
        </w:rPr>
      </w:pPr>
      <w:r w:rsidRPr="002D2EE6">
        <w:rPr>
          <w:rStyle w:val="Voetnootmarkering"/>
          <w:sz w:val="16"/>
          <w:szCs w:val="16"/>
        </w:rPr>
        <w:footnoteRef/>
      </w:r>
      <w:r w:rsidRPr="00824DCC">
        <w:rPr>
          <w:sz w:val="16"/>
          <w:szCs w:val="16"/>
          <w:lang w:val="en-GB"/>
        </w:rPr>
        <w:t xml:space="preserve"> https://www.businessatoecd.org/newsroom/media-releases/business-at-oecd-commends-the-oecd/g20-inclusive-frameworks-global-minimum-tax-side-by-side-package.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DDD8" w14:textId="77777777" w:rsidR="00A712BF" w:rsidRPr="00A712BF" w:rsidRDefault="00A712BF" w:rsidP="00A712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C7A5" w14:textId="77777777" w:rsidR="00A712BF" w:rsidRPr="00A712BF" w:rsidRDefault="00A712BF" w:rsidP="00A712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2943" w14:textId="77777777" w:rsidR="00A712BF" w:rsidRPr="00A712BF" w:rsidRDefault="00A712BF" w:rsidP="00A712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BF"/>
    <w:rsid w:val="00316621"/>
    <w:rsid w:val="00730AE6"/>
    <w:rsid w:val="00A71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7BF1"/>
  <w15:chartTrackingRefBased/>
  <w15:docId w15:val="{FEF0B138-FF40-4E81-ABD4-FD89D9D6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7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712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12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12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12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2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2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2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2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712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712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12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12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12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12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12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12BF"/>
    <w:rPr>
      <w:rFonts w:eastAsiaTheme="majorEastAsia" w:cstheme="majorBidi"/>
      <w:color w:val="272727" w:themeColor="text1" w:themeTint="D8"/>
    </w:rPr>
  </w:style>
  <w:style w:type="paragraph" w:styleId="Titel">
    <w:name w:val="Title"/>
    <w:basedOn w:val="Standaard"/>
    <w:next w:val="Standaard"/>
    <w:link w:val="TitelChar"/>
    <w:uiPriority w:val="10"/>
    <w:qFormat/>
    <w:rsid w:val="00A7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2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12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12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12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12BF"/>
    <w:rPr>
      <w:i/>
      <w:iCs/>
      <w:color w:val="404040" w:themeColor="text1" w:themeTint="BF"/>
    </w:rPr>
  </w:style>
  <w:style w:type="paragraph" w:styleId="Lijstalinea">
    <w:name w:val="List Paragraph"/>
    <w:basedOn w:val="Standaard"/>
    <w:uiPriority w:val="34"/>
    <w:qFormat/>
    <w:rsid w:val="00A712BF"/>
    <w:pPr>
      <w:ind w:left="720"/>
      <w:contextualSpacing/>
    </w:pPr>
  </w:style>
  <w:style w:type="character" w:styleId="Intensievebenadrukking">
    <w:name w:val="Intense Emphasis"/>
    <w:basedOn w:val="Standaardalinea-lettertype"/>
    <w:uiPriority w:val="21"/>
    <w:qFormat/>
    <w:rsid w:val="00A712BF"/>
    <w:rPr>
      <w:i/>
      <w:iCs/>
      <w:color w:val="2F5496" w:themeColor="accent1" w:themeShade="BF"/>
    </w:rPr>
  </w:style>
  <w:style w:type="paragraph" w:styleId="Duidelijkcitaat">
    <w:name w:val="Intense Quote"/>
    <w:basedOn w:val="Standaard"/>
    <w:next w:val="Standaard"/>
    <w:link w:val="DuidelijkcitaatChar"/>
    <w:uiPriority w:val="30"/>
    <w:qFormat/>
    <w:rsid w:val="00A7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12BF"/>
    <w:rPr>
      <w:i/>
      <w:iCs/>
      <w:color w:val="2F5496" w:themeColor="accent1" w:themeShade="BF"/>
    </w:rPr>
  </w:style>
  <w:style w:type="character" w:styleId="Intensieveverwijzing">
    <w:name w:val="Intense Reference"/>
    <w:basedOn w:val="Standaardalinea-lettertype"/>
    <w:uiPriority w:val="32"/>
    <w:qFormat/>
    <w:rsid w:val="00A712B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712B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A712BF"/>
    <w:rPr>
      <w:rFonts w:ascii="Verdana" w:hAnsi="Verdana"/>
      <w:sz w:val="20"/>
      <w:szCs w:val="20"/>
    </w:rPr>
  </w:style>
  <w:style w:type="character" w:styleId="Voetnootmarkering">
    <w:name w:val="footnote reference"/>
    <w:basedOn w:val="Standaardalinea-lettertype"/>
    <w:uiPriority w:val="99"/>
    <w:semiHidden/>
    <w:unhideWhenUsed/>
    <w:rsid w:val="00A712BF"/>
    <w:rPr>
      <w:vertAlign w:val="superscript"/>
    </w:rPr>
  </w:style>
  <w:style w:type="paragraph" w:styleId="Koptekst">
    <w:name w:val="header"/>
    <w:basedOn w:val="Standaard"/>
    <w:link w:val="KoptekstChar"/>
    <w:uiPriority w:val="99"/>
    <w:unhideWhenUsed/>
    <w:rsid w:val="00A712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12BF"/>
  </w:style>
  <w:style w:type="paragraph" w:styleId="Voettekst">
    <w:name w:val="footer"/>
    <w:basedOn w:val="Standaard"/>
    <w:link w:val="VoettekstChar"/>
    <w:uiPriority w:val="99"/>
    <w:unhideWhenUsed/>
    <w:rsid w:val="00A712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3628</ap:Words>
  <ap:Characters>19958</ap:Characters>
  <ap:DocSecurity>0</ap:DocSecurity>
  <ap:Lines>166</ap:Lines>
  <ap:Paragraphs>47</ap:Paragraphs>
  <ap:ScaleCrop>false</ap:ScaleCrop>
  <ap:LinksUpToDate>false</ap:LinksUpToDate>
  <ap:CharactersWithSpaces>23539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2026-02-03T18:31:00.0000000Z</dcterms:created>
  <dcterms:modified xsi:type="dcterms:W3CDTF">2026-02-03T18:32:00.0000000Z</dcterms:modified>
  <version/>
  <category/>
</coreProperties>
</file>