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13C5" w:rsidR="001953A8" w:rsidP="009B3498" w:rsidRDefault="009B3498" w14:paraId="11E2B5B7" w14:textId="4C61F0F4">
      <w:pPr>
        <w:spacing w:line="240" w:lineRule="exact"/>
        <w:rPr>
          <w:rFonts w:ascii="Verdana" w:hAnsi="Verdana"/>
          <w:b/>
          <w:caps/>
          <w:sz w:val="18"/>
          <w:szCs w:val="18"/>
        </w:rPr>
      </w:pPr>
      <w:r w:rsidRPr="005E13C5">
        <w:rPr>
          <w:rFonts w:ascii="Verdana" w:hAnsi="Verdana"/>
          <w:b/>
          <w:sz w:val="18"/>
          <w:szCs w:val="18"/>
        </w:rPr>
        <w:t xml:space="preserve">VERSLAG VAN EEN SCHRIFTELIJK OVERLEG </w:t>
      </w:r>
      <w:proofErr w:type="gramStart"/>
      <w:r w:rsidR="00CD5CB9">
        <w:rPr>
          <w:rFonts w:ascii="Verdana" w:hAnsi="Verdana"/>
          <w:b/>
          <w:sz w:val="18"/>
          <w:szCs w:val="18"/>
        </w:rPr>
        <w:t>INZAKE</w:t>
      </w:r>
      <w:proofErr w:type="gramEnd"/>
      <w:r w:rsidR="00CD5CB9">
        <w:rPr>
          <w:rFonts w:ascii="Verdana" w:hAnsi="Verdana"/>
          <w:b/>
          <w:sz w:val="18"/>
          <w:szCs w:val="18"/>
        </w:rPr>
        <w:t xml:space="preserve"> BRIEF </w:t>
      </w:r>
      <w:r w:rsidRPr="005E13C5" w:rsidR="001953A8">
        <w:rPr>
          <w:rFonts w:ascii="Verdana" w:hAnsi="Verdana"/>
          <w:b/>
          <w:caps/>
          <w:sz w:val="18"/>
          <w:szCs w:val="18"/>
        </w:rPr>
        <w:t>FICHE</w:t>
      </w:r>
      <w:r w:rsidR="00CD5CB9">
        <w:rPr>
          <w:rFonts w:ascii="Verdana" w:hAnsi="Verdana"/>
          <w:b/>
          <w:caps/>
          <w:sz w:val="18"/>
          <w:szCs w:val="18"/>
        </w:rPr>
        <w:t xml:space="preserve">: </w:t>
      </w:r>
      <w:r w:rsidRPr="005E13C5" w:rsidR="001953A8">
        <w:rPr>
          <w:rFonts w:ascii="Verdana" w:hAnsi="Verdana"/>
          <w:b/>
          <w:caps/>
          <w:sz w:val="18"/>
          <w:szCs w:val="18"/>
        </w:rPr>
        <w:t>Mededeling financiële geletterdheid</w:t>
      </w:r>
    </w:p>
    <w:p w:rsidRPr="005E13C5" w:rsidR="003F75A1" w:rsidP="00843853" w:rsidRDefault="003F75A1" w14:paraId="306835A3" w14:textId="77777777">
      <w:pPr>
        <w:rPr>
          <w:rFonts w:ascii="Verdana" w:hAnsi="Verdana"/>
          <w:sz w:val="18"/>
          <w:szCs w:val="18"/>
        </w:rPr>
      </w:pPr>
    </w:p>
    <w:p w:rsidRPr="005E13C5" w:rsidR="009B3498" w:rsidP="009B3498" w:rsidRDefault="009B3498" w14:paraId="1A823EF9" w14:textId="77777777">
      <w:pPr>
        <w:pStyle w:val="Geenafstand"/>
        <w:spacing w:line="240" w:lineRule="exact"/>
        <w:rPr>
          <w:rFonts w:ascii="Verdana" w:hAnsi="Verdana"/>
          <w:b/>
          <w:sz w:val="18"/>
          <w:szCs w:val="18"/>
        </w:rPr>
      </w:pPr>
      <w:r w:rsidRPr="005E13C5">
        <w:rPr>
          <w:rFonts w:ascii="Verdana" w:hAnsi="Verdana"/>
          <w:b/>
          <w:sz w:val="18"/>
          <w:szCs w:val="18"/>
        </w:rPr>
        <w:t xml:space="preserve">II </w:t>
      </w:r>
      <w:r w:rsidRPr="005E13C5">
        <w:rPr>
          <w:rFonts w:ascii="Verdana" w:hAnsi="Verdana"/>
          <w:b/>
          <w:sz w:val="18"/>
          <w:szCs w:val="18"/>
        </w:rPr>
        <w:tab/>
        <w:t xml:space="preserve">Reactie van de minister </w:t>
      </w:r>
    </w:p>
    <w:p w:rsidRPr="005E13C5" w:rsidR="009B3498" w:rsidP="009B3498" w:rsidRDefault="009B3498" w14:paraId="11B6A13D" w14:textId="77777777">
      <w:pPr>
        <w:pStyle w:val="Geenafstand"/>
        <w:spacing w:line="240" w:lineRule="exact"/>
        <w:rPr>
          <w:rFonts w:ascii="Verdana" w:hAnsi="Verdana"/>
          <w:sz w:val="18"/>
          <w:szCs w:val="18"/>
        </w:rPr>
      </w:pPr>
    </w:p>
    <w:p w:rsidRPr="005E13C5" w:rsidR="009B3498" w:rsidP="009B3498" w:rsidRDefault="009B3498" w14:paraId="26545F47" w14:textId="4AF8668E">
      <w:pPr>
        <w:pStyle w:val="Geenafstand"/>
        <w:spacing w:line="240" w:lineRule="exact"/>
        <w:rPr>
          <w:rFonts w:ascii="Verdana" w:hAnsi="Verdana"/>
          <w:sz w:val="18"/>
          <w:szCs w:val="18"/>
        </w:rPr>
      </w:pPr>
      <w:r w:rsidRPr="005E13C5">
        <w:rPr>
          <w:rFonts w:ascii="Verdana" w:hAnsi="Verdana"/>
          <w:sz w:val="18"/>
          <w:szCs w:val="18"/>
        </w:rPr>
        <w:t xml:space="preserve">Met belangstelling heb ik kennisgenomen van de vragen en opmerkingen van de leden van de fracties van de </w:t>
      </w:r>
      <w:r w:rsidRPr="005E13C5" w:rsidR="005E13C5">
        <w:rPr>
          <w:rFonts w:ascii="Verdana" w:hAnsi="Verdana"/>
          <w:sz w:val="18"/>
          <w:szCs w:val="18"/>
        </w:rPr>
        <w:t>PVV</w:t>
      </w:r>
      <w:r w:rsidRPr="005E13C5">
        <w:rPr>
          <w:rFonts w:ascii="Verdana" w:hAnsi="Verdana"/>
          <w:sz w:val="18"/>
          <w:szCs w:val="18"/>
        </w:rPr>
        <w:t xml:space="preserve">, </w:t>
      </w:r>
      <w:r w:rsidRPr="005E13C5" w:rsidR="005E13C5">
        <w:rPr>
          <w:rFonts w:ascii="Verdana" w:hAnsi="Verdana"/>
          <w:sz w:val="18"/>
          <w:szCs w:val="18"/>
        </w:rPr>
        <w:t>VVD</w:t>
      </w:r>
      <w:r w:rsidRPr="005E13C5">
        <w:rPr>
          <w:rFonts w:ascii="Verdana" w:hAnsi="Verdana"/>
          <w:sz w:val="18"/>
          <w:szCs w:val="18"/>
        </w:rPr>
        <w:t xml:space="preserve">, </w:t>
      </w:r>
      <w:r w:rsidRPr="005E13C5" w:rsidR="005E13C5">
        <w:rPr>
          <w:rFonts w:ascii="Verdana" w:hAnsi="Verdana"/>
          <w:sz w:val="18"/>
          <w:szCs w:val="18"/>
        </w:rPr>
        <w:t>CDA en BBB</w:t>
      </w:r>
      <w:r w:rsidRPr="005E13C5">
        <w:rPr>
          <w:rFonts w:ascii="Verdana" w:hAnsi="Verdana"/>
          <w:sz w:val="18"/>
          <w:szCs w:val="18"/>
        </w:rPr>
        <w:t xml:space="preserve"> </w:t>
      </w:r>
      <w:r w:rsidR="00A66029">
        <w:rPr>
          <w:rFonts w:ascii="Verdana" w:hAnsi="Verdana"/>
          <w:sz w:val="18"/>
          <w:szCs w:val="18"/>
        </w:rPr>
        <w:t>ten aanzien van</w:t>
      </w:r>
      <w:r w:rsidR="00CD5CB9">
        <w:rPr>
          <w:rFonts w:ascii="Verdana" w:hAnsi="Verdana"/>
          <w:sz w:val="18"/>
          <w:szCs w:val="18"/>
        </w:rPr>
        <w:t xml:space="preserve"> </w:t>
      </w:r>
      <w:r w:rsidR="00A66029">
        <w:rPr>
          <w:rFonts w:ascii="Verdana" w:hAnsi="Verdana"/>
          <w:sz w:val="18"/>
          <w:szCs w:val="18"/>
        </w:rPr>
        <w:t>h</w:t>
      </w:r>
      <w:r w:rsidR="00CD5CB9">
        <w:rPr>
          <w:rFonts w:ascii="Verdana" w:hAnsi="Verdana"/>
          <w:sz w:val="18"/>
          <w:szCs w:val="18"/>
        </w:rPr>
        <w:t>et Fiche</w:t>
      </w:r>
      <w:r w:rsidRPr="005E13C5">
        <w:rPr>
          <w:rFonts w:ascii="Verdana" w:hAnsi="Verdana"/>
          <w:sz w:val="18"/>
          <w:szCs w:val="18"/>
        </w:rPr>
        <w:t xml:space="preserve"> </w:t>
      </w:r>
      <w:r w:rsidR="00CD5CB9">
        <w:rPr>
          <w:rFonts w:ascii="Verdana" w:hAnsi="Verdana"/>
          <w:sz w:val="18"/>
          <w:szCs w:val="18"/>
        </w:rPr>
        <w:t>M</w:t>
      </w:r>
      <w:r w:rsidRPr="005E13C5" w:rsidR="005E13C5">
        <w:rPr>
          <w:rFonts w:ascii="Verdana" w:hAnsi="Verdana"/>
          <w:sz w:val="18"/>
          <w:szCs w:val="18"/>
        </w:rPr>
        <w:t>ededeling financiële geletterd</w:t>
      </w:r>
      <w:r w:rsidRPr="00CD5CB9" w:rsidR="005E13C5">
        <w:rPr>
          <w:rFonts w:ascii="Verdana" w:hAnsi="Verdana"/>
          <w:sz w:val="18"/>
          <w:szCs w:val="18"/>
        </w:rPr>
        <w:t>heid</w:t>
      </w:r>
      <w:r w:rsidRPr="00CD5CB9" w:rsidR="00CD5CB9">
        <w:rPr>
          <w:rFonts w:ascii="Verdana" w:hAnsi="Verdana"/>
          <w:sz w:val="18"/>
          <w:szCs w:val="18"/>
        </w:rPr>
        <w:t xml:space="preserve"> (Kamerstuk 22112 nr. 4202)</w:t>
      </w:r>
      <w:r w:rsidRPr="005E13C5">
        <w:rPr>
          <w:rFonts w:ascii="Verdana" w:hAnsi="Verdana"/>
          <w:sz w:val="18"/>
          <w:szCs w:val="18"/>
        </w:rPr>
        <w:t>. Bij de volgorde van de beantwoording is de volgorde van de inbreng van het schriftelijk overleg aangehouden</w:t>
      </w:r>
      <w:r w:rsidR="00A66029">
        <w:rPr>
          <w:rFonts w:ascii="Verdana" w:hAnsi="Verdana"/>
          <w:sz w:val="18"/>
          <w:szCs w:val="18"/>
        </w:rPr>
        <w:t xml:space="preserve">. </w:t>
      </w:r>
    </w:p>
    <w:p w:rsidRPr="005E13C5" w:rsidR="009B3498" w:rsidP="009B3498" w:rsidRDefault="009B3498" w14:paraId="0DD7F087" w14:textId="77777777">
      <w:pPr>
        <w:spacing w:line="240" w:lineRule="exact"/>
        <w:rPr>
          <w:rFonts w:ascii="Verdana" w:hAnsi="Verdana"/>
          <w:sz w:val="18"/>
          <w:szCs w:val="18"/>
        </w:rPr>
      </w:pPr>
    </w:p>
    <w:p w:rsidRPr="005E13C5" w:rsidR="005E13C5" w:rsidP="005E13C5" w:rsidRDefault="005E13C5" w14:paraId="69653894" w14:textId="77777777">
      <w:pPr>
        <w:pStyle w:val="Geenafstand"/>
        <w:rPr>
          <w:rFonts w:ascii="Verdana" w:hAnsi="Verdana" w:eastAsia="Times New Roman"/>
          <w:b/>
          <w:sz w:val="18"/>
          <w:szCs w:val="18"/>
          <w:lang w:eastAsia="nl-NL"/>
        </w:rPr>
      </w:pPr>
      <w:r w:rsidRPr="005E13C5">
        <w:rPr>
          <w:rFonts w:ascii="Verdana" w:hAnsi="Verdana" w:eastAsia="Times New Roman"/>
          <w:b/>
          <w:sz w:val="18"/>
          <w:szCs w:val="18"/>
          <w:lang w:eastAsia="nl-NL"/>
        </w:rPr>
        <w:t xml:space="preserve">Vragen en opmerkingen van de leden van de PVV-fractie </w:t>
      </w:r>
    </w:p>
    <w:p w:rsidRPr="005E13C5" w:rsidR="005E13C5" w:rsidP="005E13C5" w:rsidRDefault="005E13C5" w14:paraId="6B386838" w14:textId="77777777">
      <w:pPr>
        <w:pStyle w:val="Geenafstand"/>
        <w:rPr>
          <w:rFonts w:ascii="Verdana" w:hAnsi="Verdana" w:eastAsia="Times New Roman"/>
          <w:bCs/>
          <w:sz w:val="18"/>
          <w:szCs w:val="18"/>
          <w:lang w:eastAsia="nl-NL"/>
        </w:rPr>
      </w:pPr>
    </w:p>
    <w:p w:rsidR="005E13C5" w:rsidP="005E13C5" w:rsidRDefault="005E13C5" w14:paraId="6E03201B" w14:textId="673E54FC">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De leden van de PVV-fractie zetten zich altijd in om de bestuurlijke autonomie van Nederland in de Europese Unie te beschermen. Deze leden vrezen dat het voorliggende voorstel een precedent kan scheppen om invloed uit te oefenen op het nationale onderwijsbeleid. Hoewel deze leden het belang van financiële geletterdheid onderschrijven en kennisnemen van de geruststelling van de Europese Commissie</w:t>
      </w:r>
      <w:r w:rsidR="008E505F">
        <w:rPr>
          <w:rFonts w:ascii="Verdana" w:hAnsi="Verdana" w:eastAsia="Times New Roman"/>
          <w:bCs/>
          <w:i/>
          <w:iCs/>
          <w:sz w:val="18"/>
          <w:szCs w:val="18"/>
          <w:lang w:eastAsia="nl-NL"/>
        </w:rPr>
        <w:t xml:space="preserve"> </w:t>
      </w:r>
      <w:r w:rsidRPr="005E13C5">
        <w:rPr>
          <w:rFonts w:ascii="Verdana" w:hAnsi="Verdana" w:eastAsia="Times New Roman"/>
          <w:bCs/>
          <w:i/>
          <w:iCs/>
          <w:sz w:val="18"/>
          <w:szCs w:val="18"/>
          <w:lang w:eastAsia="nl-NL"/>
        </w:rPr>
        <w:t>dat het integreren van financiële geletterdheid in het schoolcurriculum geen onderdeel van de strategie vormt, vragen deze leden het kabinet om te verduidelijken in hoeverre het voorliggende voorstel invloed heeft op de nationale beleidsruimte op onderwijsgebied.</w:t>
      </w:r>
    </w:p>
    <w:p w:rsidRPr="005E13C5" w:rsidR="005D078F" w:rsidP="005E13C5" w:rsidRDefault="005D078F" w14:paraId="4369BA7A" w14:textId="77777777">
      <w:pPr>
        <w:pStyle w:val="Geenafstand"/>
        <w:rPr>
          <w:rFonts w:ascii="Verdana" w:hAnsi="Verdana" w:eastAsia="Times New Roman"/>
          <w:bCs/>
          <w:i/>
          <w:iCs/>
          <w:sz w:val="18"/>
          <w:szCs w:val="18"/>
          <w:lang w:eastAsia="nl-NL"/>
        </w:rPr>
      </w:pPr>
    </w:p>
    <w:p w:rsidRPr="005E13C5" w:rsidR="005E13C5" w:rsidP="005E13C5" w:rsidRDefault="005E13C5" w14:paraId="050418E5" w14:textId="51CE920E">
      <w:pPr>
        <w:pStyle w:val="Geenafstand"/>
        <w:rPr>
          <w:rFonts w:ascii="Verdana" w:hAnsi="Verdana" w:eastAsia="Times New Roman"/>
          <w:bCs/>
          <w:sz w:val="18"/>
          <w:szCs w:val="18"/>
          <w:lang w:eastAsia="nl-NL"/>
        </w:rPr>
      </w:pPr>
      <w:r w:rsidRPr="005E13C5">
        <w:rPr>
          <w:rFonts w:ascii="Verdana" w:hAnsi="Verdana" w:eastAsia="Times New Roman"/>
          <w:bCs/>
          <w:sz w:val="18"/>
          <w:szCs w:val="18"/>
          <w:lang w:eastAsia="nl-NL"/>
        </w:rPr>
        <w:t xml:space="preserve">Zoals in het BNC-fiche wordt </w:t>
      </w:r>
      <w:r w:rsidR="00B70006">
        <w:rPr>
          <w:rFonts w:ascii="Verdana" w:hAnsi="Verdana" w:eastAsia="Times New Roman"/>
          <w:bCs/>
          <w:sz w:val="18"/>
          <w:szCs w:val="18"/>
          <w:lang w:eastAsia="nl-NL"/>
        </w:rPr>
        <w:t>g</w:t>
      </w:r>
      <w:r w:rsidRPr="005E13C5">
        <w:rPr>
          <w:rFonts w:ascii="Verdana" w:hAnsi="Verdana" w:eastAsia="Times New Roman"/>
          <w:bCs/>
          <w:sz w:val="18"/>
          <w:szCs w:val="18"/>
          <w:lang w:eastAsia="nl-NL"/>
        </w:rPr>
        <w:t>enoemd</w:t>
      </w:r>
      <w:r w:rsidRPr="005E13C5">
        <w:rPr>
          <w:rFonts w:ascii="Verdana" w:hAnsi="Verdana" w:eastAsia="Times New Roman"/>
          <w:sz w:val="18"/>
          <w:szCs w:val="18"/>
          <w:lang w:eastAsia="nl-NL"/>
        </w:rPr>
        <w:t xml:space="preserve"> </w:t>
      </w:r>
      <w:r w:rsidRPr="005E13C5">
        <w:rPr>
          <w:rFonts w:ascii="Verdana" w:hAnsi="Verdana" w:eastAsia="Times New Roman"/>
          <w:bCs/>
          <w:sz w:val="18"/>
          <w:szCs w:val="18"/>
          <w:lang w:eastAsia="nl-NL"/>
        </w:rPr>
        <w:t>is en blijft de integratie van financiële geletterdheid in schoolcurricula een verantwoordelijkheid van de lidstaten zelf. De strategie dient als aanvulling op en versterking van bestaand (nationaal) beleid en initiatieven</w:t>
      </w:r>
      <w:r w:rsidR="009C1472">
        <w:rPr>
          <w:rFonts w:ascii="Verdana" w:hAnsi="Verdana" w:eastAsia="Times New Roman"/>
          <w:bCs/>
          <w:sz w:val="18"/>
          <w:szCs w:val="18"/>
          <w:lang w:eastAsia="nl-NL"/>
        </w:rPr>
        <w:t xml:space="preserve"> om financiële geletterdheid te bevorderen</w:t>
      </w:r>
      <w:r w:rsidRPr="005E13C5">
        <w:rPr>
          <w:rFonts w:ascii="Verdana" w:hAnsi="Verdana" w:eastAsia="Times New Roman"/>
          <w:bCs/>
          <w:sz w:val="18"/>
          <w:szCs w:val="18"/>
          <w:lang w:eastAsia="nl-NL"/>
        </w:rPr>
        <w:t>. Uit de pijlers en voorgenomen acties van de Europese Commissie</w:t>
      </w:r>
      <w:r w:rsidR="00B70006">
        <w:rPr>
          <w:rFonts w:ascii="Verdana" w:hAnsi="Verdana" w:eastAsia="Times New Roman"/>
          <w:bCs/>
          <w:sz w:val="18"/>
          <w:szCs w:val="18"/>
          <w:lang w:eastAsia="nl-NL"/>
        </w:rPr>
        <w:t xml:space="preserve"> </w:t>
      </w:r>
      <w:r w:rsidRPr="005E13C5">
        <w:rPr>
          <w:rFonts w:ascii="Verdana" w:hAnsi="Verdana" w:eastAsia="Times New Roman"/>
          <w:bCs/>
          <w:sz w:val="18"/>
          <w:szCs w:val="18"/>
          <w:lang w:eastAsia="nl-NL"/>
        </w:rPr>
        <w:t xml:space="preserve">blijkt dat de mededeling geen invloed heeft op de nationale beleidsruimte op onderwijsgebied. </w:t>
      </w:r>
    </w:p>
    <w:p w:rsidRPr="005E13C5" w:rsidR="005E13C5" w:rsidP="005E13C5" w:rsidRDefault="005E13C5" w14:paraId="093BC271" w14:textId="77777777">
      <w:pPr>
        <w:pStyle w:val="Geenafstand"/>
        <w:rPr>
          <w:rFonts w:ascii="Verdana" w:hAnsi="Verdana" w:eastAsia="Times New Roman"/>
          <w:bCs/>
          <w:color w:val="4472C4" w:themeColor="accent1"/>
          <w:sz w:val="18"/>
          <w:szCs w:val="18"/>
          <w:lang w:eastAsia="nl-NL"/>
        </w:rPr>
      </w:pPr>
    </w:p>
    <w:p w:rsidR="005E13C5" w:rsidP="005E13C5" w:rsidRDefault="005E13C5" w14:paraId="549F13D5" w14:textId="77777777">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 xml:space="preserve">De leden van de PVV-fractie constateren dat het kabinet in zijn reactie op het voorstel meerdere voorbeelden noemt over hoe de Staat zich momenteel inzet voor het bevorderen van financiële geletterdheid. Deze leden vragen het kabinet om uit te leggen </w:t>
      </w:r>
      <w:bookmarkStart w:name="_Hlk219121054" w:id="0"/>
      <w:r w:rsidRPr="005E13C5">
        <w:rPr>
          <w:rFonts w:ascii="Verdana" w:hAnsi="Verdana" w:eastAsia="Times New Roman"/>
          <w:bCs/>
          <w:i/>
          <w:iCs/>
          <w:sz w:val="18"/>
          <w:szCs w:val="18"/>
          <w:lang w:eastAsia="nl-NL"/>
        </w:rPr>
        <w:t xml:space="preserve">wat het voorliggende voorstel concreet bijdraagt </w:t>
      </w:r>
      <w:proofErr w:type="gramStart"/>
      <w:r w:rsidRPr="005E13C5">
        <w:rPr>
          <w:rFonts w:ascii="Verdana" w:hAnsi="Verdana" w:eastAsia="Times New Roman"/>
          <w:bCs/>
          <w:i/>
          <w:iCs/>
          <w:sz w:val="18"/>
          <w:szCs w:val="18"/>
          <w:lang w:eastAsia="nl-NL"/>
        </w:rPr>
        <w:t>bovenop</w:t>
      </w:r>
      <w:proofErr w:type="gramEnd"/>
      <w:r w:rsidRPr="005E13C5">
        <w:rPr>
          <w:rFonts w:ascii="Verdana" w:hAnsi="Verdana" w:eastAsia="Times New Roman"/>
          <w:bCs/>
          <w:i/>
          <w:iCs/>
          <w:sz w:val="18"/>
          <w:szCs w:val="18"/>
          <w:lang w:eastAsia="nl-NL"/>
        </w:rPr>
        <w:t xml:space="preserve"> de vele initiatieven die er nu al zijn.</w:t>
      </w:r>
      <w:bookmarkEnd w:id="0"/>
    </w:p>
    <w:p w:rsidRPr="005E13C5" w:rsidR="005D078F" w:rsidP="005E13C5" w:rsidRDefault="005D078F" w14:paraId="56955CA2" w14:textId="77777777">
      <w:pPr>
        <w:pStyle w:val="Geenafstand"/>
        <w:rPr>
          <w:rFonts w:ascii="Verdana" w:hAnsi="Verdana" w:eastAsia="Times New Roman"/>
          <w:bCs/>
          <w:i/>
          <w:iCs/>
          <w:sz w:val="18"/>
          <w:szCs w:val="18"/>
          <w:lang w:eastAsia="nl-NL"/>
        </w:rPr>
      </w:pPr>
    </w:p>
    <w:p w:rsidRPr="005E13C5" w:rsidR="005E13C5" w:rsidP="006033DF" w:rsidRDefault="005E13C5" w14:paraId="363632FB" w14:textId="60A485EE">
      <w:pPr>
        <w:pStyle w:val="Geenafstand"/>
        <w:rPr>
          <w:rFonts w:ascii="Verdana" w:hAnsi="Verdana" w:eastAsia="Times New Roman"/>
          <w:bCs/>
          <w:color w:val="4472C4" w:themeColor="accent1"/>
          <w:sz w:val="18"/>
          <w:szCs w:val="18"/>
          <w:lang w:eastAsia="nl-NL"/>
        </w:rPr>
      </w:pPr>
      <w:r w:rsidRPr="005E13C5">
        <w:rPr>
          <w:rFonts w:ascii="Verdana" w:hAnsi="Verdana" w:eastAsia="Times New Roman"/>
          <w:bCs/>
          <w:sz w:val="18"/>
          <w:szCs w:val="18"/>
          <w:lang w:eastAsia="nl-NL"/>
        </w:rPr>
        <w:t xml:space="preserve">Het kabinet ziet </w:t>
      </w:r>
      <w:r w:rsidR="00B57546">
        <w:rPr>
          <w:rFonts w:ascii="Verdana" w:hAnsi="Verdana" w:eastAsia="Times New Roman"/>
          <w:bCs/>
          <w:sz w:val="18"/>
          <w:szCs w:val="18"/>
          <w:lang w:eastAsia="nl-NL"/>
        </w:rPr>
        <w:t xml:space="preserve">de mededeling van de </w:t>
      </w:r>
      <w:r w:rsidR="00DC5EC7">
        <w:rPr>
          <w:rFonts w:ascii="Verdana" w:hAnsi="Verdana" w:eastAsia="Times New Roman"/>
          <w:bCs/>
          <w:sz w:val="18"/>
          <w:szCs w:val="18"/>
          <w:lang w:eastAsia="nl-NL"/>
        </w:rPr>
        <w:t>Commissie</w:t>
      </w:r>
      <w:r w:rsidRPr="005E13C5">
        <w:rPr>
          <w:rFonts w:ascii="Verdana" w:hAnsi="Verdana" w:eastAsia="Times New Roman"/>
          <w:bCs/>
          <w:sz w:val="18"/>
          <w:szCs w:val="18"/>
          <w:lang w:eastAsia="nl-NL"/>
        </w:rPr>
        <w:t xml:space="preserve">, </w:t>
      </w:r>
      <w:r w:rsidR="00DC5EC7">
        <w:rPr>
          <w:rFonts w:ascii="Verdana" w:hAnsi="Verdana" w:eastAsia="Times New Roman"/>
          <w:bCs/>
          <w:sz w:val="18"/>
          <w:szCs w:val="18"/>
          <w:lang w:eastAsia="nl-NL"/>
        </w:rPr>
        <w:t xml:space="preserve">gericht op </w:t>
      </w:r>
      <w:r w:rsidR="006033DF">
        <w:rPr>
          <w:rFonts w:ascii="Verdana" w:hAnsi="Verdana" w:eastAsia="Times New Roman"/>
          <w:bCs/>
          <w:sz w:val="18"/>
          <w:szCs w:val="18"/>
          <w:lang w:eastAsia="nl-NL"/>
        </w:rPr>
        <w:t xml:space="preserve">het vergroten van de </w:t>
      </w:r>
      <w:r w:rsidRPr="005E13C5">
        <w:rPr>
          <w:rFonts w:ascii="Verdana" w:hAnsi="Verdana" w:eastAsia="Times New Roman"/>
          <w:bCs/>
          <w:sz w:val="18"/>
          <w:szCs w:val="18"/>
          <w:lang w:eastAsia="nl-NL"/>
        </w:rPr>
        <w:t>financiële inclusie</w:t>
      </w:r>
      <w:r w:rsidR="006033DF">
        <w:rPr>
          <w:rFonts w:ascii="Verdana" w:hAnsi="Verdana" w:eastAsia="Times New Roman"/>
          <w:bCs/>
          <w:sz w:val="18"/>
          <w:szCs w:val="18"/>
          <w:lang w:eastAsia="nl-NL"/>
        </w:rPr>
        <w:t xml:space="preserve"> en geletterdheid</w:t>
      </w:r>
      <w:r w:rsidR="00DC5EC7">
        <w:rPr>
          <w:rFonts w:ascii="Verdana" w:hAnsi="Verdana" w:eastAsia="Times New Roman"/>
          <w:bCs/>
          <w:sz w:val="18"/>
          <w:szCs w:val="18"/>
          <w:lang w:eastAsia="nl-NL"/>
        </w:rPr>
        <w:t xml:space="preserve">, </w:t>
      </w:r>
      <w:r w:rsidR="006033DF">
        <w:rPr>
          <w:rFonts w:ascii="Verdana" w:hAnsi="Verdana" w:eastAsia="Times New Roman"/>
          <w:bCs/>
          <w:sz w:val="18"/>
          <w:szCs w:val="18"/>
          <w:lang w:eastAsia="nl-NL"/>
        </w:rPr>
        <w:t>als</w:t>
      </w:r>
      <w:r w:rsidRPr="005E13C5">
        <w:rPr>
          <w:rFonts w:ascii="Verdana" w:hAnsi="Verdana" w:eastAsia="Times New Roman"/>
          <w:bCs/>
          <w:sz w:val="18"/>
          <w:szCs w:val="18"/>
          <w:lang w:eastAsia="nl-NL"/>
        </w:rPr>
        <w:t xml:space="preserve"> </w:t>
      </w:r>
      <w:r w:rsidR="00DC5EC7">
        <w:rPr>
          <w:rFonts w:ascii="Verdana" w:hAnsi="Verdana" w:eastAsia="Times New Roman"/>
          <w:bCs/>
          <w:sz w:val="18"/>
          <w:szCs w:val="18"/>
          <w:lang w:eastAsia="nl-NL"/>
        </w:rPr>
        <w:t xml:space="preserve">een waardevolle aanvulling op </w:t>
      </w:r>
      <w:r w:rsidR="006033DF">
        <w:rPr>
          <w:rFonts w:ascii="Verdana" w:hAnsi="Verdana" w:eastAsia="Times New Roman"/>
          <w:bCs/>
          <w:sz w:val="18"/>
          <w:szCs w:val="18"/>
          <w:lang w:eastAsia="nl-NL"/>
        </w:rPr>
        <w:t xml:space="preserve">het bestaande beleid, met extra aandacht voor </w:t>
      </w:r>
      <w:r w:rsidR="00DC5EC7">
        <w:rPr>
          <w:rFonts w:ascii="Verdana" w:hAnsi="Verdana" w:eastAsia="Times New Roman"/>
          <w:bCs/>
          <w:sz w:val="18"/>
          <w:szCs w:val="18"/>
          <w:lang w:eastAsia="nl-NL"/>
        </w:rPr>
        <w:t>kwetsbare groepen</w:t>
      </w:r>
      <w:r w:rsidRPr="005E13C5">
        <w:rPr>
          <w:rFonts w:ascii="Verdana" w:hAnsi="Verdana" w:eastAsia="Times New Roman"/>
          <w:bCs/>
          <w:sz w:val="18"/>
          <w:szCs w:val="18"/>
          <w:lang w:eastAsia="nl-NL"/>
        </w:rPr>
        <w:t xml:space="preserve">. </w:t>
      </w:r>
      <w:r w:rsidRPr="006033DF" w:rsidR="006033DF">
        <w:rPr>
          <w:rFonts w:ascii="Verdana" w:hAnsi="Verdana" w:eastAsia="Times New Roman"/>
          <w:bCs/>
          <w:sz w:val="18"/>
          <w:szCs w:val="18"/>
          <w:lang w:eastAsia="nl-NL"/>
        </w:rPr>
        <w:t xml:space="preserve">De Commissie streeft ernaar financiële geletterdheid </w:t>
      </w:r>
      <w:r w:rsidR="006033DF">
        <w:rPr>
          <w:rFonts w:ascii="Verdana" w:hAnsi="Verdana" w:eastAsia="Times New Roman"/>
          <w:bCs/>
          <w:sz w:val="18"/>
          <w:szCs w:val="18"/>
          <w:lang w:eastAsia="nl-NL"/>
        </w:rPr>
        <w:t>te vergrote</w:t>
      </w:r>
      <w:r w:rsidR="009C1472">
        <w:rPr>
          <w:rFonts w:ascii="Verdana" w:hAnsi="Verdana" w:eastAsia="Times New Roman"/>
          <w:bCs/>
          <w:sz w:val="18"/>
          <w:szCs w:val="18"/>
          <w:lang w:eastAsia="nl-NL"/>
        </w:rPr>
        <w:t>n</w:t>
      </w:r>
      <w:r w:rsidR="006033DF">
        <w:rPr>
          <w:rFonts w:ascii="Verdana" w:hAnsi="Verdana" w:eastAsia="Times New Roman"/>
          <w:bCs/>
          <w:sz w:val="18"/>
          <w:szCs w:val="18"/>
          <w:lang w:eastAsia="nl-NL"/>
        </w:rPr>
        <w:t xml:space="preserve">, </w:t>
      </w:r>
      <w:r w:rsidRPr="006033DF" w:rsidR="006033DF">
        <w:rPr>
          <w:rFonts w:ascii="Verdana" w:hAnsi="Verdana" w:eastAsia="Times New Roman"/>
          <w:bCs/>
          <w:sz w:val="18"/>
          <w:szCs w:val="18"/>
          <w:lang w:eastAsia="nl-NL"/>
        </w:rPr>
        <w:t>zodat</w:t>
      </w:r>
      <w:r w:rsidR="006033DF">
        <w:rPr>
          <w:rFonts w:ascii="Verdana" w:hAnsi="Verdana" w:eastAsia="Times New Roman"/>
          <w:bCs/>
          <w:sz w:val="18"/>
          <w:szCs w:val="18"/>
          <w:lang w:eastAsia="nl-NL"/>
        </w:rPr>
        <w:t xml:space="preserve"> burgers </w:t>
      </w:r>
      <w:r w:rsidRPr="006033DF" w:rsidR="006033DF">
        <w:rPr>
          <w:rFonts w:ascii="Verdana" w:hAnsi="Verdana" w:eastAsia="Times New Roman"/>
          <w:bCs/>
          <w:sz w:val="18"/>
          <w:szCs w:val="18"/>
          <w:lang w:eastAsia="nl-NL"/>
        </w:rPr>
        <w:t xml:space="preserve">hun financiën beter kunnen beheren en vermogen kunnen opbouwen, bijvoorbeeld via </w:t>
      </w:r>
      <w:r w:rsidR="006033DF">
        <w:rPr>
          <w:rFonts w:ascii="Verdana" w:hAnsi="Verdana" w:eastAsia="Times New Roman"/>
          <w:bCs/>
          <w:sz w:val="18"/>
          <w:szCs w:val="18"/>
          <w:lang w:eastAsia="nl-NL"/>
        </w:rPr>
        <w:t>(</w:t>
      </w:r>
      <w:proofErr w:type="spellStart"/>
      <w:r w:rsidR="006033DF">
        <w:rPr>
          <w:rFonts w:ascii="Verdana" w:hAnsi="Verdana" w:eastAsia="Times New Roman"/>
          <w:bCs/>
          <w:sz w:val="18"/>
          <w:szCs w:val="18"/>
          <w:lang w:eastAsia="nl-NL"/>
        </w:rPr>
        <w:t>retail</w:t>
      </w:r>
      <w:proofErr w:type="spellEnd"/>
      <w:r w:rsidR="006033DF">
        <w:rPr>
          <w:rFonts w:ascii="Verdana" w:hAnsi="Verdana" w:eastAsia="Times New Roman"/>
          <w:bCs/>
          <w:sz w:val="18"/>
          <w:szCs w:val="18"/>
          <w:lang w:eastAsia="nl-NL"/>
        </w:rPr>
        <w:t>)</w:t>
      </w:r>
      <w:r w:rsidRPr="006033DF" w:rsidR="006033DF">
        <w:rPr>
          <w:rFonts w:ascii="Verdana" w:hAnsi="Verdana" w:eastAsia="Times New Roman"/>
          <w:bCs/>
          <w:sz w:val="18"/>
          <w:szCs w:val="18"/>
          <w:lang w:eastAsia="nl-NL"/>
        </w:rPr>
        <w:t>beleggen</w:t>
      </w:r>
      <w:r w:rsidR="006033DF">
        <w:rPr>
          <w:rFonts w:ascii="Verdana" w:hAnsi="Verdana" w:eastAsia="Times New Roman"/>
          <w:bCs/>
          <w:sz w:val="18"/>
          <w:szCs w:val="18"/>
          <w:lang w:eastAsia="nl-NL"/>
        </w:rPr>
        <w:t xml:space="preserve">. </w:t>
      </w:r>
      <w:r w:rsidRPr="005E13C5">
        <w:rPr>
          <w:rFonts w:ascii="Verdana" w:hAnsi="Verdana" w:eastAsia="Times New Roman"/>
          <w:bCs/>
          <w:sz w:val="18"/>
          <w:szCs w:val="18"/>
          <w:lang w:eastAsia="nl-NL"/>
        </w:rPr>
        <w:t>Daarvan profiteren zowel burgers als de bredere economie. Het kabinet moedigt meer aandacht voor financiële geletterdheid aan</w:t>
      </w:r>
      <w:r w:rsidR="00D550C8">
        <w:rPr>
          <w:rFonts w:ascii="Verdana" w:hAnsi="Verdana" w:eastAsia="Times New Roman"/>
          <w:bCs/>
          <w:sz w:val="18"/>
          <w:szCs w:val="18"/>
          <w:lang w:eastAsia="nl-NL"/>
        </w:rPr>
        <w:t xml:space="preserve">. </w:t>
      </w:r>
      <w:bookmarkStart w:name="_Hlk219121194" w:id="1"/>
      <w:r w:rsidR="00D550C8">
        <w:rPr>
          <w:rFonts w:ascii="Verdana" w:hAnsi="Verdana" w:eastAsia="Times New Roman"/>
          <w:bCs/>
          <w:sz w:val="18"/>
          <w:szCs w:val="18"/>
          <w:lang w:eastAsia="nl-NL"/>
        </w:rPr>
        <w:t xml:space="preserve">Door samenwerking tussen lidstaten en relevante stakeholders te stimuleren, </w:t>
      </w:r>
      <w:r w:rsidRPr="000C4428">
        <w:rPr>
          <w:rFonts w:ascii="Verdana" w:hAnsi="Verdana" w:eastAsia="Times New Roman"/>
          <w:bCs/>
          <w:i/>
          <w:iCs/>
          <w:sz w:val="18"/>
          <w:szCs w:val="18"/>
          <w:lang w:eastAsia="nl-NL"/>
        </w:rPr>
        <w:t xml:space="preserve">best </w:t>
      </w:r>
      <w:proofErr w:type="spellStart"/>
      <w:r w:rsidRPr="000C4428">
        <w:rPr>
          <w:rFonts w:ascii="Verdana" w:hAnsi="Verdana" w:eastAsia="Times New Roman"/>
          <w:bCs/>
          <w:i/>
          <w:iCs/>
          <w:sz w:val="18"/>
          <w:szCs w:val="18"/>
          <w:lang w:eastAsia="nl-NL"/>
        </w:rPr>
        <w:t>practi</w:t>
      </w:r>
      <w:r w:rsidRPr="000C4428" w:rsidR="00D550C8">
        <w:rPr>
          <w:rFonts w:ascii="Verdana" w:hAnsi="Verdana" w:eastAsia="Times New Roman"/>
          <w:bCs/>
          <w:i/>
          <w:iCs/>
          <w:sz w:val="18"/>
          <w:szCs w:val="18"/>
          <w:lang w:eastAsia="nl-NL"/>
        </w:rPr>
        <w:t>c</w:t>
      </w:r>
      <w:r w:rsidRPr="000C4428">
        <w:rPr>
          <w:rFonts w:ascii="Verdana" w:hAnsi="Verdana" w:eastAsia="Times New Roman"/>
          <w:bCs/>
          <w:i/>
          <w:iCs/>
          <w:sz w:val="18"/>
          <w:szCs w:val="18"/>
          <w:lang w:eastAsia="nl-NL"/>
        </w:rPr>
        <w:t>es</w:t>
      </w:r>
      <w:proofErr w:type="spellEnd"/>
      <w:r w:rsidR="00D550C8">
        <w:rPr>
          <w:rFonts w:ascii="Verdana" w:hAnsi="Verdana" w:eastAsia="Times New Roman"/>
          <w:bCs/>
          <w:sz w:val="18"/>
          <w:szCs w:val="18"/>
          <w:lang w:eastAsia="nl-NL"/>
        </w:rPr>
        <w:t xml:space="preserve"> te delen en financieringsmogelijkheden te bieden, kan </w:t>
      </w:r>
      <w:r w:rsidRPr="00D550C8" w:rsidR="00D550C8">
        <w:rPr>
          <w:rFonts w:ascii="Verdana" w:hAnsi="Verdana" w:eastAsia="Times New Roman"/>
          <w:bCs/>
          <w:sz w:val="18"/>
          <w:szCs w:val="18"/>
          <w:lang w:eastAsia="nl-NL"/>
        </w:rPr>
        <w:t xml:space="preserve">de </w:t>
      </w:r>
      <w:r w:rsidR="00DC5D6B">
        <w:rPr>
          <w:rFonts w:ascii="Verdana" w:hAnsi="Verdana" w:eastAsia="Times New Roman"/>
          <w:bCs/>
          <w:sz w:val="18"/>
          <w:szCs w:val="18"/>
          <w:lang w:eastAsia="nl-NL"/>
        </w:rPr>
        <w:t>Commissie</w:t>
      </w:r>
      <w:r w:rsidRPr="00D550C8" w:rsidR="00DC5D6B">
        <w:rPr>
          <w:rFonts w:ascii="Verdana" w:hAnsi="Verdana" w:eastAsia="Times New Roman"/>
          <w:bCs/>
          <w:sz w:val="18"/>
          <w:szCs w:val="18"/>
          <w:lang w:eastAsia="nl-NL"/>
        </w:rPr>
        <w:t xml:space="preserve"> </w:t>
      </w:r>
      <w:r w:rsidR="00D550C8">
        <w:rPr>
          <w:rFonts w:ascii="Verdana" w:hAnsi="Verdana" w:eastAsia="Times New Roman"/>
          <w:bCs/>
          <w:sz w:val="18"/>
          <w:szCs w:val="18"/>
          <w:lang w:eastAsia="nl-NL"/>
        </w:rPr>
        <w:t>een ondersteunende rol vervullen en li</w:t>
      </w:r>
      <w:r w:rsidRPr="00D550C8" w:rsidR="00D550C8">
        <w:rPr>
          <w:rFonts w:ascii="Verdana" w:hAnsi="Verdana" w:eastAsia="Times New Roman"/>
          <w:bCs/>
          <w:sz w:val="18"/>
          <w:szCs w:val="18"/>
          <w:lang w:eastAsia="nl-NL"/>
        </w:rPr>
        <w:t xml:space="preserve">dstaten </w:t>
      </w:r>
      <w:r w:rsidR="00D550C8">
        <w:rPr>
          <w:rFonts w:ascii="Verdana" w:hAnsi="Verdana" w:eastAsia="Times New Roman"/>
          <w:bCs/>
          <w:sz w:val="18"/>
          <w:szCs w:val="18"/>
          <w:lang w:eastAsia="nl-NL"/>
        </w:rPr>
        <w:t>helpen h</w:t>
      </w:r>
      <w:r w:rsidRPr="00D550C8" w:rsidR="00D550C8">
        <w:rPr>
          <w:rFonts w:ascii="Verdana" w:hAnsi="Verdana" w:eastAsia="Times New Roman"/>
          <w:bCs/>
          <w:sz w:val="18"/>
          <w:szCs w:val="18"/>
          <w:lang w:eastAsia="nl-NL"/>
        </w:rPr>
        <w:t>un initiatieven op het gebied van financiële geletterdheid verder te</w:t>
      </w:r>
      <w:r w:rsidR="00D550C8">
        <w:rPr>
          <w:rFonts w:ascii="Verdana" w:hAnsi="Verdana" w:eastAsia="Times New Roman"/>
          <w:bCs/>
          <w:sz w:val="18"/>
          <w:szCs w:val="18"/>
          <w:lang w:eastAsia="nl-NL"/>
        </w:rPr>
        <w:t xml:space="preserve"> ontwikkelen en te versterken.</w:t>
      </w:r>
      <w:r w:rsidRPr="005E13C5">
        <w:rPr>
          <w:rFonts w:ascii="Verdana" w:hAnsi="Verdana" w:eastAsia="Times New Roman"/>
          <w:bCs/>
          <w:i/>
          <w:iCs/>
          <w:sz w:val="18"/>
          <w:szCs w:val="18"/>
          <w:lang w:eastAsia="nl-NL"/>
        </w:rPr>
        <w:t xml:space="preserve"> </w:t>
      </w:r>
    </w:p>
    <w:bookmarkEnd w:id="1"/>
    <w:p w:rsidRPr="005E13C5" w:rsidR="005E13C5" w:rsidP="005E13C5" w:rsidRDefault="005E13C5" w14:paraId="584E9ABA" w14:textId="77777777">
      <w:pPr>
        <w:pStyle w:val="Geenafstand"/>
        <w:rPr>
          <w:rFonts w:ascii="Verdana" w:hAnsi="Verdana" w:eastAsia="Times New Roman"/>
          <w:bCs/>
          <w:sz w:val="18"/>
          <w:szCs w:val="18"/>
          <w:lang w:eastAsia="nl-NL"/>
        </w:rPr>
      </w:pPr>
    </w:p>
    <w:p w:rsidR="005E13C5" w:rsidP="005E13C5" w:rsidRDefault="005E13C5" w14:paraId="5A92BFB7" w14:textId="77777777">
      <w:pPr>
        <w:pStyle w:val="Geenafstand"/>
        <w:rPr>
          <w:rFonts w:ascii="Verdana" w:hAnsi="Verdana" w:eastAsia="Times New Roman"/>
          <w:bCs/>
          <w:sz w:val="18"/>
          <w:szCs w:val="18"/>
          <w:lang w:eastAsia="nl-NL"/>
        </w:rPr>
      </w:pPr>
      <w:r w:rsidRPr="005E13C5">
        <w:rPr>
          <w:rFonts w:ascii="Verdana" w:hAnsi="Verdana" w:eastAsia="Times New Roman"/>
          <w:bCs/>
          <w:i/>
          <w:iCs/>
          <w:sz w:val="18"/>
          <w:szCs w:val="18"/>
          <w:lang w:eastAsia="nl-NL"/>
        </w:rPr>
        <w:t>Deze leden vragen het kabinet of het kabinet kan garanderen dat Nederland niet weer, als braafste jongetje van de klas, allerlei nationale koppen gaat introduceren om zo vorm te geven aan voorliggende voorstel</w:t>
      </w:r>
      <w:r w:rsidRPr="005E13C5">
        <w:rPr>
          <w:rFonts w:ascii="Verdana" w:hAnsi="Verdana" w:eastAsia="Times New Roman"/>
          <w:bCs/>
          <w:sz w:val="18"/>
          <w:szCs w:val="18"/>
          <w:lang w:eastAsia="nl-NL"/>
        </w:rPr>
        <w:t>.</w:t>
      </w:r>
    </w:p>
    <w:p w:rsidRPr="005E13C5" w:rsidR="005D078F" w:rsidP="005E13C5" w:rsidRDefault="005D078F" w14:paraId="62A5C528" w14:textId="77777777">
      <w:pPr>
        <w:pStyle w:val="Geenafstand"/>
        <w:rPr>
          <w:rFonts w:ascii="Verdana" w:hAnsi="Verdana" w:eastAsia="Times New Roman"/>
          <w:bCs/>
          <w:sz w:val="18"/>
          <w:szCs w:val="18"/>
          <w:lang w:eastAsia="nl-NL"/>
        </w:rPr>
      </w:pPr>
    </w:p>
    <w:p w:rsidRPr="005E13C5" w:rsidR="005E13C5" w:rsidP="005E13C5" w:rsidRDefault="00DC5D6B" w14:paraId="686ABFAF" w14:textId="6F6B67F9">
      <w:pPr>
        <w:pStyle w:val="Geenafstand"/>
        <w:rPr>
          <w:rFonts w:ascii="Verdana" w:hAnsi="Verdana" w:eastAsia="Times New Roman"/>
          <w:bCs/>
          <w:sz w:val="18"/>
          <w:szCs w:val="18"/>
          <w:lang w:eastAsia="nl-NL"/>
        </w:rPr>
      </w:pPr>
      <w:r>
        <w:rPr>
          <w:rFonts w:ascii="Verdana" w:hAnsi="Verdana" w:eastAsia="Times New Roman"/>
          <w:bCs/>
          <w:sz w:val="18"/>
          <w:szCs w:val="18"/>
          <w:lang w:eastAsia="nl-NL"/>
        </w:rPr>
        <w:t>De</w:t>
      </w:r>
      <w:r w:rsidR="00B70006">
        <w:rPr>
          <w:rFonts w:ascii="Verdana" w:hAnsi="Verdana" w:eastAsia="Times New Roman"/>
          <w:bCs/>
          <w:sz w:val="18"/>
          <w:szCs w:val="18"/>
          <w:lang w:eastAsia="nl-NL"/>
        </w:rPr>
        <w:t xml:space="preserve"> strategie voor</w:t>
      </w:r>
      <w:r>
        <w:rPr>
          <w:rFonts w:ascii="Verdana" w:hAnsi="Verdana" w:eastAsia="Times New Roman"/>
          <w:bCs/>
          <w:sz w:val="18"/>
          <w:szCs w:val="18"/>
          <w:lang w:eastAsia="nl-NL"/>
        </w:rPr>
        <w:t xml:space="preserve"> financiële geletterdheid van de Commissie is een zogenaamde</w:t>
      </w:r>
      <w:r w:rsidR="00A24C26">
        <w:rPr>
          <w:rFonts w:ascii="Verdana" w:hAnsi="Verdana" w:eastAsia="Times New Roman"/>
          <w:bCs/>
          <w:sz w:val="18"/>
          <w:szCs w:val="18"/>
          <w:lang w:eastAsia="nl-NL"/>
        </w:rPr>
        <w:t xml:space="preserve"> </w:t>
      </w:r>
      <w:r w:rsidR="008E505F">
        <w:rPr>
          <w:rFonts w:ascii="Verdana" w:hAnsi="Verdana" w:eastAsia="Times New Roman"/>
          <w:bCs/>
          <w:sz w:val="18"/>
          <w:szCs w:val="18"/>
          <w:lang w:eastAsia="nl-NL"/>
        </w:rPr>
        <w:t>mededeling</w:t>
      </w:r>
      <w:r>
        <w:rPr>
          <w:rFonts w:ascii="Verdana" w:hAnsi="Verdana" w:eastAsia="Times New Roman"/>
          <w:bCs/>
          <w:sz w:val="18"/>
          <w:szCs w:val="18"/>
          <w:lang w:eastAsia="nl-NL"/>
        </w:rPr>
        <w:t>. Dit is een instrument</w:t>
      </w:r>
      <w:r w:rsidR="008E505F">
        <w:rPr>
          <w:rFonts w:ascii="Verdana" w:hAnsi="Verdana" w:eastAsia="Times New Roman"/>
          <w:bCs/>
          <w:sz w:val="18"/>
          <w:szCs w:val="18"/>
          <w:lang w:eastAsia="nl-NL"/>
        </w:rPr>
        <w:t xml:space="preserve"> van de Commissie</w:t>
      </w:r>
      <w:r>
        <w:rPr>
          <w:rFonts w:ascii="Verdana" w:hAnsi="Verdana" w:eastAsia="Times New Roman"/>
          <w:bCs/>
          <w:sz w:val="18"/>
          <w:szCs w:val="18"/>
          <w:lang w:eastAsia="nl-NL"/>
        </w:rPr>
        <w:t xml:space="preserve"> om een standpunt of beleidsvisie toe te lichten. Het betreft dus geen wetgevingshandeling en</w:t>
      </w:r>
      <w:r w:rsidRPr="005E13C5" w:rsidR="005E13C5">
        <w:rPr>
          <w:rFonts w:ascii="Verdana" w:hAnsi="Verdana" w:eastAsia="Times New Roman"/>
          <w:bCs/>
          <w:sz w:val="18"/>
          <w:szCs w:val="18"/>
          <w:lang w:eastAsia="nl-NL"/>
        </w:rPr>
        <w:t xml:space="preserve"> daarmee zijn nationale koppen niet aan de orde. </w:t>
      </w:r>
    </w:p>
    <w:p w:rsidRPr="005E13C5" w:rsidR="005E13C5" w:rsidP="005E13C5" w:rsidRDefault="005E13C5" w14:paraId="62488399" w14:textId="77777777">
      <w:pPr>
        <w:pStyle w:val="Geenafstand"/>
        <w:rPr>
          <w:rFonts w:ascii="Verdana" w:hAnsi="Verdana" w:eastAsia="Times New Roman"/>
          <w:bCs/>
          <w:sz w:val="18"/>
          <w:szCs w:val="18"/>
          <w:lang w:eastAsia="nl-NL"/>
        </w:rPr>
      </w:pPr>
    </w:p>
    <w:p w:rsidR="005E13C5" w:rsidP="005E13C5" w:rsidRDefault="005E13C5" w14:paraId="12ED7B6C" w14:textId="77777777">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Tot slot vragen de leden van de PVV-fractie of de uitvoering van het voorliggende voorstel leidt tot kosten voor de Nederlandse belastingbetaler. Deze leden verzoeken het kabinet om te verduidelijken welke kosten het voorstel met zich meebrengt.</w:t>
      </w:r>
    </w:p>
    <w:p w:rsidRPr="005E13C5" w:rsidR="005D078F" w:rsidP="005E13C5" w:rsidRDefault="005D078F" w14:paraId="0F31AC76" w14:textId="77777777">
      <w:pPr>
        <w:pStyle w:val="Geenafstand"/>
        <w:rPr>
          <w:rFonts w:ascii="Verdana" w:hAnsi="Verdana" w:eastAsia="Times New Roman"/>
          <w:bCs/>
          <w:i/>
          <w:iCs/>
          <w:sz w:val="18"/>
          <w:szCs w:val="18"/>
          <w:lang w:eastAsia="nl-NL"/>
        </w:rPr>
      </w:pPr>
    </w:p>
    <w:p w:rsidRPr="005E13C5" w:rsidR="005E13C5" w:rsidP="005E13C5" w:rsidRDefault="005E13C5" w14:paraId="05F5B22F" w14:textId="11984C25">
      <w:pPr>
        <w:pStyle w:val="Geenafstand"/>
        <w:rPr>
          <w:rFonts w:ascii="Verdana" w:hAnsi="Verdana" w:eastAsia="Times New Roman"/>
          <w:bCs/>
          <w:sz w:val="18"/>
          <w:szCs w:val="18"/>
          <w:lang w:eastAsia="nl-NL"/>
        </w:rPr>
      </w:pPr>
      <w:r w:rsidRPr="005E13C5">
        <w:rPr>
          <w:rFonts w:ascii="Verdana" w:hAnsi="Verdana" w:eastAsia="Times New Roman"/>
          <w:bCs/>
          <w:sz w:val="18"/>
          <w:szCs w:val="18"/>
          <w:lang w:eastAsia="nl-NL"/>
        </w:rPr>
        <w:t xml:space="preserve">Met dit voorstel zijn geen extra kosten gemoeid. Zoals in het fiche wordt </w:t>
      </w:r>
      <w:r w:rsidR="00B70006">
        <w:rPr>
          <w:rFonts w:ascii="Verdana" w:hAnsi="Verdana" w:eastAsia="Times New Roman"/>
          <w:bCs/>
          <w:sz w:val="18"/>
          <w:szCs w:val="18"/>
          <w:lang w:eastAsia="nl-NL"/>
        </w:rPr>
        <w:t>g</w:t>
      </w:r>
      <w:r w:rsidRPr="005E13C5">
        <w:rPr>
          <w:rFonts w:ascii="Verdana" w:hAnsi="Verdana" w:eastAsia="Times New Roman"/>
          <w:bCs/>
          <w:sz w:val="18"/>
          <w:szCs w:val="18"/>
          <w:lang w:eastAsia="nl-NL"/>
        </w:rPr>
        <w:t xml:space="preserve">enoemd stelt de Commissie voor om al haar inspanningen in te passen binnen de in de Raad afgesproken financiële kaders van de EU-begroting 2021-2027 en hebben de voorstellen geen invloed op de rijksbegroting. </w:t>
      </w:r>
    </w:p>
    <w:p w:rsidRPr="005E13C5" w:rsidR="005E13C5" w:rsidP="005E13C5" w:rsidRDefault="005E13C5" w14:paraId="4072D3C8" w14:textId="6BA428EE">
      <w:pPr>
        <w:pStyle w:val="Geenafstand"/>
        <w:rPr>
          <w:rFonts w:ascii="Verdana" w:hAnsi="Verdana" w:eastAsia="Times New Roman"/>
          <w:b/>
          <w:sz w:val="18"/>
          <w:szCs w:val="18"/>
          <w:lang w:eastAsia="nl-NL"/>
        </w:rPr>
      </w:pPr>
    </w:p>
    <w:p w:rsidR="005E13C5" w:rsidP="005E13C5" w:rsidRDefault="005E13C5" w14:paraId="10337C92" w14:textId="77777777">
      <w:pPr>
        <w:pStyle w:val="Geenafstand"/>
        <w:rPr>
          <w:rFonts w:ascii="Verdana" w:hAnsi="Verdana" w:eastAsia="Times New Roman"/>
          <w:b/>
          <w:sz w:val="18"/>
          <w:szCs w:val="18"/>
          <w:lang w:eastAsia="nl-NL"/>
        </w:rPr>
      </w:pPr>
      <w:r w:rsidRPr="005E13C5">
        <w:rPr>
          <w:rFonts w:ascii="Verdana" w:hAnsi="Verdana" w:eastAsia="Times New Roman"/>
          <w:b/>
          <w:sz w:val="18"/>
          <w:szCs w:val="18"/>
          <w:lang w:eastAsia="nl-NL"/>
        </w:rPr>
        <w:t>Vragen en opmerkingen van de leden van de VVD-fractie</w:t>
      </w:r>
    </w:p>
    <w:p w:rsidRPr="005E13C5" w:rsidR="005D078F" w:rsidP="005E13C5" w:rsidRDefault="005D078F" w14:paraId="67FBCCFF" w14:textId="77777777">
      <w:pPr>
        <w:pStyle w:val="Geenafstand"/>
        <w:rPr>
          <w:rFonts w:ascii="Verdana" w:hAnsi="Verdana" w:eastAsia="Times New Roman"/>
          <w:b/>
          <w:sz w:val="18"/>
          <w:szCs w:val="18"/>
          <w:lang w:eastAsia="nl-NL"/>
        </w:rPr>
      </w:pPr>
    </w:p>
    <w:p w:rsidR="005E13C5" w:rsidP="005E13C5" w:rsidRDefault="005E13C5" w14:paraId="58F9AA1B" w14:textId="77777777">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 xml:space="preserve">De leden van de VVD-fractie zijn voorstander van het waar opportuun gelijktrekken van regels tussen Europese lidstaten om zo te komen tot een diepere kapitaalmarkt. Nederlandse bedrijven, </w:t>
      </w:r>
      <w:r w:rsidRPr="005E13C5">
        <w:rPr>
          <w:rFonts w:ascii="Verdana" w:hAnsi="Verdana" w:eastAsia="Times New Roman"/>
          <w:bCs/>
          <w:i/>
          <w:iCs/>
          <w:sz w:val="18"/>
          <w:szCs w:val="18"/>
          <w:lang w:eastAsia="nl-NL"/>
        </w:rPr>
        <w:lastRenderedPageBreak/>
        <w:t xml:space="preserve">zeker </w:t>
      </w:r>
      <w:proofErr w:type="spellStart"/>
      <w:r w:rsidRPr="005E13C5">
        <w:rPr>
          <w:rFonts w:ascii="Verdana" w:hAnsi="Verdana" w:eastAsia="Times New Roman"/>
          <w:bCs/>
          <w:i/>
          <w:iCs/>
          <w:sz w:val="18"/>
          <w:szCs w:val="18"/>
          <w:lang w:eastAsia="nl-NL"/>
        </w:rPr>
        <w:t>scale</w:t>
      </w:r>
      <w:proofErr w:type="spellEnd"/>
      <w:r w:rsidRPr="005E13C5">
        <w:rPr>
          <w:rFonts w:ascii="Verdana" w:hAnsi="Verdana" w:eastAsia="Times New Roman"/>
          <w:bCs/>
          <w:i/>
          <w:iCs/>
          <w:sz w:val="18"/>
          <w:szCs w:val="18"/>
          <w:lang w:eastAsia="nl-NL"/>
        </w:rPr>
        <w:t xml:space="preserve">-ups, hebben moeite om aan financiering te komen, waardoor de groei van deze bedrijven stokt. Dit zet onze economische groei en daarmee onze welvaart onder druk; zonder florerende bedrijven, ook geen goedbetaalde banen, zo merken deze leden op. Het is daarom nodig om een been bij te trekken en het bevorderen van financiële geletterdheid kan bijdragen aan een beter functionerende kapitaalmarkt, zo menen deze leden. </w:t>
      </w:r>
    </w:p>
    <w:p w:rsidRPr="005E13C5" w:rsidR="005D078F" w:rsidP="005E13C5" w:rsidRDefault="005D078F" w14:paraId="544BDD16" w14:textId="77777777">
      <w:pPr>
        <w:pStyle w:val="Geenafstand"/>
        <w:rPr>
          <w:rFonts w:ascii="Verdana" w:hAnsi="Verdana" w:eastAsia="Times New Roman"/>
          <w:bCs/>
          <w:i/>
          <w:iCs/>
          <w:sz w:val="18"/>
          <w:szCs w:val="18"/>
          <w:lang w:eastAsia="nl-NL"/>
        </w:rPr>
      </w:pPr>
    </w:p>
    <w:p w:rsidRPr="005E13C5" w:rsidR="005E13C5" w:rsidP="005E13C5" w:rsidRDefault="005E13C5" w14:paraId="775F1682" w14:textId="77777777">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Subsidiariteit</w:t>
      </w:r>
    </w:p>
    <w:p w:rsidR="005E13C5" w:rsidP="005E13C5" w:rsidRDefault="005E13C5" w14:paraId="15EF6ABF" w14:textId="77777777">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 xml:space="preserve">Deze leden zijn echter onvoldoende overtuigd van de subsidiariteit van het plan voor financiële geletterdheid van de Europese Commissie. Deze leden lezen dat het kabinet de subsidiariteit rechtvaardigt omwille van het ‘grensoverschrijdende karakter van het vrij verkeer van kapitaal en betalingen’. Deze leden vinden dit een ontoereikende toelichting op het subsidiariteitsbeginsel en ontvangen graag een uitgebreidere toelichting van het kabinet. </w:t>
      </w:r>
      <w:bookmarkStart w:name="_Hlk219121617" w:id="2"/>
      <w:r w:rsidRPr="005E13C5">
        <w:rPr>
          <w:rFonts w:ascii="Verdana" w:hAnsi="Verdana" w:eastAsia="Times New Roman"/>
          <w:bCs/>
          <w:i/>
          <w:iCs/>
          <w:sz w:val="18"/>
          <w:szCs w:val="18"/>
          <w:lang w:eastAsia="nl-NL"/>
        </w:rPr>
        <w:t>Het bevorderen van financiële geletterdheid is belangrijk, maar dit kan ook op nationaal niveau gebeuren, zo menen deze leden</w:t>
      </w:r>
      <w:bookmarkEnd w:id="2"/>
      <w:r w:rsidRPr="005E13C5">
        <w:rPr>
          <w:rFonts w:ascii="Verdana" w:hAnsi="Verdana" w:eastAsia="Times New Roman"/>
          <w:bCs/>
          <w:i/>
          <w:iCs/>
          <w:sz w:val="18"/>
          <w:szCs w:val="18"/>
          <w:lang w:eastAsia="nl-NL"/>
        </w:rPr>
        <w:t>. Deze leden zijn nog onvoldoende overtuigd van de subsidiariteit voor bijvoorbeeld het plan voor een EU-brede campagne voor financiële geletterdheid en het opzetten van een website voor een overzicht van financieringsmogelijkheden voor onderzoek naar financiële geletterdheid.</w:t>
      </w:r>
    </w:p>
    <w:p w:rsidRPr="005E13C5" w:rsidR="005D078F" w:rsidP="005E13C5" w:rsidRDefault="005D078F" w14:paraId="6E694333" w14:textId="77777777">
      <w:pPr>
        <w:pStyle w:val="Geenafstand"/>
        <w:rPr>
          <w:rFonts w:ascii="Verdana" w:hAnsi="Verdana" w:eastAsia="Times New Roman"/>
          <w:bCs/>
          <w:i/>
          <w:iCs/>
          <w:sz w:val="18"/>
          <w:szCs w:val="18"/>
          <w:lang w:eastAsia="nl-NL"/>
        </w:rPr>
      </w:pPr>
    </w:p>
    <w:p w:rsidR="00873AE4" w:rsidP="005E13C5" w:rsidRDefault="00983E5E" w14:paraId="58F275A8" w14:textId="69582D64">
      <w:pPr>
        <w:pStyle w:val="Geenafstand"/>
        <w:rPr>
          <w:rFonts w:ascii="Verdana" w:hAnsi="Verdana" w:eastAsia="Times New Roman"/>
          <w:bCs/>
          <w:sz w:val="18"/>
          <w:szCs w:val="18"/>
          <w:lang w:eastAsia="nl-NL"/>
        </w:rPr>
      </w:pPr>
      <w:r w:rsidRPr="00983E5E">
        <w:rPr>
          <w:rFonts w:ascii="Verdana" w:hAnsi="Verdana" w:eastAsia="Times New Roman"/>
          <w:bCs/>
          <w:sz w:val="18"/>
          <w:szCs w:val="18"/>
          <w:lang w:eastAsia="nl-NL"/>
        </w:rPr>
        <w:t xml:space="preserve">Door de financiële geletterdheid </w:t>
      </w:r>
      <w:r w:rsidR="003E2FE9">
        <w:rPr>
          <w:rFonts w:ascii="Verdana" w:hAnsi="Verdana" w:eastAsia="Times New Roman"/>
          <w:bCs/>
          <w:sz w:val="18"/>
          <w:szCs w:val="18"/>
          <w:lang w:eastAsia="nl-NL"/>
        </w:rPr>
        <w:t xml:space="preserve">van burgers </w:t>
      </w:r>
      <w:r w:rsidRPr="00983E5E">
        <w:rPr>
          <w:rFonts w:ascii="Verdana" w:hAnsi="Verdana" w:eastAsia="Times New Roman"/>
          <w:bCs/>
          <w:sz w:val="18"/>
          <w:szCs w:val="18"/>
          <w:lang w:eastAsia="nl-NL"/>
        </w:rPr>
        <w:t xml:space="preserve">te vergroten, neemt de participatie in en het gebruik van kapitaalmarkten toe. Dit helpt om het volledige potentieel van het vrij verkeer van kapitaal en betalingen binnen de interne markt van de EU te benutten. </w:t>
      </w:r>
      <w:r w:rsidR="00E03D3E">
        <w:rPr>
          <w:rFonts w:ascii="Verdana" w:hAnsi="Verdana" w:eastAsia="Times New Roman"/>
          <w:bCs/>
          <w:sz w:val="18"/>
          <w:szCs w:val="18"/>
          <w:lang w:eastAsia="nl-NL"/>
        </w:rPr>
        <w:t>De strategie van de Commissie</w:t>
      </w:r>
      <w:r w:rsidRPr="002E40D1" w:rsidR="00E03D3E">
        <w:rPr>
          <w:rFonts w:ascii="Verdana" w:hAnsi="Verdana" w:eastAsia="Times New Roman" w:cs="Verdana"/>
          <w:color w:val="000000"/>
          <w:sz w:val="18"/>
          <w:szCs w:val="18"/>
          <w:lang w:eastAsia="ja-JP"/>
        </w:rPr>
        <w:t xml:space="preserve"> </w:t>
      </w:r>
      <w:r w:rsidR="00E03D3E">
        <w:rPr>
          <w:rFonts w:ascii="Verdana" w:hAnsi="Verdana" w:eastAsia="Times New Roman"/>
          <w:bCs/>
          <w:sz w:val="18"/>
          <w:szCs w:val="18"/>
          <w:lang w:eastAsia="nl-NL"/>
        </w:rPr>
        <w:t>dient</w:t>
      </w:r>
      <w:r w:rsidRPr="002E40D1" w:rsidR="00E03D3E">
        <w:rPr>
          <w:rFonts w:ascii="Verdana" w:hAnsi="Verdana" w:eastAsia="Times New Roman"/>
          <w:bCs/>
          <w:sz w:val="18"/>
          <w:szCs w:val="18"/>
          <w:lang w:eastAsia="nl-NL"/>
        </w:rPr>
        <w:t xml:space="preserve"> als aanvulling op en versterking van bestaand</w:t>
      </w:r>
      <w:r w:rsidR="00E03D3E">
        <w:rPr>
          <w:rFonts w:ascii="Verdana" w:hAnsi="Verdana" w:eastAsia="Times New Roman"/>
          <w:bCs/>
          <w:sz w:val="18"/>
          <w:szCs w:val="18"/>
          <w:lang w:eastAsia="nl-NL"/>
        </w:rPr>
        <w:t>, nationaal</w:t>
      </w:r>
      <w:r w:rsidRPr="002E40D1" w:rsidR="00E03D3E">
        <w:rPr>
          <w:rFonts w:ascii="Verdana" w:hAnsi="Verdana" w:eastAsia="Times New Roman"/>
          <w:bCs/>
          <w:sz w:val="18"/>
          <w:szCs w:val="18"/>
          <w:lang w:eastAsia="nl-NL"/>
        </w:rPr>
        <w:t xml:space="preserve"> beleid</w:t>
      </w:r>
      <w:r w:rsidR="00E03D3E">
        <w:rPr>
          <w:rFonts w:ascii="Verdana" w:hAnsi="Verdana" w:eastAsia="Times New Roman"/>
          <w:bCs/>
          <w:sz w:val="18"/>
          <w:szCs w:val="18"/>
          <w:lang w:eastAsia="nl-NL"/>
        </w:rPr>
        <w:t xml:space="preserve">. </w:t>
      </w:r>
      <w:r w:rsidRPr="00873AE4" w:rsidR="00873AE4">
        <w:rPr>
          <w:rFonts w:ascii="Verdana" w:hAnsi="Verdana" w:eastAsia="Times New Roman"/>
          <w:bCs/>
          <w:sz w:val="18"/>
          <w:szCs w:val="18"/>
          <w:lang w:eastAsia="nl-NL"/>
        </w:rPr>
        <w:t xml:space="preserve">Hoewel Nederland </w:t>
      </w:r>
      <w:r w:rsidRPr="00873AE4" w:rsidR="00B70006">
        <w:rPr>
          <w:rFonts w:ascii="Verdana" w:hAnsi="Verdana" w:eastAsia="Times New Roman"/>
          <w:bCs/>
          <w:sz w:val="18"/>
          <w:szCs w:val="18"/>
          <w:lang w:eastAsia="nl-NL"/>
        </w:rPr>
        <w:t>al</w:t>
      </w:r>
      <w:r w:rsidR="004F7AC5">
        <w:rPr>
          <w:rFonts w:ascii="Verdana" w:hAnsi="Verdana" w:eastAsia="Times New Roman"/>
          <w:bCs/>
          <w:sz w:val="18"/>
          <w:szCs w:val="18"/>
          <w:lang w:eastAsia="nl-NL"/>
        </w:rPr>
        <w:t xml:space="preserve"> via onder meer Wijzer in geldzaken</w:t>
      </w:r>
      <w:r w:rsidRPr="00873AE4" w:rsidR="00873AE4">
        <w:rPr>
          <w:rFonts w:ascii="Verdana" w:hAnsi="Verdana" w:eastAsia="Times New Roman"/>
          <w:bCs/>
          <w:sz w:val="18"/>
          <w:szCs w:val="18"/>
          <w:lang w:eastAsia="nl-NL"/>
        </w:rPr>
        <w:t xml:space="preserve"> actief inzet op het vergroten van financiële geletterdheid, </w:t>
      </w:r>
      <w:r w:rsidR="00B70006">
        <w:rPr>
          <w:rFonts w:ascii="Verdana" w:hAnsi="Verdana" w:eastAsia="Times New Roman"/>
          <w:bCs/>
          <w:sz w:val="18"/>
          <w:szCs w:val="18"/>
          <w:lang w:eastAsia="nl-NL"/>
        </w:rPr>
        <w:t>vindt</w:t>
      </w:r>
      <w:r w:rsidRPr="00873AE4" w:rsidR="00873AE4">
        <w:rPr>
          <w:rFonts w:ascii="Verdana" w:hAnsi="Verdana" w:eastAsia="Times New Roman"/>
          <w:bCs/>
          <w:sz w:val="18"/>
          <w:szCs w:val="18"/>
          <w:lang w:eastAsia="nl-NL"/>
        </w:rPr>
        <w:t xml:space="preserve"> het kabinet het delen van best </w:t>
      </w:r>
      <w:proofErr w:type="spellStart"/>
      <w:r w:rsidRPr="00873AE4" w:rsidR="00873AE4">
        <w:rPr>
          <w:rFonts w:ascii="Verdana" w:hAnsi="Verdana" w:eastAsia="Times New Roman"/>
          <w:bCs/>
          <w:sz w:val="18"/>
          <w:szCs w:val="18"/>
          <w:lang w:eastAsia="nl-NL"/>
        </w:rPr>
        <w:t>practices</w:t>
      </w:r>
      <w:proofErr w:type="spellEnd"/>
      <w:r w:rsidRPr="00873AE4" w:rsidR="00873AE4">
        <w:rPr>
          <w:rFonts w:ascii="Verdana" w:hAnsi="Verdana" w:eastAsia="Times New Roman"/>
          <w:bCs/>
          <w:sz w:val="18"/>
          <w:szCs w:val="18"/>
          <w:lang w:eastAsia="nl-NL"/>
        </w:rPr>
        <w:t xml:space="preserve"> uit andere lidstaten – waar bijvoorbeeld een grotere beleggingscultuur heerst – relevant en van toegevoegde waarde voor het nationale beleid</w:t>
      </w:r>
      <w:r w:rsidR="00873AE4">
        <w:rPr>
          <w:rFonts w:ascii="Verdana" w:hAnsi="Verdana" w:eastAsia="Times New Roman"/>
          <w:bCs/>
          <w:sz w:val="18"/>
          <w:szCs w:val="18"/>
          <w:lang w:eastAsia="nl-NL"/>
        </w:rPr>
        <w:t xml:space="preserve">. </w:t>
      </w:r>
      <w:bookmarkStart w:name="_Hlk219122209" w:id="3"/>
      <w:r w:rsidR="00873AE4">
        <w:rPr>
          <w:rFonts w:ascii="Verdana" w:hAnsi="Verdana" w:eastAsia="Times New Roman"/>
          <w:bCs/>
          <w:sz w:val="18"/>
          <w:szCs w:val="18"/>
          <w:lang w:eastAsia="nl-NL"/>
        </w:rPr>
        <w:t>Daarnaast kan h</w:t>
      </w:r>
      <w:r w:rsidRPr="00810FC0" w:rsidR="00810FC0">
        <w:rPr>
          <w:rFonts w:ascii="Verdana" w:hAnsi="Verdana" w:eastAsia="Times New Roman"/>
          <w:bCs/>
          <w:sz w:val="18"/>
          <w:szCs w:val="18"/>
          <w:lang w:eastAsia="nl-NL"/>
        </w:rPr>
        <w:t xml:space="preserve">et bevorderen van </w:t>
      </w:r>
      <w:r w:rsidR="00873AE4">
        <w:rPr>
          <w:rFonts w:ascii="Verdana" w:hAnsi="Verdana" w:eastAsia="Times New Roman"/>
          <w:bCs/>
          <w:sz w:val="18"/>
          <w:szCs w:val="18"/>
          <w:lang w:eastAsia="nl-NL"/>
        </w:rPr>
        <w:t xml:space="preserve">de </w:t>
      </w:r>
      <w:r w:rsidRPr="00810FC0" w:rsidR="00810FC0">
        <w:rPr>
          <w:rFonts w:ascii="Verdana" w:hAnsi="Verdana" w:eastAsia="Times New Roman"/>
          <w:bCs/>
          <w:sz w:val="18"/>
          <w:szCs w:val="18"/>
          <w:lang w:eastAsia="nl-NL"/>
        </w:rPr>
        <w:t xml:space="preserve">samenwerking, bijvoorbeeld </w:t>
      </w:r>
      <w:r w:rsidRPr="00810FC0" w:rsidR="00B70006">
        <w:rPr>
          <w:rFonts w:ascii="Verdana" w:hAnsi="Verdana" w:eastAsia="Times New Roman"/>
          <w:bCs/>
          <w:sz w:val="18"/>
          <w:szCs w:val="18"/>
          <w:lang w:eastAsia="nl-NL"/>
        </w:rPr>
        <w:t>met</w:t>
      </w:r>
      <w:r w:rsidRPr="00810FC0" w:rsidR="00810FC0">
        <w:rPr>
          <w:rFonts w:ascii="Verdana" w:hAnsi="Verdana" w:eastAsia="Times New Roman"/>
          <w:bCs/>
          <w:sz w:val="18"/>
          <w:szCs w:val="18"/>
          <w:lang w:eastAsia="nl-NL"/>
        </w:rPr>
        <w:t xml:space="preserve"> een EU-brede bewustwordingscampagne en het stimuleren van het delen van ervaringen tussen lidstaten</w:t>
      </w:r>
      <w:r w:rsidR="00873AE4">
        <w:rPr>
          <w:rFonts w:ascii="Verdana" w:hAnsi="Verdana" w:eastAsia="Times New Roman"/>
          <w:bCs/>
          <w:sz w:val="18"/>
          <w:szCs w:val="18"/>
          <w:lang w:eastAsia="nl-NL"/>
        </w:rPr>
        <w:t>,</w:t>
      </w:r>
      <w:r w:rsidRPr="00873AE4" w:rsidR="00873AE4">
        <w:rPr>
          <w:rFonts w:ascii="Verdana" w:hAnsi="Verdana" w:eastAsia="Times New Roman"/>
          <w:bCs/>
          <w:sz w:val="18"/>
          <w:szCs w:val="18"/>
          <w:lang w:eastAsia="nl-NL"/>
        </w:rPr>
        <w:t xml:space="preserve"> </w:t>
      </w:r>
      <w:r w:rsidRPr="00810FC0" w:rsidR="00873AE4">
        <w:rPr>
          <w:rFonts w:ascii="Verdana" w:hAnsi="Verdana" w:eastAsia="Times New Roman"/>
          <w:bCs/>
          <w:sz w:val="18"/>
          <w:szCs w:val="18"/>
          <w:lang w:eastAsia="nl-NL"/>
        </w:rPr>
        <w:t>synergievoordelen</w:t>
      </w:r>
      <w:r w:rsidRPr="00810FC0" w:rsidR="00810FC0">
        <w:rPr>
          <w:rFonts w:ascii="Verdana" w:hAnsi="Verdana" w:eastAsia="Times New Roman"/>
          <w:bCs/>
          <w:sz w:val="18"/>
          <w:szCs w:val="18"/>
          <w:lang w:eastAsia="nl-NL"/>
        </w:rPr>
        <w:t xml:space="preserve"> creë</w:t>
      </w:r>
      <w:r w:rsidR="00873AE4">
        <w:rPr>
          <w:rFonts w:ascii="Verdana" w:hAnsi="Verdana" w:eastAsia="Times New Roman"/>
          <w:bCs/>
          <w:sz w:val="18"/>
          <w:szCs w:val="18"/>
          <w:lang w:eastAsia="nl-NL"/>
        </w:rPr>
        <w:t>ren</w:t>
      </w:r>
      <w:r w:rsidRPr="00810FC0" w:rsidR="00810FC0">
        <w:rPr>
          <w:rFonts w:ascii="Verdana" w:hAnsi="Verdana" w:eastAsia="Times New Roman"/>
          <w:bCs/>
          <w:sz w:val="18"/>
          <w:szCs w:val="18"/>
          <w:lang w:eastAsia="nl-NL"/>
        </w:rPr>
        <w:t xml:space="preserve"> waarmee de </w:t>
      </w:r>
      <w:r w:rsidR="00810FC0">
        <w:rPr>
          <w:rFonts w:ascii="Verdana" w:hAnsi="Verdana" w:eastAsia="Times New Roman"/>
          <w:bCs/>
          <w:sz w:val="18"/>
          <w:szCs w:val="18"/>
          <w:lang w:eastAsia="nl-NL"/>
        </w:rPr>
        <w:t>EU</w:t>
      </w:r>
      <w:r w:rsidRPr="00810FC0" w:rsidR="00810FC0">
        <w:rPr>
          <w:rFonts w:ascii="Verdana" w:hAnsi="Verdana" w:eastAsia="Times New Roman"/>
          <w:bCs/>
          <w:sz w:val="18"/>
          <w:szCs w:val="18"/>
          <w:lang w:eastAsia="nl-NL"/>
        </w:rPr>
        <w:t xml:space="preserve"> nationale inspanningen effectief kan ondersteunen en versterken</w:t>
      </w:r>
      <w:bookmarkEnd w:id="3"/>
      <w:r w:rsidRPr="00810FC0" w:rsidR="00810FC0">
        <w:rPr>
          <w:rFonts w:ascii="Verdana" w:hAnsi="Verdana" w:eastAsia="Times New Roman"/>
          <w:bCs/>
          <w:sz w:val="18"/>
          <w:szCs w:val="18"/>
          <w:lang w:eastAsia="nl-NL"/>
        </w:rPr>
        <w:t>.</w:t>
      </w:r>
      <w:r w:rsidR="004F7AC5">
        <w:rPr>
          <w:rFonts w:ascii="Verdana" w:hAnsi="Verdana" w:eastAsia="Times New Roman"/>
          <w:bCs/>
          <w:sz w:val="18"/>
          <w:szCs w:val="18"/>
          <w:lang w:eastAsia="nl-NL"/>
        </w:rPr>
        <w:t xml:space="preserve"> </w:t>
      </w:r>
      <w:r w:rsidRPr="00EE0A4F" w:rsidR="00EE0A4F">
        <w:rPr>
          <w:rFonts w:ascii="Verdana" w:hAnsi="Verdana" w:eastAsia="Times New Roman"/>
          <w:bCs/>
          <w:sz w:val="18"/>
          <w:szCs w:val="18"/>
          <w:lang w:eastAsia="nl-NL"/>
        </w:rPr>
        <w:t xml:space="preserve">Het kabinet vindt het daarbij positief dat verantwoord beleggen een prominente plek heeft in de strategie van de Commissie, omwille van het bevorderen van </w:t>
      </w:r>
      <w:r w:rsidR="005D078F">
        <w:rPr>
          <w:rFonts w:ascii="Verdana" w:hAnsi="Verdana" w:eastAsia="Times New Roman"/>
          <w:bCs/>
          <w:sz w:val="18"/>
          <w:szCs w:val="18"/>
          <w:lang w:eastAsia="nl-NL"/>
        </w:rPr>
        <w:t xml:space="preserve">een </w:t>
      </w:r>
      <w:r w:rsidRPr="00EE0A4F" w:rsidR="00EE0A4F">
        <w:rPr>
          <w:rFonts w:ascii="Verdana" w:hAnsi="Verdana" w:eastAsia="Times New Roman"/>
          <w:bCs/>
          <w:sz w:val="18"/>
          <w:szCs w:val="18"/>
          <w:lang w:eastAsia="nl-NL"/>
        </w:rPr>
        <w:t>Europese kapitaalmarktunie</w:t>
      </w:r>
      <w:bookmarkStart w:name="_Hlk219122279" w:id="4"/>
      <w:r w:rsidRPr="00EE0A4F" w:rsidR="00EE0A4F">
        <w:rPr>
          <w:rFonts w:ascii="Verdana" w:hAnsi="Verdana" w:eastAsia="Times New Roman"/>
          <w:bCs/>
          <w:sz w:val="18"/>
          <w:szCs w:val="18"/>
          <w:lang w:eastAsia="nl-NL"/>
        </w:rPr>
        <w:t xml:space="preserve">. Een hogere financiële geletterdheid en – als gevolg daarvan – </w:t>
      </w:r>
      <w:r w:rsidR="00EE0A4F">
        <w:rPr>
          <w:rFonts w:ascii="Verdana" w:hAnsi="Verdana" w:eastAsia="Times New Roman"/>
          <w:bCs/>
          <w:sz w:val="18"/>
          <w:szCs w:val="18"/>
          <w:lang w:eastAsia="nl-NL"/>
        </w:rPr>
        <w:t>naar verwachting</w:t>
      </w:r>
      <w:r w:rsidRPr="00EE0A4F" w:rsidR="00EE0A4F">
        <w:rPr>
          <w:rFonts w:ascii="Verdana" w:hAnsi="Verdana" w:eastAsia="Times New Roman"/>
          <w:bCs/>
          <w:sz w:val="18"/>
          <w:szCs w:val="18"/>
          <w:lang w:eastAsia="nl-NL"/>
        </w:rPr>
        <w:t xml:space="preserve"> betere financiële gezondheid </w:t>
      </w:r>
      <w:r w:rsidR="005D078F">
        <w:rPr>
          <w:rFonts w:ascii="Verdana" w:hAnsi="Verdana" w:eastAsia="Times New Roman"/>
          <w:bCs/>
          <w:sz w:val="18"/>
          <w:szCs w:val="18"/>
          <w:lang w:eastAsia="nl-NL"/>
        </w:rPr>
        <w:t xml:space="preserve">van burgers </w:t>
      </w:r>
      <w:r w:rsidRPr="00EE0A4F" w:rsidR="00EE0A4F">
        <w:rPr>
          <w:rFonts w:ascii="Verdana" w:hAnsi="Verdana" w:eastAsia="Times New Roman"/>
          <w:bCs/>
          <w:sz w:val="18"/>
          <w:szCs w:val="18"/>
          <w:lang w:eastAsia="nl-NL"/>
        </w:rPr>
        <w:t>dragen bij aan macro-economische en financiële stabiliteit doordat huishoudens hierdoor beter in staat zijn om financiële schokken op te vangen</w:t>
      </w:r>
      <w:bookmarkEnd w:id="4"/>
      <w:r w:rsidRPr="00EE0A4F" w:rsidR="00EE0A4F">
        <w:rPr>
          <w:rFonts w:ascii="Verdana" w:hAnsi="Verdana" w:eastAsia="Times New Roman"/>
          <w:bCs/>
          <w:sz w:val="18"/>
          <w:szCs w:val="18"/>
          <w:lang w:eastAsia="nl-NL"/>
        </w:rPr>
        <w:t>. Dat komt de economie en de hele kapitaalmarkt te goede. Uiteindelijk profiteert Nederland dus ook wanneer de financiële geletterdheid van huishoudens in de hele EU omhooggaat</w:t>
      </w:r>
      <w:r w:rsidR="004D4D74">
        <w:rPr>
          <w:rFonts w:ascii="Verdana" w:hAnsi="Verdana" w:eastAsia="Times New Roman"/>
          <w:bCs/>
          <w:sz w:val="18"/>
          <w:szCs w:val="18"/>
          <w:lang w:eastAsia="nl-NL"/>
        </w:rPr>
        <w:t>.</w:t>
      </w:r>
    </w:p>
    <w:p w:rsidRPr="005E13C5" w:rsidR="00EE0A4F" w:rsidP="005E13C5" w:rsidRDefault="00EE0A4F" w14:paraId="2DF1749B" w14:textId="77777777">
      <w:pPr>
        <w:pStyle w:val="Geenafstand"/>
        <w:rPr>
          <w:rFonts w:ascii="Verdana" w:hAnsi="Verdana" w:eastAsia="Times New Roman"/>
          <w:bCs/>
          <w:sz w:val="18"/>
          <w:szCs w:val="18"/>
          <w:lang w:eastAsia="nl-NL"/>
        </w:rPr>
      </w:pPr>
    </w:p>
    <w:p w:rsidRPr="005E13C5" w:rsidR="005E13C5" w:rsidP="005E13C5" w:rsidRDefault="005E13C5" w14:paraId="6749FBD9" w14:textId="77777777">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Zweden</w:t>
      </w:r>
    </w:p>
    <w:p w:rsidR="005D078F" w:rsidP="005E13C5" w:rsidRDefault="005E13C5" w14:paraId="17CFD9ED" w14:textId="77777777">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 xml:space="preserve">De leden van de VVD-fractie zien tegelijkertijd meerwaarde in het delen van best </w:t>
      </w:r>
      <w:proofErr w:type="spellStart"/>
      <w:r w:rsidRPr="005E13C5">
        <w:rPr>
          <w:rFonts w:ascii="Verdana" w:hAnsi="Verdana" w:eastAsia="Times New Roman"/>
          <w:bCs/>
          <w:i/>
          <w:iCs/>
          <w:sz w:val="18"/>
          <w:szCs w:val="18"/>
          <w:lang w:eastAsia="nl-NL"/>
        </w:rPr>
        <w:t>practices</w:t>
      </w:r>
      <w:proofErr w:type="spellEnd"/>
      <w:r w:rsidRPr="005E13C5">
        <w:rPr>
          <w:rFonts w:ascii="Verdana" w:hAnsi="Verdana" w:eastAsia="Times New Roman"/>
          <w:bCs/>
          <w:i/>
          <w:iCs/>
          <w:sz w:val="18"/>
          <w:szCs w:val="18"/>
          <w:lang w:eastAsia="nl-NL"/>
        </w:rPr>
        <w:t xml:space="preserve"> voor financiële geletterdheid tussen lidstaten, zoals opgenomen in de plannen van de Europese Commissie. Deze leden denken dat Nederland een hoop kan leren van Zweden, waar </w:t>
      </w:r>
      <w:proofErr w:type="gramStart"/>
      <w:r w:rsidRPr="005E13C5">
        <w:rPr>
          <w:rFonts w:ascii="Verdana" w:hAnsi="Verdana" w:eastAsia="Times New Roman"/>
          <w:bCs/>
          <w:i/>
          <w:iCs/>
          <w:sz w:val="18"/>
          <w:szCs w:val="18"/>
          <w:lang w:eastAsia="nl-NL"/>
        </w:rPr>
        <w:t>reeds</w:t>
      </w:r>
      <w:proofErr w:type="gramEnd"/>
      <w:r w:rsidRPr="005E13C5">
        <w:rPr>
          <w:rFonts w:ascii="Verdana" w:hAnsi="Verdana" w:eastAsia="Times New Roman"/>
          <w:bCs/>
          <w:i/>
          <w:iCs/>
          <w:sz w:val="18"/>
          <w:szCs w:val="18"/>
          <w:lang w:eastAsia="nl-NL"/>
        </w:rPr>
        <w:t xml:space="preserve"> een veel diepere nationale kapitaalmarkt is. Deze leden zijn blij om te lezen dat het kabinet in de geannoteerde agenda Zweden expliciet als voorbeeld noemt voor Nederland. </w:t>
      </w:r>
      <w:bookmarkStart w:name="_Hlk219122336" w:id="5"/>
      <w:r w:rsidRPr="005E13C5">
        <w:rPr>
          <w:rFonts w:ascii="Verdana" w:hAnsi="Verdana" w:eastAsia="Times New Roman"/>
          <w:bCs/>
          <w:i/>
          <w:iCs/>
          <w:sz w:val="18"/>
          <w:szCs w:val="18"/>
          <w:lang w:eastAsia="nl-NL"/>
        </w:rPr>
        <w:t>Welke mogelijkheden tot het overnemen van effectieve maatregelen uit Zweden ziet het kabinet voor de korte termijn</w:t>
      </w:r>
      <w:bookmarkEnd w:id="5"/>
      <w:r w:rsidRPr="005E13C5">
        <w:rPr>
          <w:rFonts w:ascii="Verdana" w:hAnsi="Verdana" w:eastAsia="Times New Roman"/>
          <w:bCs/>
          <w:i/>
          <w:iCs/>
          <w:sz w:val="18"/>
          <w:szCs w:val="18"/>
          <w:lang w:eastAsia="nl-NL"/>
        </w:rPr>
        <w:t xml:space="preserve">? </w:t>
      </w:r>
    </w:p>
    <w:p w:rsidRPr="005E13C5" w:rsidR="005E13C5" w:rsidP="005E13C5" w:rsidRDefault="005E13C5" w14:paraId="1C4FA8E9" w14:textId="13D970FA">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 xml:space="preserve">  </w:t>
      </w:r>
    </w:p>
    <w:p w:rsidR="005D078F" w:rsidP="005E13C5" w:rsidRDefault="00A81371" w14:paraId="1BEE4E13" w14:textId="70DB6932">
      <w:pPr>
        <w:pStyle w:val="Geenafstand"/>
        <w:rPr>
          <w:rFonts w:ascii="Verdana" w:hAnsi="Verdana" w:eastAsia="Times New Roman"/>
          <w:bCs/>
          <w:sz w:val="18"/>
          <w:szCs w:val="18"/>
          <w:lang w:eastAsia="nl-NL"/>
        </w:rPr>
      </w:pPr>
      <w:r w:rsidRPr="00873AE4">
        <w:rPr>
          <w:rFonts w:ascii="Verdana" w:hAnsi="Verdana" w:eastAsia="Times New Roman"/>
          <w:bCs/>
          <w:sz w:val="18"/>
          <w:szCs w:val="18"/>
          <w:lang w:eastAsia="nl-NL"/>
        </w:rPr>
        <w:t xml:space="preserve">Het kabinet </w:t>
      </w:r>
      <w:r w:rsidRPr="00873AE4" w:rsidR="002B7BB3">
        <w:rPr>
          <w:rFonts w:ascii="Verdana" w:hAnsi="Verdana" w:eastAsia="Times New Roman"/>
          <w:bCs/>
          <w:sz w:val="18"/>
          <w:szCs w:val="18"/>
          <w:lang w:eastAsia="nl-NL"/>
        </w:rPr>
        <w:t xml:space="preserve">constateert </w:t>
      </w:r>
      <w:r w:rsidRPr="00873AE4">
        <w:rPr>
          <w:rFonts w:ascii="Verdana" w:hAnsi="Verdana" w:eastAsia="Times New Roman"/>
          <w:bCs/>
          <w:sz w:val="18"/>
          <w:szCs w:val="18"/>
          <w:lang w:eastAsia="nl-NL"/>
        </w:rPr>
        <w:t xml:space="preserve">dat Zweden beschikt over een diepe kapitaalmarkt, </w:t>
      </w:r>
      <w:r w:rsidR="00184B31">
        <w:rPr>
          <w:rFonts w:ascii="Verdana" w:hAnsi="Verdana" w:eastAsia="Times New Roman"/>
          <w:bCs/>
          <w:sz w:val="18"/>
          <w:szCs w:val="18"/>
          <w:lang w:eastAsia="nl-NL"/>
        </w:rPr>
        <w:t>deels</w:t>
      </w:r>
      <w:r w:rsidRPr="00873AE4" w:rsidR="00184B31">
        <w:rPr>
          <w:rFonts w:ascii="Verdana" w:hAnsi="Verdana" w:eastAsia="Times New Roman"/>
          <w:bCs/>
          <w:sz w:val="18"/>
          <w:szCs w:val="18"/>
          <w:lang w:eastAsia="nl-NL"/>
        </w:rPr>
        <w:t xml:space="preserve"> </w:t>
      </w:r>
      <w:r w:rsidRPr="00873AE4">
        <w:rPr>
          <w:rFonts w:ascii="Verdana" w:hAnsi="Verdana" w:eastAsia="Times New Roman"/>
          <w:bCs/>
          <w:sz w:val="18"/>
          <w:szCs w:val="18"/>
          <w:lang w:eastAsia="nl-NL"/>
        </w:rPr>
        <w:t>als gevolg van</w:t>
      </w:r>
      <w:r w:rsidRPr="00873AE4" w:rsidR="00DB59B6">
        <w:rPr>
          <w:rFonts w:ascii="Verdana" w:hAnsi="Verdana" w:eastAsia="Times New Roman"/>
          <w:bCs/>
          <w:sz w:val="18"/>
          <w:szCs w:val="18"/>
          <w:lang w:eastAsia="nl-NL"/>
        </w:rPr>
        <w:t xml:space="preserve"> </w:t>
      </w:r>
      <w:r w:rsidRPr="00873AE4">
        <w:rPr>
          <w:rFonts w:ascii="Verdana" w:hAnsi="Verdana" w:eastAsia="Times New Roman"/>
          <w:bCs/>
          <w:sz w:val="18"/>
          <w:szCs w:val="18"/>
          <w:lang w:eastAsia="nl-NL"/>
        </w:rPr>
        <w:t>fiscale regelingen.</w:t>
      </w:r>
      <w:r w:rsidRPr="00873AE4" w:rsidR="002D3A29">
        <w:rPr>
          <w:rFonts w:ascii="Verdana" w:hAnsi="Verdana" w:eastAsia="Times New Roman"/>
          <w:bCs/>
          <w:sz w:val="18"/>
          <w:szCs w:val="18"/>
          <w:lang w:eastAsia="nl-NL"/>
        </w:rPr>
        <w:t xml:space="preserve"> </w:t>
      </w:r>
      <w:bookmarkStart w:name="_Hlk219122545" w:id="6"/>
      <w:r w:rsidRPr="00873AE4" w:rsidR="002D3A29">
        <w:rPr>
          <w:rFonts w:ascii="Verdana" w:hAnsi="Verdana" w:eastAsia="Times New Roman"/>
          <w:bCs/>
          <w:sz w:val="18"/>
          <w:szCs w:val="18"/>
          <w:lang w:eastAsia="nl-NL"/>
        </w:rPr>
        <w:t xml:space="preserve">Zoals </w:t>
      </w:r>
      <w:r w:rsidR="00B70006">
        <w:rPr>
          <w:rFonts w:ascii="Verdana" w:hAnsi="Verdana" w:eastAsia="Times New Roman"/>
          <w:bCs/>
          <w:sz w:val="18"/>
          <w:szCs w:val="18"/>
          <w:lang w:eastAsia="nl-NL"/>
        </w:rPr>
        <w:t>staat</w:t>
      </w:r>
      <w:r w:rsidRPr="00873AE4" w:rsidR="002B7BB3">
        <w:rPr>
          <w:rFonts w:ascii="Verdana" w:hAnsi="Verdana" w:eastAsia="Times New Roman"/>
          <w:bCs/>
          <w:sz w:val="18"/>
          <w:szCs w:val="18"/>
          <w:lang w:eastAsia="nl-NL"/>
        </w:rPr>
        <w:t xml:space="preserve"> </w:t>
      </w:r>
      <w:r w:rsidRPr="00873AE4" w:rsidR="002D3A29">
        <w:rPr>
          <w:rFonts w:ascii="Verdana" w:hAnsi="Verdana" w:eastAsia="Times New Roman"/>
          <w:bCs/>
          <w:sz w:val="18"/>
          <w:szCs w:val="18"/>
          <w:lang w:eastAsia="nl-NL"/>
        </w:rPr>
        <w:t xml:space="preserve">in </w:t>
      </w:r>
      <w:r w:rsidRPr="00873AE4" w:rsidR="00DB59B6">
        <w:rPr>
          <w:rFonts w:ascii="Verdana" w:hAnsi="Verdana" w:eastAsia="Times New Roman"/>
          <w:bCs/>
          <w:sz w:val="18"/>
          <w:szCs w:val="18"/>
          <w:lang w:eastAsia="nl-NL"/>
        </w:rPr>
        <w:t xml:space="preserve">het </w:t>
      </w:r>
      <w:r w:rsidRPr="00873AE4" w:rsidR="002B7BB3">
        <w:rPr>
          <w:rFonts w:ascii="Verdana" w:hAnsi="Verdana" w:eastAsia="Times New Roman"/>
          <w:bCs/>
          <w:sz w:val="18"/>
          <w:szCs w:val="18"/>
          <w:lang w:eastAsia="nl-NL"/>
        </w:rPr>
        <w:t>f</w:t>
      </w:r>
      <w:r w:rsidRPr="00873AE4" w:rsidR="00DB59B6">
        <w:rPr>
          <w:rFonts w:ascii="Verdana" w:hAnsi="Verdana" w:eastAsia="Times New Roman"/>
          <w:bCs/>
          <w:sz w:val="18"/>
          <w:szCs w:val="18"/>
          <w:lang w:eastAsia="nl-NL"/>
        </w:rPr>
        <w:t>iche ‘A</w:t>
      </w:r>
      <w:r w:rsidRPr="00873AE4" w:rsidR="002D3A29">
        <w:rPr>
          <w:rFonts w:ascii="Verdana" w:hAnsi="Verdana" w:eastAsia="Times New Roman"/>
          <w:bCs/>
          <w:sz w:val="18"/>
          <w:szCs w:val="18"/>
          <w:lang w:eastAsia="nl-NL"/>
        </w:rPr>
        <w:t>anbeveling over het faciliteren van beleggingsrekeningen</w:t>
      </w:r>
      <w:r w:rsidRPr="00873AE4" w:rsidR="00DB59B6">
        <w:rPr>
          <w:rFonts w:ascii="Verdana" w:hAnsi="Verdana" w:eastAsia="Times New Roman"/>
          <w:bCs/>
          <w:sz w:val="18"/>
          <w:szCs w:val="18"/>
          <w:lang w:eastAsia="nl-NL"/>
        </w:rPr>
        <w:t>’</w:t>
      </w:r>
      <w:r w:rsidRPr="00873AE4" w:rsidR="002D3A29">
        <w:rPr>
          <w:rStyle w:val="Voetnootmarkering"/>
          <w:rFonts w:ascii="Verdana" w:hAnsi="Verdana" w:eastAsia="Times New Roman"/>
          <w:bCs/>
          <w:sz w:val="18"/>
          <w:szCs w:val="18"/>
          <w:lang w:eastAsia="nl-NL"/>
        </w:rPr>
        <w:footnoteReference w:id="1"/>
      </w:r>
      <w:r w:rsidRPr="00873AE4" w:rsidR="002D3A29">
        <w:rPr>
          <w:rFonts w:ascii="Verdana" w:hAnsi="Verdana" w:eastAsia="Times New Roman"/>
          <w:bCs/>
          <w:sz w:val="18"/>
          <w:szCs w:val="18"/>
          <w:lang w:eastAsia="nl-NL"/>
        </w:rPr>
        <w:t xml:space="preserve"> </w:t>
      </w:r>
      <w:r w:rsidR="00B70006">
        <w:rPr>
          <w:rFonts w:ascii="Verdana" w:hAnsi="Verdana" w:eastAsia="Times New Roman"/>
          <w:bCs/>
          <w:sz w:val="18"/>
          <w:szCs w:val="18"/>
          <w:lang w:eastAsia="nl-NL"/>
        </w:rPr>
        <w:t>vindt</w:t>
      </w:r>
      <w:r w:rsidRPr="00873AE4" w:rsidR="002B7BB3">
        <w:rPr>
          <w:rFonts w:ascii="Verdana" w:hAnsi="Verdana" w:eastAsia="Times New Roman"/>
          <w:bCs/>
          <w:sz w:val="18"/>
          <w:szCs w:val="18"/>
          <w:lang w:eastAsia="nl-NL"/>
        </w:rPr>
        <w:t xml:space="preserve"> het kabinet het aannemelijk dat </w:t>
      </w:r>
      <w:r w:rsidRPr="00873AE4" w:rsidR="002D3A29">
        <w:rPr>
          <w:rFonts w:ascii="Verdana" w:hAnsi="Verdana" w:eastAsia="Times New Roman"/>
          <w:bCs/>
          <w:sz w:val="18"/>
          <w:szCs w:val="18"/>
          <w:lang w:eastAsia="nl-NL"/>
        </w:rPr>
        <w:t>fiscale stimulering in box 3 het gebruik van beleggingsrekening</w:t>
      </w:r>
      <w:r w:rsidRPr="00873AE4" w:rsidR="002B7BB3">
        <w:rPr>
          <w:rFonts w:ascii="Verdana" w:hAnsi="Verdana" w:eastAsia="Times New Roman"/>
          <w:bCs/>
          <w:sz w:val="18"/>
          <w:szCs w:val="18"/>
          <w:lang w:eastAsia="nl-NL"/>
        </w:rPr>
        <w:t>en</w:t>
      </w:r>
      <w:r w:rsidRPr="00873AE4" w:rsidR="002D3A29">
        <w:rPr>
          <w:rFonts w:ascii="Verdana" w:hAnsi="Verdana" w:eastAsia="Times New Roman"/>
          <w:bCs/>
          <w:sz w:val="18"/>
          <w:szCs w:val="18"/>
          <w:lang w:eastAsia="nl-NL"/>
        </w:rPr>
        <w:t xml:space="preserve"> kan </w:t>
      </w:r>
      <w:r w:rsidRPr="00873AE4" w:rsidR="002B7BB3">
        <w:rPr>
          <w:rFonts w:ascii="Verdana" w:hAnsi="Verdana" w:eastAsia="Times New Roman"/>
          <w:bCs/>
          <w:sz w:val="18"/>
          <w:szCs w:val="18"/>
          <w:lang w:eastAsia="nl-NL"/>
        </w:rPr>
        <w:t>bevorderen. Het kabinet zal dit nader onderzoeken</w:t>
      </w:r>
      <w:bookmarkEnd w:id="6"/>
      <w:r w:rsidRPr="00873AE4" w:rsidR="002B7BB3">
        <w:rPr>
          <w:rFonts w:ascii="Verdana" w:hAnsi="Verdana" w:eastAsia="Times New Roman"/>
          <w:bCs/>
          <w:sz w:val="18"/>
          <w:szCs w:val="18"/>
          <w:lang w:eastAsia="nl-NL"/>
        </w:rPr>
        <w:t xml:space="preserve">. </w:t>
      </w:r>
    </w:p>
    <w:p w:rsidR="005D078F" w:rsidP="005E13C5" w:rsidRDefault="005D078F" w14:paraId="4EC18ED5" w14:textId="77777777">
      <w:pPr>
        <w:pStyle w:val="Geenafstand"/>
        <w:rPr>
          <w:rFonts w:ascii="Verdana" w:hAnsi="Verdana" w:eastAsia="Times New Roman"/>
          <w:bCs/>
          <w:sz w:val="18"/>
          <w:szCs w:val="18"/>
          <w:lang w:eastAsia="nl-NL"/>
        </w:rPr>
      </w:pPr>
    </w:p>
    <w:p w:rsidRPr="005D078F" w:rsidR="002B7BB3" w:rsidP="005E13C5" w:rsidRDefault="002B7BB3" w14:paraId="2F6DE512" w14:textId="3323A6B3">
      <w:pPr>
        <w:pStyle w:val="Geenafstand"/>
        <w:rPr>
          <w:rFonts w:ascii="Verdana" w:hAnsi="Verdana" w:eastAsia="Times New Roman"/>
          <w:bCs/>
          <w:sz w:val="18"/>
          <w:szCs w:val="18"/>
          <w:lang w:eastAsia="nl-NL"/>
        </w:rPr>
      </w:pPr>
      <w:r w:rsidRPr="00873AE4">
        <w:rPr>
          <w:rFonts w:ascii="Verdana" w:hAnsi="Verdana"/>
          <w:bCs/>
          <w:sz w:val="18"/>
          <w:szCs w:val="18"/>
        </w:rPr>
        <w:t xml:space="preserve">De strategie van de Commissie, die gericht is op het verzamelen van best </w:t>
      </w:r>
      <w:proofErr w:type="spellStart"/>
      <w:r w:rsidRPr="00873AE4">
        <w:rPr>
          <w:rFonts w:ascii="Verdana" w:hAnsi="Verdana"/>
          <w:bCs/>
          <w:sz w:val="18"/>
          <w:szCs w:val="18"/>
        </w:rPr>
        <w:t>practices</w:t>
      </w:r>
      <w:proofErr w:type="spellEnd"/>
      <w:r w:rsidRPr="00873AE4">
        <w:rPr>
          <w:rFonts w:ascii="Verdana" w:hAnsi="Verdana"/>
          <w:bCs/>
          <w:sz w:val="18"/>
          <w:szCs w:val="18"/>
        </w:rPr>
        <w:t xml:space="preserve"> </w:t>
      </w:r>
      <w:r w:rsidR="002E016F">
        <w:rPr>
          <w:rFonts w:ascii="Verdana" w:hAnsi="Verdana"/>
          <w:bCs/>
          <w:sz w:val="18"/>
          <w:szCs w:val="18"/>
        </w:rPr>
        <w:t xml:space="preserve">van </w:t>
      </w:r>
      <w:r w:rsidRPr="00873AE4">
        <w:rPr>
          <w:rFonts w:ascii="Verdana" w:hAnsi="Verdana"/>
          <w:bCs/>
          <w:sz w:val="18"/>
          <w:szCs w:val="18"/>
        </w:rPr>
        <w:t>lidstaten, wordt door het kabinet positief beoordeel</w:t>
      </w:r>
      <w:r w:rsidR="002E016F">
        <w:rPr>
          <w:rFonts w:ascii="Verdana" w:hAnsi="Verdana"/>
          <w:bCs/>
          <w:sz w:val="18"/>
          <w:szCs w:val="18"/>
        </w:rPr>
        <w:t>d</w:t>
      </w:r>
      <w:r w:rsidRPr="00873AE4">
        <w:rPr>
          <w:rFonts w:ascii="Verdana" w:hAnsi="Verdana"/>
          <w:bCs/>
          <w:sz w:val="18"/>
          <w:szCs w:val="18"/>
        </w:rPr>
        <w:t>. Nederland staat open voor het overnemen van effectieve maatregelen uit Zweden</w:t>
      </w:r>
      <w:r w:rsidR="00184B31">
        <w:rPr>
          <w:rFonts w:ascii="Verdana" w:hAnsi="Verdana"/>
          <w:bCs/>
          <w:sz w:val="18"/>
          <w:szCs w:val="18"/>
        </w:rPr>
        <w:t xml:space="preserve"> ten aanzien van het bevorderen van financiële geletterdheid</w:t>
      </w:r>
      <w:r w:rsidRPr="00873AE4">
        <w:rPr>
          <w:rFonts w:ascii="Verdana" w:hAnsi="Verdana"/>
          <w:bCs/>
          <w:sz w:val="18"/>
          <w:szCs w:val="18"/>
        </w:rPr>
        <w:t>, zodra hier meer inzicht in is verkregen</w:t>
      </w:r>
      <w:r w:rsidR="00184B31">
        <w:rPr>
          <w:rFonts w:ascii="Verdana" w:hAnsi="Verdana"/>
          <w:bCs/>
          <w:sz w:val="18"/>
          <w:szCs w:val="18"/>
        </w:rPr>
        <w:t xml:space="preserve"> door de inspanningen die volgen uit de strategie van de Commissie.</w:t>
      </w:r>
      <w:r w:rsidRPr="00873AE4">
        <w:rPr>
          <w:rFonts w:ascii="Verdana" w:hAnsi="Verdana"/>
          <w:bCs/>
          <w:sz w:val="18"/>
          <w:szCs w:val="18"/>
        </w:rPr>
        <w:t xml:space="preserve"> </w:t>
      </w:r>
    </w:p>
    <w:p w:rsidR="000323FD" w:rsidP="005E13C5" w:rsidRDefault="000323FD" w14:paraId="5CF16E9E" w14:textId="77777777">
      <w:pPr>
        <w:pStyle w:val="Geenafstand"/>
        <w:rPr>
          <w:rFonts w:ascii="Verdana" w:hAnsi="Verdana" w:eastAsia="Times New Roman"/>
          <w:b/>
          <w:sz w:val="18"/>
          <w:szCs w:val="18"/>
          <w:lang w:eastAsia="nl-NL"/>
        </w:rPr>
      </w:pPr>
    </w:p>
    <w:p w:rsidRPr="005E13C5" w:rsidR="005E13C5" w:rsidP="005E13C5" w:rsidRDefault="005E13C5" w14:paraId="15CF2301" w14:textId="51CA6780">
      <w:pPr>
        <w:pStyle w:val="Geenafstand"/>
        <w:rPr>
          <w:rFonts w:ascii="Verdana" w:hAnsi="Verdana" w:eastAsia="Times New Roman"/>
          <w:b/>
          <w:sz w:val="18"/>
          <w:szCs w:val="18"/>
          <w:lang w:eastAsia="nl-NL"/>
        </w:rPr>
      </w:pPr>
      <w:r w:rsidRPr="005E13C5">
        <w:rPr>
          <w:rFonts w:ascii="Verdana" w:hAnsi="Verdana" w:eastAsia="Times New Roman"/>
          <w:b/>
          <w:sz w:val="18"/>
          <w:szCs w:val="18"/>
          <w:lang w:eastAsia="nl-NL"/>
        </w:rPr>
        <w:t>Vragen en opmerkingen van de leden van de CDA-fractie</w:t>
      </w:r>
    </w:p>
    <w:p w:rsidR="005D078F" w:rsidP="005E13C5" w:rsidRDefault="005E13C5" w14:paraId="0B34ED48" w14:textId="77777777">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 xml:space="preserve">De leden van de CDA-fractie vinden het goed dat de Europese Commissie het belang deelt van financiële geletterdheid, met name in de huidige maatschappij waarin er meer kansen, maar ook risico’s liggen. Deze leden hebben daarvoor ook in hun actieplan financiële weerbaarheid aandacht gevraagd. Deze leden vragen of het kabinet de mening deelt dat financiële geletterdheid een essentiële vaardigheid is die burgers in staat stelt hun financiële onafhankelijkheid en welzijn te waarborgen. </w:t>
      </w:r>
    </w:p>
    <w:p w:rsidR="005D078F" w:rsidP="005E13C5" w:rsidRDefault="005D078F" w14:paraId="23E4BDF4" w14:textId="77777777">
      <w:pPr>
        <w:pStyle w:val="Geenafstand"/>
        <w:rPr>
          <w:rFonts w:ascii="Verdana" w:hAnsi="Verdana" w:eastAsia="Times New Roman"/>
          <w:bCs/>
          <w:i/>
          <w:iCs/>
          <w:sz w:val="18"/>
          <w:szCs w:val="18"/>
          <w:lang w:eastAsia="nl-NL"/>
        </w:rPr>
      </w:pPr>
    </w:p>
    <w:p w:rsidRPr="005D078F" w:rsidR="005E13C5" w:rsidP="005E13C5" w:rsidRDefault="007455F8" w14:paraId="03D16B0A" w14:textId="4C02F258">
      <w:pPr>
        <w:pStyle w:val="Geenafstand"/>
        <w:rPr>
          <w:rFonts w:ascii="Verdana" w:hAnsi="Verdana" w:eastAsia="Times New Roman"/>
          <w:bCs/>
          <w:i/>
          <w:iCs/>
          <w:sz w:val="18"/>
          <w:szCs w:val="18"/>
          <w:lang w:eastAsia="nl-NL"/>
        </w:rPr>
      </w:pPr>
      <w:r w:rsidRPr="007455F8">
        <w:rPr>
          <w:rFonts w:ascii="Verdana" w:hAnsi="Verdana" w:eastAsia="Times New Roman"/>
          <w:bCs/>
          <w:sz w:val="18"/>
          <w:szCs w:val="18"/>
          <w:lang w:eastAsia="nl-NL"/>
        </w:rPr>
        <w:t>Het kabinet deelt de zienswijze van de CDA-fractie dat financiële geletterdheid van groot belang is om burgers te ondersteunen bij het realiseren van financiële onafhankelijkheid en welzijn.</w:t>
      </w:r>
      <w:r>
        <w:rPr>
          <w:rFonts w:ascii="Verdana" w:hAnsi="Verdana" w:eastAsia="Times New Roman"/>
          <w:bCs/>
          <w:sz w:val="18"/>
          <w:szCs w:val="18"/>
          <w:lang w:eastAsia="nl-NL"/>
        </w:rPr>
        <w:t xml:space="preserve"> In de mededeling benadrukt de </w:t>
      </w:r>
      <w:r w:rsidRPr="007455F8">
        <w:rPr>
          <w:rFonts w:ascii="Verdana" w:hAnsi="Verdana" w:eastAsia="Times New Roman"/>
          <w:bCs/>
          <w:sz w:val="18"/>
          <w:szCs w:val="18"/>
          <w:lang w:eastAsia="nl-NL"/>
        </w:rPr>
        <w:t>Commissie</w:t>
      </w:r>
      <w:r>
        <w:rPr>
          <w:rFonts w:ascii="Verdana" w:hAnsi="Verdana" w:eastAsia="Times New Roman"/>
          <w:bCs/>
          <w:sz w:val="18"/>
          <w:szCs w:val="18"/>
          <w:lang w:eastAsia="nl-NL"/>
        </w:rPr>
        <w:t xml:space="preserve"> </w:t>
      </w:r>
      <w:r w:rsidRPr="007455F8">
        <w:rPr>
          <w:rFonts w:ascii="Verdana" w:hAnsi="Verdana" w:eastAsia="Times New Roman"/>
          <w:bCs/>
          <w:sz w:val="18"/>
          <w:szCs w:val="18"/>
          <w:lang w:eastAsia="nl-NL"/>
        </w:rPr>
        <w:t>dat financiële geletterdheid een essentiële vaardigheid is, die door digitalisering en het toenemende aanbod aan financiële producten en diensten steeds belangrijker wordt</w:t>
      </w:r>
      <w:r>
        <w:rPr>
          <w:rFonts w:ascii="Verdana" w:hAnsi="Verdana" w:eastAsia="Times New Roman"/>
          <w:bCs/>
          <w:sz w:val="18"/>
          <w:szCs w:val="18"/>
          <w:lang w:eastAsia="nl-NL"/>
        </w:rPr>
        <w:t xml:space="preserve">. </w:t>
      </w:r>
      <w:r w:rsidRPr="005E13C5" w:rsidR="005E13C5">
        <w:rPr>
          <w:rFonts w:ascii="Verdana" w:hAnsi="Verdana" w:eastAsia="Times New Roman"/>
          <w:bCs/>
          <w:sz w:val="18"/>
          <w:szCs w:val="18"/>
          <w:lang w:eastAsia="nl-NL"/>
        </w:rPr>
        <w:t xml:space="preserve">In de reactie op de mededeling onderschrijft het kabinet </w:t>
      </w:r>
      <w:r>
        <w:rPr>
          <w:rFonts w:ascii="Verdana" w:hAnsi="Verdana" w:eastAsia="Times New Roman"/>
          <w:bCs/>
          <w:sz w:val="18"/>
          <w:szCs w:val="18"/>
          <w:lang w:eastAsia="nl-NL"/>
        </w:rPr>
        <w:t>dit</w:t>
      </w:r>
      <w:r w:rsidRPr="005E13C5">
        <w:rPr>
          <w:rFonts w:ascii="Verdana" w:hAnsi="Verdana" w:eastAsia="Times New Roman"/>
          <w:bCs/>
          <w:sz w:val="18"/>
          <w:szCs w:val="18"/>
          <w:lang w:eastAsia="nl-NL"/>
        </w:rPr>
        <w:t xml:space="preserve"> </w:t>
      </w:r>
      <w:r w:rsidRPr="005E13C5" w:rsidR="005E13C5">
        <w:rPr>
          <w:rFonts w:ascii="Verdana" w:hAnsi="Verdana" w:eastAsia="Times New Roman"/>
          <w:bCs/>
          <w:sz w:val="18"/>
          <w:szCs w:val="18"/>
          <w:lang w:eastAsia="nl-NL"/>
        </w:rPr>
        <w:t xml:space="preserve">belang en verwelkomt </w:t>
      </w:r>
      <w:r w:rsidR="00184B31">
        <w:rPr>
          <w:rFonts w:ascii="Verdana" w:hAnsi="Verdana" w:eastAsia="Times New Roman"/>
          <w:bCs/>
          <w:sz w:val="18"/>
          <w:szCs w:val="18"/>
          <w:lang w:eastAsia="nl-NL"/>
        </w:rPr>
        <w:t xml:space="preserve">het kabinet </w:t>
      </w:r>
      <w:r w:rsidRPr="005E13C5" w:rsidR="005E13C5">
        <w:rPr>
          <w:rFonts w:ascii="Verdana" w:hAnsi="Verdana" w:eastAsia="Times New Roman"/>
          <w:bCs/>
          <w:sz w:val="18"/>
          <w:szCs w:val="18"/>
          <w:lang w:eastAsia="nl-NL"/>
        </w:rPr>
        <w:t>de strategie, die goed past bij lopende Nederlandse activiteiten op het gebied van financiële geletterdheid.</w:t>
      </w:r>
    </w:p>
    <w:p w:rsidR="00184B31" w:rsidP="005E13C5" w:rsidRDefault="00184B31" w14:paraId="2AC26D82" w14:textId="77777777">
      <w:pPr>
        <w:pStyle w:val="Geenafstand"/>
        <w:rPr>
          <w:rFonts w:ascii="Verdana" w:hAnsi="Verdana" w:eastAsia="Times New Roman"/>
          <w:bCs/>
          <w:sz w:val="18"/>
          <w:szCs w:val="18"/>
          <w:lang w:eastAsia="nl-NL"/>
        </w:rPr>
      </w:pPr>
    </w:p>
    <w:p w:rsidR="00184B31" w:rsidP="005E13C5" w:rsidRDefault="00184B31" w14:paraId="31572A1B" w14:textId="79823186">
      <w:pPr>
        <w:pStyle w:val="Geenafstand"/>
        <w:rPr>
          <w:rFonts w:ascii="Verdana" w:hAnsi="Verdana" w:eastAsia="Times New Roman"/>
          <w:bCs/>
          <w:i/>
          <w:iCs/>
          <w:sz w:val="18"/>
          <w:szCs w:val="18"/>
          <w:lang w:eastAsia="nl-NL"/>
        </w:rPr>
      </w:pPr>
      <w:bookmarkStart w:name="_Hlk219123506" w:id="7"/>
      <w:r w:rsidRPr="005E13C5">
        <w:rPr>
          <w:rFonts w:ascii="Verdana" w:hAnsi="Verdana" w:eastAsia="Times New Roman"/>
          <w:bCs/>
          <w:i/>
          <w:iCs/>
          <w:sz w:val="18"/>
          <w:szCs w:val="18"/>
          <w:lang w:eastAsia="nl-NL"/>
        </w:rPr>
        <w:t>Deze leden vragen hoe het kabinet kijkt naar het niveau van financiële geletterdheid in Nederland en naar het niveau in Nederland ten opzichte van burgers in andere EU-lidstaten.</w:t>
      </w:r>
    </w:p>
    <w:p w:rsidR="005D078F" w:rsidP="005E13C5" w:rsidRDefault="005D078F" w14:paraId="6083434A" w14:textId="77777777">
      <w:pPr>
        <w:pStyle w:val="Geenafstand"/>
        <w:rPr>
          <w:rFonts w:ascii="Verdana" w:hAnsi="Verdana" w:eastAsia="Times New Roman"/>
          <w:bCs/>
          <w:sz w:val="18"/>
          <w:szCs w:val="18"/>
          <w:lang w:eastAsia="nl-NL"/>
        </w:rPr>
      </w:pPr>
    </w:p>
    <w:bookmarkEnd w:id="7"/>
    <w:p w:rsidRPr="005E13C5" w:rsidR="00361B5C" w:rsidP="005E13C5" w:rsidRDefault="005E13C5" w14:paraId="2224CB48" w14:textId="24D0B3C3">
      <w:pPr>
        <w:pStyle w:val="Geenafstand"/>
        <w:rPr>
          <w:rFonts w:ascii="Verdana" w:hAnsi="Verdana" w:eastAsia="Times New Roman"/>
          <w:bCs/>
          <w:sz w:val="18"/>
          <w:szCs w:val="18"/>
          <w:lang w:eastAsia="nl-NL"/>
        </w:rPr>
      </w:pPr>
      <w:r w:rsidRPr="005E13C5">
        <w:rPr>
          <w:rFonts w:ascii="Verdana" w:hAnsi="Verdana" w:eastAsia="Times New Roman"/>
          <w:bCs/>
          <w:sz w:val="18"/>
          <w:szCs w:val="18"/>
          <w:lang w:eastAsia="nl-NL"/>
        </w:rPr>
        <w:t>Uit de Eurobarometer</w:t>
      </w:r>
      <w:r w:rsidR="00A37416">
        <w:rPr>
          <w:rFonts w:ascii="Verdana" w:hAnsi="Verdana" w:eastAsia="Times New Roman"/>
          <w:bCs/>
          <w:sz w:val="18"/>
          <w:szCs w:val="18"/>
          <w:lang w:eastAsia="nl-NL"/>
        </w:rPr>
        <w:t xml:space="preserve"> van 2023</w:t>
      </w:r>
      <w:r w:rsidRPr="005E13C5">
        <w:rPr>
          <w:rFonts w:ascii="Verdana" w:hAnsi="Verdana" w:eastAsia="Times New Roman"/>
          <w:bCs/>
          <w:sz w:val="18"/>
          <w:szCs w:val="18"/>
          <w:lang w:eastAsia="nl-NL"/>
        </w:rPr>
        <w:t xml:space="preserve"> </w:t>
      </w:r>
      <w:r w:rsidR="00640B58">
        <w:rPr>
          <w:rFonts w:ascii="Verdana" w:hAnsi="Verdana" w:eastAsia="Times New Roman"/>
          <w:bCs/>
          <w:sz w:val="18"/>
          <w:szCs w:val="18"/>
          <w:lang w:eastAsia="nl-NL"/>
        </w:rPr>
        <w:t xml:space="preserve">die </w:t>
      </w:r>
      <w:r w:rsidRPr="00640B58" w:rsidR="00640B58">
        <w:rPr>
          <w:rFonts w:ascii="Verdana" w:hAnsi="Verdana" w:eastAsia="Times New Roman"/>
          <w:bCs/>
          <w:sz w:val="18"/>
          <w:szCs w:val="18"/>
          <w:lang w:eastAsia="nl-NL"/>
        </w:rPr>
        <w:t>het niveau van financiële geletterdheid binnen de EU in kaart brengt</w:t>
      </w:r>
      <w:r w:rsidR="002E5C02">
        <w:rPr>
          <w:rFonts w:ascii="Verdana" w:hAnsi="Verdana" w:eastAsia="Times New Roman"/>
          <w:bCs/>
          <w:sz w:val="18"/>
          <w:szCs w:val="18"/>
          <w:lang w:eastAsia="nl-NL"/>
        </w:rPr>
        <w:t xml:space="preserve"> en waar de Commissie in haar aanbeveling naar verwijst</w:t>
      </w:r>
      <w:r w:rsidRPr="00640B58" w:rsidR="00640B58">
        <w:rPr>
          <w:rFonts w:ascii="Verdana" w:hAnsi="Verdana" w:eastAsia="Times New Roman"/>
          <w:bCs/>
          <w:sz w:val="18"/>
          <w:szCs w:val="18"/>
          <w:lang w:eastAsia="nl-NL"/>
        </w:rPr>
        <w:t>, blijkt dat Nederland tot de best presterende landen behoort, met het hoogste percentage burgers dat een hoge score op financiële geletterdheid behaalt</w:t>
      </w:r>
      <w:r w:rsidR="00640B58">
        <w:rPr>
          <w:rFonts w:ascii="Verdana" w:hAnsi="Verdana" w:eastAsia="Times New Roman"/>
          <w:bCs/>
          <w:sz w:val="18"/>
          <w:szCs w:val="18"/>
          <w:lang w:eastAsia="nl-NL"/>
        </w:rPr>
        <w:t xml:space="preserve">. </w:t>
      </w:r>
      <w:r w:rsidR="006A58E3">
        <w:rPr>
          <w:rFonts w:ascii="Verdana" w:hAnsi="Verdana" w:eastAsia="Times New Roman"/>
          <w:bCs/>
          <w:sz w:val="18"/>
          <w:szCs w:val="18"/>
          <w:lang w:eastAsia="nl-NL"/>
        </w:rPr>
        <w:t xml:space="preserve">Daarnaast toont </w:t>
      </w:r>
      <w:r w:rsidRPr="005E13C5">
        <w:rPr>
          <w:rFonts w:ascii="Verdana" w:hAnsi="Verdana" w:eastAsia="Times New Roman"/>
          <w:bCs/>
          <w:sz w:val="18"/>
          <w:szCs w:val="18"/>
          <w:lang w:eastAsia="nl-NL"/>
        </w:rPr>
        <w:t>internationaal vergelijkend trendonderzoek (PISA-2022)</w:t>
      </w:r>
      <w:r w:rsidRPr="005E13C5">
        <w:rPr>
          <w:rStyle w:val="Voetnootmarkering"/>
          <w:rFonts w:ascii="Verdana" w:hAnsi="Verdana" w:eastAsia="Times New Roman"/>
          <w:bCs/>
          <w:sz w:val="18"/>
          <w:szCs w:val="18"/>
          <w:lang w:eastAsia="nl-NL"/>
        </w:rPr>
        <w:footnoteReference w:id="2"/>
      </w:r>
      <w:r w:rsidRPr="005E13C5">
        <w:rPr>
          <w:rFonts w:ascii="Verdana" w:hAnsi="Verdana" w:eastAsia="Times New Roman"/>
          <w:bCs/>
          <w:sz w:val="18"/>
          <w:szCs w:val="18"/>
          <w:lang w:eastAsia="nl-NL"/>
        </w:rPr>
        <w:t xml:space="preserve"> naar de financiële geletterdheid van 15-jarigen </w:t>
      </w:r>
      <w:r w:rsidR="006A58E3">
        <w:rPr>
          <w:rFonts w:ascii="Verdana" w:hAnsi="Verdana" w:eastAsia="Times New Roman"/>
          <w:bCs/>
          <w:sz w:val="18"/>
          <w:szCs w:val="18"/>
          <w:lang w:eastAsia="nl-NL"/>
        </w:rPr>
        <w:t xml:space="preserve">aan dat </w:t>
      </w:r>
      <w:r w:rsidRPr="005E13C5" w:rsidR="00361B5C">
        <w:rPr>
          <w:rFonts w:ascii="Verdana" w:hAnsi="Verdana" w:eastAsia="Times New Roman"/>
          <w:bCs/>
          <w:sz w:val="18"/>
          <w:szCs w:val="18"/>
          <w:lang w:eastAsia="nl-NL"/>
        </w:rPr>
        <w:t xml:space="preserve">Nederlandse 15-jarigen een hogere </w:t>
      </w:r>
      <w:proofErr w:type="spellStart"/>
      <w:r w:rsidRPr="005E13C5" w:rsidR="00361B5C">
        <w:rPr>
          <w:rFonts w:ascii="Verdana" w:hAnsi="Verdana" w:eastAsia="Times New Roman"/>
          <w:bCs/>
          <w:sz w:val="18"/>
          <w:szCs w:val="18"/>
          <w:lang w:eastAsia="nl-NL"/>
        </w:rPr>
        <w:t>toetsscore</w:t>
      </w:r>
      <w:proofErr w:type="spellEnd"/>
      <w:r w:rsidRPr="005E13C5" w:rsidR="00361B5C">
        <w:rPr>
          <w:rFonts w:ascii="Verdana" w:hAnsi="Verdana" w:eastAsia="Times New Roman"/>
          <w:bCs/>
          <w:sz w:val="18"/>
          <w:szCs w:val="18"/>
          <w:lang w:eastAsia="nl-NL"/>
        </w:rPr>
        <w:t xml:space="preserve"> </w:t>
      </w:r>
      <w:r w:rsidR="002E5C02">
        <w:rPr>
          <w:rFonts w:ascii="Verdana" w:hAnsi="Verdana" w:eastAsia="Times New Roman"/>
          <w:bCs/>
          <w:sz w:val="18"/>
          <w:szCs w:val="18"/>
          <w:lang w:eastAsia="nl-NL"/>
        </w:rPr>
        <w:t xml:space="preserve">hebben </w:t>
      </w:r>
      <w:r w:rsidRPr="005E13C5" w:rsidR="00361B5C">
        <w:rPr>
          <w:rFonts w:ascii="Verdana" w:hAnsi="Verdana" w:eastAsia="Times New Roman"/>
          <w:bCs/>
          <w:sz w:val="18"/>
          <w:szCs w:val="18"/>
          <w:lang w:eastAsia="nl-NL"/>
        </w:rPr>
        <w:t>dan de gemiddelde score van de (deelnemende) OESO-landen.</w:t>
      </w:r>
      <w:r w:rsidR="00361B5C">
        <w:rPr>
          <w:rFonts w:ascii="Verdana" w:hAnsi="Verdana" w:eastAsia="Times New Roman"/>
          <w:bCs/>
          <w:sz w:val="18"/>
          <w:szCs w:val="18"/>
          <w:lang w:eastAsia="nl-NL"/>
        </w:rPr>
        <w:t xml:space="preserve"> </w:t>
      </w:r>
      <w:r w:rsidR="006A58E3">
        <w:rPr>
          <w:rFonts w:ascii="Verdana" w:hAnsi="Verdana" w:eastAsia="Times New Roman"/>
          <w:bCs/>
          <w:sz w:val="18"/>
          <w:szCs w:val="18"/>
          <w:lang w:eastAsia="nl-NL"/>
        </w:rPr>
        <w:t xml:space="preserve">Nederland </w:t>
      </w:r>
      <w:r w:rsidR="00361B5C">
        <w:rPr>
          <w:rFonts w:ascii="Verdana" w:hAnsi="Verdana" w:eastAsia="Times New Roman"/>
          <w:bCs/>
          <w:sz w:val="18"/>
          <w:szCs w:val="18"/>
          <w:lang w:eastAsia="nl-NL"/>
        </w:rPr>
        <w:t xml:space="preserve">behoort hiermee, </w:t>
      </w:r>
      <w:r w:rsidR="006A58E3">
        <w:rPr>
          <w:rFonts w:ascii="Verdana" w:hAnsi="Verdana" w:eastAsia="Times New Roman"/>
          <w:bCs/>
          <w:sz w:val="18"/>
          <w:szCs w:val="18"/>
          <w:lang w:eastAsia="nl-NL"/>
        </w:rPr>
        <w:t>samen met een viertal andere landen</w:t>
      </w:r>
      <w:r w:rsidR="006A58E3">
        <w:rPr>
          <w:rStyle w:val="Voetnootmarkering"/>
          <w:rFonts w:ascii="Verdana" w:hAnsi="Verdana" w:eastAsia="Times New Roman"/>
          <w:bCs/>
          <w:sz w:val="18"/>
          <w:szCs w:val="18"/>
          <w:lang w:eastAsia="nl-NL"/>
        </w:rPr>
        <w:footnoteReference w:id="3"/>
      </w:r>
      <w:r w:rsidR="00361B5C">
        <w:rPr>
          <w:rFonts w:ascii="Verdana" w:hAnsi="Verdana" w:eastAsia="Times New Roman"/>
          <w:bCs/>
          <w:sz w:val="18"/>
          <w:szCs w:val="18"/>
          <w:lang w:eastAsia="nl-NL"/>
        </w:rPr>
        <w:t>,</w:t>
      </w:r>
      <w:r w:rsidR="006A58E3">
        <w:rPr>
          <w:rFonts w:ascii="Verdana" w:hAnsi="Verdana" w:eastAsia="Times New Roman"/>
          <w:bCs/>
          <w:sz w:val="18"/>
          <w:szCs w:val="18"/>
          <w:lang w:eastAsia="nl-NL"/>
        </w:rPr>
        <w:t xml:space="preserve"> </w:t>
      </w:r>
      <w:r w:rsidRPr="005E13C5">
        <w:rPr>
          <w:rFonts w:ascii="Verdana" w:hAnsi="Verdana" w:eastAsia="Times New Roman"/>
          <w:bCs/>
          <w:sz w:val="18"/>
          <w:szCs w:val="18"/>
          <w:lang w:eastAsia="nl-NL"/>
        </w:rPr>
        <w:t>tot de hoogst scorende (deelnemende) landen</w:t>
      </w:r>
      <w:r w:rsidR="00361B5C">
        <w:rPr>
          <w:rFonts w:ascii="Verdana" w:hAnsi="Verdana" w:eastAsia="Times New Roman"/>
          <w:bCs/>
          <w:sz w:val="18"/>
          <w:szCs w:val="18"/>
          <w:lang w:eastAsia="nl-NL"/>
        </w:rPr>
        <w:t xml:space="preserve">. </w:t>
      </w:r>
      <w:r w:rsidRPr="005E13C5">
        <w:rPr>
          <w:rFonts w:ascii="Verdana" w:hAnsi="Verdana" w:eastAsia="Times New Roman"/>
          <w:bCs/>
          <w:sz w:val="18"/>
          <w:szCs w:val="18"/>
          <w:lang w:eastAsia="nl-NL"/>
        </w:rPr>
        <w:t>Uit het onderzoek, dat is gebaseerd op een meting in 2022, komen ook aandachtspunten naar voren. Bijna een vijfde van de Nederlandse leerlingen behaalt het basisniveau financiële geletterdheid niet. Deze groep leerlingen met achterblijvende financiële geletterdheid verdient aandacht.</w:t>
      </w:r>
      <w:r w:rsidRPr="003D6B44" w:rsidR="003D6B44">
        <w:rPr>
          <w:rFonts w:ascii="Verdana" w:hAnsi="Verdana" w:eastAsia="Times New Roman"/>
          <w:bCs/>
          <w:sz w:val="18"/>
          <w:szCs w:val="18"/>
          <w:lang w:eastAsia="nl-NL"/>
        </w:rPr>
        <w:t xml:space="preserve"> </w:t>
      </w:r>
      <w:r w:rsidR="0028546D">
        <w:rPr>
          <w:rFonts w:ascii="Verdana" w:hAnsi="Verdana" w:eastAsia="Times New Roman"/>
          <w:bCs/>
          <w:sz w:val="18"/>
          <w:szCs w:val="18"/>
          <w:lang w:eastAsia="nl-NL"/>
        </w:rPr>
        <w:t>Ook d</w:t>
      </w:r>
      <w:r w:rsidR="003D6B44">
        <w:rPr>
          <w:rFonts w:ascii="Verdana" w:hAnsi="Verdana" w:eastAsia="Times New Roman"/>
          <w:bCs/>
          <w:sz w:val="18"/>
          <w:szCs w:val="18"/>
          <w:lang w:eastAsia="nl-NL"/>
        </w:rPr>
        <w:t xml:space="preserve">e Eurobarometer </w:t>
      </w:r>
      <w:r w:rsidR="0028546D">
        <w:rPr>
          <w:rFonts w:ascii="Verdana" w:hAnsi="Verdana" w:eastAsia="Times New Roman"/>
          <w:bCs/>
          <w:sz w:val="18"/>
          <w:szCs w:val="18"/>
          <w:lang w:eastAsia="nl-NL"/>
        </w:rPr>
        <w:t xml:space="preserve">toont aan dat </w:t>
      </w:r>
      <w:r w:rsidRPr="005E13C5" w:rsidR="003D6B44">
        <w:rPr>
          <w:rFonts w:ascii="Verdana" w:hAnsi="Verdana" w:eastAsia="Times New Roman"/>
          <w:bCs/>
          <w:sz w:val="18"/>
          <w:szCs w:val="18"/>
          <w:lang w:eastAsia="nl-NL"/>
        </w:rPr>
        <w:t>15% van de</w:t>
      </w:r>
      <w:r w:rsidR="003D6B44">
        <w:rPr>
          <w:rFonts w:ascii="Verdana" w:hAnsi="Verdana" w:eastAsia="Times New Roman"/>
          <w:bCs/>
          <w:sz w:val="18"/>
          <w:szCs w:val="18"/>
          <w:lang w:eastAsia="nl-NL"/>
        </w:rPr>
        <w:t xml:space="preserve"> Nederlandse</w:t>
      </w:r>
      <w:r w:rsidRPr="005E13C5" w:rsidR="003D6B44">
        <w:rPr>
          <w:rFonts w:ascii="Verdana" w:hAnsi="Verdana" w:eastAsia="Times New Roman"/>
          <w:bCs/>
          <w:sz w:val="18"/>
          <w:szCs w:val="18"/>
          <w:lang w:eastAsia="nl-NL"/>
        </w:rPr>
        <w:t xml:space="preserve"> burgers </w:t>
      </w:r>
      <w:r w:rsidR="003D6B44">
        <w:rPr>
          <w:rFonts w:ascii="Verdana" w:hAnsi="Verdana" w:eastAsia="Times New Roman"/>
          <w:bCs/>
          <w:sz w:val="18"/>
          <w:szCs w:val="18"/>
          <w:lang w:eastAsia="nl-NL"/>
        </w:rPr>
        <w:t xml:space="preserve">nog </w:t>
      </w:r>
      <w:r w:rsidRPr="005E13C5" w:rsidR="003D6B44">
        <w:rPr>
          <w:rFonts w:ascii="Verdana" w:hAnsi="Verdana" w:eastAsia="Times New Roman"/>
          <w:bCs/>
          <w:sz w:val="18"/>
          <w:szCs w:val="18"/>
          <w:lang w:eastAsia="nl-NL"/>
        </w:rPr>
        <w:t xml:space="preserve">een lage score haalt. </w:t>
      </w:r>
      <w:bookmarkStart w:name="_Hlk219123551" w:id="8"/>
      <w:r w:rsidR="003D6B44">
        <w:rPr>
          <w:rFonts w:ascii="Verdana" w:hAnsi="Verdana" w:eastAsia="Times New Roman"/>
          <w:bCs/>
          <w:sz w:val="18"/>
          <w:szCs w:val="18"/>
          <w:lang w:eastAsia="nl-NL"/>
        </w:rPr>
        <w:t>Samengevat</w:t>
      </w:r>
      <w:r w:rsidRPr="00361B5C" w:rsidR="00361B5C">
        <w:rPr>
          <w:rFonts w:ascii="Verdana" w:hAnsi="Verdana" w:eastAsia="Times New Roman"/>
          <w:bCs/>
          <w:sz w:val="18"/>
          <w:szCs w:val="18"/>
          <w:lang w:eastAsia="nl-NL"/>
        </w:rPr>
        <w:t xml:space="preserve"> blijkt dat Nederland</w:t>
      </w:r>
      <w:r w:rsidR="003D6B44">
        <w:rPr>
          <w:rFonts w:ascii="Verdana" w:hAnsi="Verdana" w:eastAsia="Times New Roman"/>
          <w:bCs/>
          <w:sz w:val="18"/>
          <w:szCs w:val="18"/>
          <w:lang w:eastAsia="nl-NL"/>
        </w:rPr>
        <w:t xml:space="preserve"> in internationaal opzicht hoog scoort op </w:t>
      </w:r>
      <w:r w:rsidRPr="00361B5C" w:rsidR="00361B5C">
        <w:rPr>
          <w:rFonts w:ascii="Verdana" w:hAnsi="Verdana" w:eastAsia="Times New Roman"/>
          <w:bCs/>
          <w:sz w:val="18"/>
          <w:szCs w:val="18"/>
          <w:lang w:eastAsia="nl-NL"/>
        </w:rPr>
        <w:t>financiële geletterdheid</w:t>
      </w:r>
      <w:r w:rsidR="003D6B44">
        <w:rPr>
          <w:rFonts w:ascii="Verdana" w:hAnsi="Verdana" w:eastAsia="Times New Roman"/>
          <w:bCs/>
          <w:sz w:val="18"/>
          <w:szCs w:val="18"/>
          <w:lang w:eastAsia="nl-NL"/>
        </w:rPr>
        <w:t xml:space="preserve"> van burgers</w:t>
      </w:r>
      <w:r w:rsidRPr="00361B5C" w:rsidR="00361B5C">
        <w:rPr>
          <w:rFonts w:ascii="Verdana" w:hAnsi="Verdana" w:eastAsia="Times New Roman"/>
          <w:bCs/>
          <w:sz w:val="18"/>
          <w:szCs w:val="18"/>
          <w:lang w:eastAsia="nl-NL"/>
        </w:rPr>
        <w:t>, maar dat op bepaalde onderdelen verdere verbetering noodzakelijk is</w:t>
      </w:r>
      <w:r w:rsidR="002E5C02">
        <w:rPr>
          <w:rFonts w:ascii="Verdana" w:hAnsi="Verdana" w:eastAsia="Times New Roman"/>
          <w:bCs/>
          <w:sz w:val="18"/>
          <w:szCs w:val="18"/>
          <w:lang w:eastAsia="nl-NL"/>
        </w:rPr>
        <w:t xml:space="preserve"> om te zorgen dat alle burgers het basisniveau halen</w:t>
      </w:r>
      <w:r w:rsidRPr="00361B5C" w:rsidR="00361B5C">
        <w:rPr>
          <w:rFonts w:ascii="Verdana" w:hAnsi="Verdana" w:eastAsia="Times New Roman"/>
          <w:bCs/>
          <w:sz w:val="18"/>
          <w:szCs w:val="18"/>
          <w:lang w:eastAsia="nl-NL"/>
        </w:rPr>
        <w:t>.</w:t>
      </w:r>
    </w:p>
    <w:bookmarkEnd w:id="8"/>
    <w:p w:rsidRPr="005E13C5" w:rsidR="005E13C5" w:rsidP="005E13C5" w:rsidRDefault="005E13C5" w14:paraId="03544824" w14:textId="77777777">
      <w:pPr>
        <w:pStyle w:val="Geenafstand"/>
        <w:rPr>
          <w:rFonts w:ascii="Verdana" w:hAnsi="Verdana" w:eastAsia="Times New Roman"/>
          <w:bCs/>
          <w:sz w:val="18"/>
          <w:szCs w:val="18"/>
          <w:lang w:eastAsia="nl-NL"/>
        </w:rPr>
      </w:pPr>
    </w:p>
    <w:p w:rsidR="005E13C5" w:rsidP="005E13C5" w:rsidRDefault="005E13C5" w14:paraId="53602CFF" w14:textId="02925A0F">
      <w:pPr>
        <w:pStyle w:val="Geenafstand"/>
        <w:rPr>
          <w:rFonts w:ascii="Verdana" w:hAnsi="Verdana" w:eastAsia="Times New Roman"/>
          <w:bCs/>
          <w:i/>
          <w:iCs/>
          <w:sz w:val="18"/>
          <w:szCs w:val="18"/>
          <w:lang w:eastAsia="nl-NL"/>
        </w:rPr>
      </w:pPr>
      <w:bookmarkStart w:name="_Hlk218699063" w:id="9"/>
      <w:r w:rsidRPr="005E13C5">
        <w:rPr>
          <w:rFonts w:ascii="Verdana" w:hAnsi="Verdana" w:eastAsia="Times New Roman"/>
          <w:bCs/>
          <w:i/>
          <w:iCs/>
          <w:sz w:val="18"/>
          <w:szCs w:val="18"/>
          <w:lang w:eastAsia="nl-NL"/>
        </w:rPr>
        <w:t xml:space="preserve">De leden van de CDA-fractie lezen dat het kabinet meerdere acties beschrijft die </w:t>
      </w:r>
      <w:proofErr w:type="gramStart"/>
      <w:r w:rsidRPr="005E13C5">
        <w:rPr>
          <w:rFonts w:ascii="Verdana" w:hAnsi="Verdana" w:eastAsia="Times New Roman"/>
          <w:bCs/>
          <w:i/>
          <w:iCs/>
          <w:sz w:val="18"/>
          <w:szCs w:val="18"/>
          <w:lang w:eastAsia="nl-NL"/>
        </w:rPr>
        <w:t>reeds</w:t>
      </w:r>
      <w:proofErr w:type="gramEnd"/>
      <w:r w:rsidRPr="005E13C5">
        <w:rPr>
          <w:rFonts w:ascii="Verdana" w:hAnsi="Verdana" w:eastAsia="Times New Roman"/>
          <w:bCs/>
          <w:i/>
          <w:iCs/>
          <w:sz w:val="18"/>
          <w:szCs w:val="18"/>
          <w:lang w:eastAsia="nl-NL"/>
        </w:rPr>
        <w:t xml:space="preserve"> in Nederland worden genomen, maar deze leden merken op dat dit meer gericht lijkt op bewustwordingscampagnes en hulpverlening, dan op activerend beleid. Zo hebben deze leden meerdere keren gevraagd naar door de overheid gefaciliteerde producten die financiële weerbaarheid vanaf jonge leeftijd kunnen vergroten, zoals </w:t>
      </w:r>
      <w:proofErr w:type="spellStart"/>
      <w:r w:rsidRPr="005E13C5">
        <w:rPr>
          <w:rFonts w:ascii="Verdana" w:hAnsi="Verdana" w:eastAsia="Times New Roman"/>
          <w:bCs/>
          <w:i/>
          <w:iCs/>
          <w:sz w:val="18"/>
          <w:szCs w:val="18"/>
          <w:lang w:eastAsia="nl-NL"/>
        </w:rPr>
        <w:t>zilvervlootsparen</w:t>
      </w:r>
      <w:proofErr w:type="spellEnd"/>
      <w:r w:rsidRPr="005E13C5">
        <w:rPr>
          <w:rFonts w:ascii="Verdana" w:hAnsi="Verdana" w:eastAsia="Times New Roman"/>
          <w:bCs/>
          <w:i/>
          <w:iCs/>
          <w:sz w:val="18"/>
          <w:szCs w:val="18"/>
          <w:lang w:eastAsia="nl-NL"/>
        </w:rPr>
        <w:t xml:space="preserve">, bouwsparen of gefaciliteerd beleggen. Het kabinet heeft steeds aangegeven dat de markt voldoende mogelijkheden biedt en dat daar geen rol voor de overheid is weggelegd, al is op het laatste onderdeel beweging. Deze leden vragen hoe het kabinet inmiddels kijkt naar genoemde producten. Ook vragen deze leden welke initiatieven het kabinet op korte termijn gaat nemen ten aanzien van het bereiken van hogere participatie van </w:t>
      </w:r>
      <w:r w:rsidR="000D3E4A">
        <w:rPr>
          <w:rFonts w:ascii="Verdana" w:hAnsi="Verdana" w:eastAsia="Times New Roman"/>
          <w:bCs/>
          <w:i/>
          <w:iCs/>
          <w:sz w:val="18"/>
          <w:szCs w:val="18"/>
          <w:lang w:eastAsia="nl-NL"/>
        </w:rPr>
        <w:t>(</w:t>
      </w:r>
      <w:proofErr w:type="spellStart"/>
      <w:r w:rsidRPr="005E13C5">
        <w:rPr>
          <w:rFonts w:ascii="Verdana" w:hAnsi="Verdana" w:eastAsia="Times New Roman"/>
          <w:bCs/>
          <w:i/>
          <w:iCs/>
          <w:sz w:val="18"/>
          <w:szCs w:val="18"/>
          <w:lang w:eastAsia="nl-NL"/>
        </w:rPr>
        <w:t>retail</w:t>
      </w:r>
      <w:proofErr w:type="spellEnd"/>
      <w:r w:rsidR="000D3E4A">
        <w:rPr>
          <w:rFonts w:ascii="Verdana" w:hAnsi="Verdana" w:eastAsia="Times New Roman"/>
          <w:bCs/>
          <w:i/>
          <w:iCs/>
          <w:sz w:val="18"/>
          <w:szCs w:val="18"/>
          <w:lang w:eastAsia="nl-NL"/>
        </w:rPr>
        <w:t>)</w:t>
      </w:r>
      <w:r w:rsidRPr="005E13C5">
        <w:rPr>
          <w:rFonts w:ascii="Verdana" w:hAnsi="Verdana" w:eastAsia="Times New Roman"/>
          <w:bCs/>
          <w:i/>
          <w:iCs/>
          <w:sz w:val="18"/>
          <w:szCs w:val="18"/>
          <w:lang w:eastAsia="nl-NL"/>
        </w:rPr>
        <w:t xml:space="preserve">beleggers, aangezien het kabinet zelf aangeeft dat fiscaal anders behandelen bijvoorbeeld al niet mogelijk is de komende jaren in verband met de implementatie van het nieuwe Box 3-stelsel. </w:t>
      </w:r>
    </w:p>
    <w:p w:rsidR="002E5C02" w:rsidP="005E13C5" w:rsidRDefault="002E5C02" w14:paraId="3EF712B7" w14:textId="77777777">
      <w:pPr>
        <w:pStyle w:val="Geenafstand"/>
        <w:rPr>
          <w:rFonts w:ascii="Verdana" w:hAnsi="Verdana" w:eastAsia="Times New Roman"/>
          <w:bCs/>
          <w:i/>
          <w:iCs/>
          <w:sz w:val="18"/>
          <w:szCs w:val="18"/>
          <w:lang w:eastAsia="nl-NL"/>
        </w:rPr>
      </w:pPr>
    </w:p>
    <w:p w:rsidR="002E5C02" w:rsidP="003F0BA3" w:rsidRDefault="00B70006" w14:paraId="3FEE95D8" w14:textId="2214B724">
      <w:pPr>
        <w:pStyle w:val="Geenafstand"/>
        <w:rPr>
          <w:rFonts w:ascii="Verdana" w:hAnsi="Verdana" w:eastAsia="Times New Roman"/>
          <w:bCs/>
          <w:sz w:val="18"/>
          <w:szCs w:val="18"/>
          <w:lang w:eastAsia="nl-NL"/>
        </w:rPr>
      </w:pPr>
      <w:r>
        <w:rPr>
          <w:rFonts w:ascii="Verdana" w:hAnsi="Verdana"/>
          <w:bCs/>
          <w:sz w:val="18"/>
          <w:szCs w:val="18"/>
        </w:rPr>
        <w:t>Het is</w:t>
      </w:r>
      <w:r w:rsidR="00C11F61">
        <w:rPr>
          <w:rFonts w:ascii="Verdana" w:hAnsi="Verdana"/>
          <w:bCs/>
          <w:sz w:val="18"/>
          <w:szCs w:val="18"/>
        </w:rPr>
        <w:t xml:space="preserve"> </w:t>
      </w:r>
      <w:r w:rsidRPr="000323FD" w:rsidR="002B2E97">
        <w:rPr>
          <w:rFonts w:ascii="Verdana" w:hAnsi="Verdana"/>
          <w:bCs/>
          <w:sz w:val="18"/>
          <w:szCs w:val="18"/>
        </w:rPr>
        <w:t xml:space="preserve">essentieel voor huishoudens om </w:t>
      </w:r>
      <w:r w:rsidRPr="000323FD" w:rsidR="005E13C5">
        <w:rPr>
          <w:rFonts w:ascii="Verdana" w:hAnsi="Verdana"/>
          <w:bCs/>
          <w:sz w:val="18"/>
          <w:szCs w:val="18"/>
        </w:rPr>
        <w:t>voldoende spaarbuffer achter de hand te hebben om financiële tegenslagen op te vangen</w:t>
      </w:r>
      <w:r w:rsidRPr="000323FD" w:rsidR="002B2E97">
        <w:rPr>
          <w:rFonts w:ascii="Verdana" w:hAnsi="Verdana"/>
          <w:bCs/>
          <w:sz w:val="18"/>
          <w:szCs w:val="18"/>
        </w:rPr>
        <w:t xml:space="preserve"> of </w:t>
      </w:r>
      <w:r w:rsidRPr="000323FD" w:rsidR="005E13C5">
        <w:rPr>
          <w:rFonts w:ascii="Verdana" w:hAnsi="Verdana"/>
          <w:bCs/>
          <w:sz w:val="18"/>
          <w:szCs w:val="18"/>
        </w:rPr>
        <w:t>om te sparen voor een uitgave in de toekomst.</w:t>
      </w:r>
      <w:r w:rsidR="00750F53">
        <w:rPr>
          <w:rFonts w:ascii="Verdana" w:hAnsi="Verdana"/>
          <w:bCs/>
          <w:sz w:val="18"/>
          <w:szCs w:val="18"/>
        </w:rPr>
        <w:t xml:space="preserve"> </w:t>
      </w:r>
      <w:r>
        <w:rPr>
          <w:rFonts w:ascii="Verdana" w:hAnsi="Verdana"/>
          <w:bCs/>
          <w:sz w:val="18"/>
          <w:szCs w:val="18"/>
        </w:rPr>
        <w:t>Het is</w:t>
      </w:r>
      <w:r w:rsidR="00750F53">
        <w:rPr>
          <w:rFonts w:ascii="Verdana" w:hAnsi="Verdana"/>
          <w:bCs/>
          <w:sz w:val="18"/>
          <w:szCs w:val="18"/>
        </w:rPr>
        <w:t xml:space="preserve"> dan ook positief dat </w:t>
      </w:r>
      <w:r w:rsidR="00750F53">
        <w:rPr>
          <w:rFonts w:ascii="Verdana" w:hAnsi="Verdana" w:eastAsia="Times New Roman"/>
          <w:bCs/>
          <w:sz w:val="18"/>
          <w:szCs w:val="18"/>
          <w:lang w:eastAsia="nl-NL"/>
        </w:rPr>
        <w:t>u</w:t>
      </w:r>
      <w:r w:rsidRPr="000323FD" w:rsidR="00750F53">
        <w:rPr>
          <w:rFonts w:ascii="Verdana" w:hAnsi="Verdana" w:eastAsia="Times New Roman"/>
          <w:bCs/>
          <w:sz w:val="18"/>
          <w:szCs w:val="18"/>
          <w:lang w:eastAsia="nl-NL"/>
        </w:rPr>
        <w:t>it cijfers, onder meer uit onderzoek van het Nibud</w:t>
      </w:r>
      <w:r w:rsidRPr="000323FD" w:rsidR="00750F53">
        <w:rPr>
          <w:rStyle w:val="Voetnootmarkering"/>
          <w:rFonts w:ascii="Verdana" w:hAnsi="Verdana" w:eastAsia="Times New Roman"/>
          <w:bCs/>
          <w:sz w:val="18"/>
          <w:szCs w:val="18"/>
          <w:lang w:eastAsia="nl-NL"/>
        </w:rPr>
        <w:footnoteReference w:id="4"/>
      </w:r>
      <w:r w:rsidR="00750F53">
        <w:rPr>
          <w:rFonts w:ascii="Verdana" w:hAnsi="Verdana" w:eastAsia="Times New Roman"/>
          <w:bCs/>
          <w:sz w:val="18"/>
          <w:szCs w:val="18"/>
          <w:lang w:eastAsia="nl-NL"/>
        </w:rPr>
        <w:t>,</w:t>
      </w:r>
      <w:r w:rsidRPr="000323FD" w:rsidR="00750F53">
        <w:rPr>
          <w:rFonts w:ascii="Verdana" w:hAnsi="Verdana" w:eastAsia="Times New Roman"/>
          <w:bCs/>
          <w:sz w:val="18"/>
          <w:szCs w:val="18"/>
          <w:lang w:eastAsia="nl-NL"/>
        </w:rPr>
        <w:t xml:space="preserve"> blijkt dat het merendeel van de Nederlandse scholieren </w:t>
      </w:r>
      <w:proofErr w:type="gramStart"/>
      <w:r w:rsidRPr="000323FD" w:rsidR="00750F53">
        <w:rPr>
          <w:rFonts w:ascii="Verdana" w:hAnsi="Verdana" w:eastAsia="Times New Roman"/>
          <w:bCs/>
          <w:sz w:val="18"/>
          <w:szCs w:val="18"/>
          <w:lang w:eastAsia="nl-NL"/>
        </w:rPr>
        <w:t>reeds</w:t>
      </w:r>
      <w:proofErr w:type="gramEnd"/>
      <w:r w:rsidRPr="000323FD" w:rsidR="00750F53">
        <w:rPr>
          <w:rFonts w:ascii="Verdana" w:hAnsi="Verdana" w:eastAsia="Times New Roman"/>
          <w:bCs/>
          <w:sz w:val="18"/>
          <w:szCs w:val="18"/>
          <w:lang w:eastAsia="nl-NL"/>
        </w:rPr>
        <w:t xml:space="preserve"> spaart. </w:t>
      </w:r>
      <w:r w:rsidRPr="000323FD" w:rsidR="002B2E97">
        <w:rPr>
          <w:rFonts w:ascii="Verdana" w:hAnsi="Verdana"/>
          <w:bCs/>
          <w:sz w:val="18"/>
          <w:szCs w:val="18"/>
        </w:rPr>
        <w:t xml:space="preserve">In </w:t>
      </w:r>
      <w:r w:rsidRPr="000323FD" w:rsidR="005E13C5">
        <w:rPr>
          <w:rFonts w:ascii="Verdana" w:hAnsi="Verdana" w:eastAsia="Times New Roman"/>
          <w:bCs/>
          <w:sz w:val="18"/>
          <w:szCs w:val="18"/>
          <w:lang w:eastAsia="nl-NL"/>
        </w:rPr>
        <w:t xml:space="preserve">2024 </w:t>
      </w:r>
      <w:r w:rsidRPr="000323FD" w:rsidR="002B2E97">
        <w:rPr>
          <w:rFonts w:ascii="Verdana" w:hAnsi="Verdana" w:eastAsia="Times New Roman"/>
          <w:bCs/>
          <w:sz w:val="18"/>
          <w:szCs w:val="18"/>
          <w:lang w:eastAsia="nl-NL"/>
        </w:rPr>
        <w:t xml:space="preserve">is de </w:t>
      </w:r>
      <w:r w:rsidR="00107610">
        <w:rPr>
          <w:rFonts w:ascii="Verdana" w:hAnsi="Verdana" w:eastAsia="Times New Roman"/>
          <w:bCs/>
          <w:sz w:val="18"/>
          <w:szCs w:val="18"/>
          <w:lang w:eastAsia="nl-NL"/>
        </w:rPr>
        <w:t>K</w:t>
      </w:r>
      <w:r w:rsidRPr="000323FD" w:rsidR="002B2E97">
        <w:rPr>
          <w:rFonts w:ascii="Verdana" w:hAnsi="Verdana" w:eastAsia="Times New Roman"/>
          <w:bCs/>
          <w:sz w:val="18"/>
          <w:szCs w:val="18"/>
          <w:lang w:eastAsia="nl-NL"/>
        </w:rPr>
        <w:t>amer</w:t>
      </w:r>
      <w:r w:rsidRPr="000323FD" w:rsidR="0060744E">
        <w:rPr>
          <w:rFonts w:ascii="Verdana" w:hAnsi="Verdana" w:eastAsia="Times New Roman"/>
          <w:bCs/>
          <w:sz w:val="18"/>
          <w:szCs w:val="18"/>
          <w:lang w:eastAsia="nl-NL"/>
        </w:rPr>
        <w:t xml:space="preserve"> </w:t>
      </w:r>
      <w:r w:rsidRPr="000323FD" w:rsidR="000C081F">
        <w:rPr>
          <w:rFonts w:ascii="Verdana" w:hAnsi="Verdana" w:eastAsia="Times New Roman"/>
          <w:bCs/>
          <w:sz w:val="18"/>
          <w:szCs w:val="18"/>
          <w:lang w:eastAsia="nl-NL"/>
        </w:rPr>
        <w:t>per</w:t>
      </w:r>
      <w:r w:rsidRPr="000323FD" w:rsidR="002B2E97">
        <w:rPr>
          <w:rFonts w:ascii="Verdana" w:hAnsi="Verdana" w:eastAsia="Times New Roman"/>
          <w:bCs/>
          <w:sz w:val="18"/>
          <w:szCs w:val="18"/>
          <w:lang w:eastAsia="nl-NL"/>
        </w:rPr>
        <w:t xml:space="preserve"> brief</w:t>
      </w:r>
      <w:r w:rsidRPr="000323FD" w:rsidR="002B2E97">
        <w:rPr>
          <w:rStyle w:val="Voetnootmarkering"/>
          <w:rFonts w:ascii="Verdana" w:hAnsi="Verdana" w:eastAsia="Times New Roman"/>
          <w:bCs/>
          <w:sz w:val="18"/>
          <w:szCs w:val="18"/>
          <w:lang w:eastAsia="nl-NL"/>
        </w:rPr>
        <w:footnoteReference w:id="5"/>
      </w:r>
      <w:r w:rsidRPr="000323FD" w:rsidR="002B2E97">
        <w:rPr>
          <w:rFonts w:ascii="Verdana" w:hAnsi="Verdana" w:eastAsia="Times New Roman"/>
          <w:bCs/>
          <w:sz w:val="18"/>
          <w:szCs w:val="18"/>
          <w:lang w:eastAsia="nl-NL"/>
        </w:rPr>
        <w:t xml:space="preserve"> geïnformeerd over </w:t>
      </w:r>
      <w:r w:rsidR="00014786">
        <w:rPr>
          <w:rFonts w:ascii="Verdana" w:hAnsi="Verdana" w:eastAsia="Times New Roman"/>
          <w:bCs/>
          <w:sz w:val="18"/>
          <w:szCs w:val="18"/>
          <w:lang w:eastAsia="nl-NL"/>
        </w:rPr>
        <w:t>de</w:t>
      </w:r>
      <w:r w:rsidR="00F3521D">
        <w:rPr>
          <w:rFonts w:ascii="Verdana" w:hAnsi="Verdana" w:eastAsia="Times New Roman"/>
          <w:bCs/>
          <w:sz w:val="18"/>
          <w:szCs w:val="18"/>
          <w:lang w:eastAsia="nl-NL"/>
        </w:rPr>
        <w:t xml:space="preserve"> </w:t>
      </w:r>
      <w:r w:rsidRPr="000323FD" w:rsidR="000C081F">
        <w:rPr>
          <w:rFonts w:ascii="Verdana" w:hAnsi="Verdana" w:eastAsia="Times New Roman"/>
          <w:bCs/>
          <w:sz w:val="18"/>
          <w:szCs w:val="18"/>
          <w:lang w:eastAsia="nl-NL"/>
        </w:rPr>
        <w:t xml:space="preserve">visie op het </w:t>
      </w:r>
      <w:r w:rsidRPr="000323FD" w:rsidR="004A08F4">
        <w:rPr>
          <w:rFonts w:ascii="Verdana" w:hAnsi="Verdana" w:eastAsia="Times New Roman"/>
          <w:bCs/>
          <w:sz w:val="18"/>
          <w:szCs w:val="18"/>
          <w:lang w:eastAsia="nl-NL"/>
        </w:rPr>
        <w:t>stimuleren van sparen en het</w:t>
      </w:r>
      <w:r w:rsidRPr="000323FD" w:rsidR="002B2E97">
        <w:rPr>
          <w:rFonts w:ascii="Verdana" w:hAnsi="Verdana" w:eastAsia="Times New Roman"/>
          <w:bCs/>
          <w:sz w:val="18"/>
          <w:szCs w:val="18"/>
          <w:lang w:eastAsia="nl-NL"/>
        </w:rPr>
        <w:t xml:space="preserve"> aanbod van spaarproducten.</w:t>
      </w:r>
      <w:r w:rsidR="00750F53">
        <w:rPr>
          <w:rFonts w:ascii="Verdana" w:hAnsi="Verdana" w:eastAsia="Times New Roman"/>
          <w:bCs/>
          <w:sz w:val="18"/>
          <w:szCs w:val="18"/>
          <w:lang w:eastAsia="nl-NL"/>
        </w:rPr>
        <w:t xml:space="preserve"> In deze visie ligt de nadruk inderdaad op financiële educatie en het sturen van gedrag. </w:t>
      </w:r>
      <w:r w:rsidRPr="000323FD" w:rsidR="000C081F">
        <w:rPr>
          <w:rFonts w:ascii="Verdana" w:hAnsi="Verdana" w:eastAsia="Times New Roman"/>
          <w:bCs/>
          <w:sz w:val="18"/>
          <w:szCs w:val="18"/>
          <w:lang w:eastAsia="nl-NL"/>
        </w:rPr>
        <w:t xml:space="preserve">De kabinetsvisie ten aanzien van het </w:t>
      </w:r>
      <w:r w:rsidRPr="000323FD" w:rsidR="00E44AAA">
        <w:rPr>
          <w:rFonts w:ascii="Verdana" w:hAnsi="Verdana" w:eastAsia="Times New Roman"/>
          <w:bCs/>
          <w:sz w:val="18"/>
          <w:szCs w:val="18"/>
          <w:lang w:eastAsia="nl-NL"/>
        </w:rPr>
        <w:t xml:space="preserve">herintroduceren van </w:t>
      </w:r>
      <w:proofErr w:type="spellStart"/>
      <w:r w:rsidRPr="000323FD" w:rsidR="00E44AAA">
        <w:rPr>
          <w:rFonts w:ascii="Verdana" w:hAnsi="Verdana" w:eastAsia="Times New Roman"/>
          <w:bCs/>
          <w:sz w:val="18"/>
          <w:szCs w:val="18"/>
          <w:lang w:eastAsia="nl-NL"/>
        </w:rPr>
        <w:t>zilvervlootsparen</w:t>
      </w:r>
      <w:proofErr w:type="spellEnd"/>
      <w:r w:rsidR="00AE598E">
        <w:rPr>
          <w:rFonts w:ascii="Verdana" w:hAnsi="Verdana" w:eastAsia="Times New Roman"/>
          <w:bCs/>
          <w:sz w:val="18"/>
          <w:szCs w:val="18"/>
          <w:lang w:eastAsia="nl-NL"/>
        </w:rPr>
        <w:t xml:space="preserve"> </w:t>
      </w:r>
      <w:r w:rsidRPr="000323FD" w:rsidR="00E44AAA">
        <w:rPr>
          <w:rFonts w:ascii="Verdana" w:hAnsi="Verdana" w:eastAsia="Times New Roman"/>
          <w:bCs/>
          <w:sz w:val="18"/>
          <w:szCs w:val="18"/>
          <w:lang w:eastAsia="nl-NL"/>
        </w:rPr>
        <w:t>blijft on</w:t>
      </w:r>
      <w:r w:rsidRPr="000323FD" w:rsidR="000C081F">
        <w:rPr>
          <w:rFonts w:ascii="Verdana" w:hAnsi="Verdana" w:eastAsia="Times New Roman"/>
          <w:bCs/>
          <w:sz w:val="18"/>
          <w:szCs w:val="18"/>
          <w:lang w:eastAsia="nl-NL"/>
        </w:rPr>
        <w:t xml:space="preserve">gewijzigd. Het kabinet ziet op </w:t>
      </w:r>
      <w:r w:rsidRPr="000323FD" w:rsidR="00E44AAA">
        <w:rPr>
          <w:rFonts w:ascii="Verdana" w:hAnsi="Verdana" w:eastAsia="Times New Roman"/>
          <w:bCs/>
          <w:sz w:val="18"/>
          <w:szCs w:val="18"/>
          <w:lang w:eastAsia="nl-NL"/>
        </w:rPr>
        <w:t xml:space="preserve">dit moment geen urgente </w:t>
      </w:r>
      <w:r w:rsidRPr="000323FD" w:rsidR="000C081F">
        <w:rPr>
          <w:rFonts w:ascii="Verdana" w:hAnsi="Verdana" w:eastAsia="Times New Roman"/>
          <w:bCs/>
          <w:sz w:val="18"/>
          <w:szCs w:val="18"/>
          <w:lang w:eastAsia="nl-NL"/>
        </w:rPr>
        <w:t xml:space="preserve">aanleiding om </w:t>
      </w:r>
      <w:r w:rsidRPr="000323FD" w:rsidR="00E44AAA">
        <w:rPr>
          <w:rFonts w:ascii="Verdana" w:hAnsi="Verdana" w:eastAsia="Times New Roman"/>
          <w:bCs/>
          <w:sz w:val="18"/>
          <w:szCs w:val="18"/>
          <w:lang w:eastAsia="nl-NL"/>
        </w:rPr>
        <w:t xml:space="preserve">sparen </w:t>
      </w:r>
      <w:r w:rsidR="00AE598E">
        <w:rPr>
          <w:rFonts w:ascii="Verdana" w:hAnsi="Verdana" w:eastAsia="Times New Roman"/>
          <w:bCs/>
          <w:sz w:val="18"/>
          <w:szCs w:val="18"/>
          <w:lang w:eastAsia="nl-NL"/>
        </w:rPr>
        <w:t>(</w:t>
      </w:r>
      <w:r w:rsidRPr="000323FD" w:rsidR="00E44AAA">
        <w:rPr>
          <w:rFonts w:ascii="Verdana" w:hAnsi="Verdana" w:eastAsia="Times New Roman"/>
          <w:bCs/>
          <w:sz w:val="18"/>
          <w:szCs w:val="18"/>
          <w:lang w:eastAsia="nl-NL"/>
        </w:rPr>
        <w:t>onder minderjarigen</w:t>
      </w:r>
      <w:r w:rsidR="00AE598E">
        <w:rPr>
          <w:rFonts w:ascii="Verdana" w:hAnsi="Verdana" w:eastAsia="Times New Roman"/>
          <w:bCs/>
          <w:sz w:val="18"/>
          <w:szCs w:val="18"/>
          <w:lang w:eastAsia="nl-NL"/>
        </w:rPr>
        <w:t>)</w:t>
      </w:r>
      <w:r w:rsidRPr="000323FD" w:rsidR="00E44AAA">
        <w:rPr>
          <w:rFonts w:ascii="Verdana" w:hAnsi="Verdana" w:eastAsia="Times New Roman"/>
          <w:bCs/>
          <w:sz w:val="18"/>
          <w:szCs w:val="18"/>
          <w:lang w:eastAsia="nl-NL"/>
        </w:rPr>
        <w:t xml:space="preserve"> </w:t>
      </w:r>
      <w:r w:rsidRPr="000323FD" w:rsidR="000C081F">
        <w:rPr>
          <w:rFonts w:ascii="Verdana" w:hAnsi="Verdana" w:eastAsia="Times New Roman"/>
          <w:bCs/>
          <w:sz w:val="18"/>
          <w:szCs w:val="18"/>
          <w:lang w:eastAsia="nl-NL"/>
        </w:rPr>
        <w:t>te stimuleren via</w:t>
      </w:r>
      <w:r w:rsidR="00750F53">
        <w:rPr>
          <w:rFonts w:ascii="Verdana" w:hAnsi="Verdana" w:eastAsia="Times New Roman"/>
          <w:bCs/>
          <w:sz w:val="18"/>
          <w:szCs w:val="18"/>
          <w:lang w:eastAsia="nl-NL"/>
        </w:rPr>
        <w:t xml:space="preserve"> een subsidiemaatregel</w:t>
      </w:r>
      <w:r w:rsidR="00AE598E">
        <w:rPr>
          <w:rFonts w:ascii="Verdana" w:hAnsi="Verdana" w:eastAsia="Times New Roman"/>
          <w:bCs/>
          <w:sz w:val="18"/>
          <w:szCs w:val="18"/>
          <w:lang w:eastAsia="nl-NL"/>
        </w:rPr>
        <w:t xml:space="preserve">. </w:t>
      </w:r>
      <w:r w:rsidR="00750F53">
        <w:rPr>
          <w:rFonts w:ascii="Verdana" w:hAnsi="Verdana" w:eastAsia="Times New Roman"/>
          <w:bCs/>
          <w:sz w:val="18"/>
          <w:szCs w:val="18"/>
          <w:lang w:eastAsia="nl-NL"/>
        </w:rPr>
        <w:t>Ook t</w:t>
      </w:r>
      <w:r w:rsidR="00AE598E">
        <w:rPr>
          <w:rFonts w:ascii="Verdana" w:hAnsi="Verdana" w:eastAsia="Times New Roman"/>
          <w:bCs/>
          <w:sz w:val="18"/>
          <w:szCs w:val="18"/>
          <w:lang w:eastAsia="nl-NL"/>
        </w:rPr>
        <w:t xml:space="preserve">en aanzien </w:t>
      </w:r>
      <w:r w:rsidRPr="003F0BA3" w:rsidR="00AE598E">
        <w:rPr>
          <w:rFonts w:ascii="Verdana" w:hAnsi="Verdana" w:eastAsia="Times New Roman"/>
          <w:bCs/>
          <w:sz w:val="18"/>
          <w:szCs w:val="18"/>
          <w:lang w:eastAsia="nl-NL"/>
        </w:rPr>
        <w:t xml:space="preserve">van bouwsparen is de zienswijze van het kabinet ongewijzigd. Zoals </w:t>
      </w:r>
      <w:r>
        <w:rPr>
          <w:rFonts w:ascii="Verdana" w:hAnsi="Verdana" w:eastAsia="Times New Roman"/>
          <w:bCs/>
          <w:sz w:val="18"/>
          <w:szCs w:val="18"/>
          <w:lang w:eastAsia="nl-NL"/>
        </w:rPr>
        <w:t xml:space="preserve">is </w:t>
      </w:r>
      <w:r w:rsidRPr="003F0BA3" w:rsidR="00AE598E">
        <w:rPr>
          <w:rFonts w:ascii="Verdana" w:hAnsi="Verdana" w:eastAsia="Times New Roman"/>
          <w:bCs/>
          <w:sz w:val="18"/>
          <w:szCs w:val="18"/>
          <w:lang w:eastAsia="nl-NL"/>
        </w:rPr>
        <w:t xml:space="preserve">toegelicht in een </w:t>
      </w:r>
      <w:r>
        <w:rPr>
          <w:rFonts w:ascii="Verdana" w:hAnsi="Verdana" w:eastAsia="Times New Roman"/>
          <w:bCs/>
          <w:sz w:val="18"/>
          <w:szCs w:val="18"/>
          <w:lang w:eastAsia="nl-NL"/>
        </w:rPr>
        <w:t>K</w:t>
      </w:r>
      <w:r w:rsidRPr="003F0BA3" w:rsidR="00AE598E">
        <w:rPr>
          <w:rFonts w:ascii="Verdana" w:hAnsi="Verdana" w:eastAsia="Times New Roman"/>
          <w:bCs/>
          <w:sz w:val="18"/>
          <w:szCs w:val="18"/>
          <w:lang w:eastAsia="nl-NL"/>
        </w:rPr>
        <w:t>amerbrief</w:t>
      </w:r>
      <w:r w:rsidRPr="00F3521D" w:rsidR="00AE598E">
        <w:rPr>
          <w:rStyle w:val="Voetnootmarkering"/>
          <w:rFonts w:ascii="Verdana" w:hAnsi="Verdana" w:eastAsia="Times New Roman"/>
          <w:bCs/>
          <w:sz w:val="18"/>
          <w:szCs w:val="18"/>
          <w:lang w:eastAsia="nl-NL"/>
        </w:rPr>
        <w:footnoteReference w:id="6"/>
      </w:r>
      <w:r w:rsidRPr="003F0BA3" w:rsidR="00AE598E">
        <w:rPr>
          <w:rFonts w:ascii="Verdana" w:hAnsi="Verdana" w:eastAsia="Times New Roman"/>
          <w:bCs/>
          <w:sz w:val="18"/>
          <w:szCs w:val="18"/>
          <w:lang w:eastAsia="nl-NL"/>
        </w:rPr>
        <w:t xml:space="preserve"> heeft de financieringsvorm bouwsparen binnen het huidige stelsel naar het oordeel van het kabinet geen toegevoegde waarde voor de Nederlandse</w:t>
      </w:r>
      <w:r w:rsidR="00750F53">
        <w:rPr>
          <w:rFonts w:ascii="Verdana" w:hAnsi="Verdana" w:eastAsia="Times New Roman"/>
          <w:bCs/>
          <w:sz w:val="18"/>
          <w:szCs w:val="18"/>
          <w:lang w:eastAsia="nl-NL"/>
        </w:rPr>
        <w:t xml:space="preserve"> markt. </w:t>
      </w:r>
    </w:p>
    <w:p w:rsidR="002E5C02" w:rsidP="003F0BA3" w:rsidRDefault="002E5C02" w14:paraId="338B8D77" w14:textId="77777777">
      <w:pPr>
        <w:pStyle w:val="Geenafstand"/>
        <w:rPr>
          <w:rFonts w:ascii="Verdana" w:hAnsi="Verdana" w:eastAsia="Times New Roman"/>
          <w:bCs/>
          <w:sz w:val="18"/>
          <w:szCs w:val="18"/>
          <w:lang w:eastAsia="nl-NL"/>
        </w:rPr>
      </w:pPr>
    </w:p>
    <w:p w:rsidR="003F0BA3" w:rsidP="003F0BA3" w:rsidRDefault="003F0BA3" w14:paraId="4DDAB366" w14:textId="39958FB8">
      <w:pPr>
        <w:pStyle w:val="Geenafstand"/>
        <w:rPr>
          <w:rFonts w:ascii="Verdana" w:hAnsi="Verdana" w:eastAsia="Times New Roman"/>
          <w:bCs/>
          <w:sz w:val="18"/>
          <w:szCs w:val="18"/>
          <w:lang w:eastAsia="nl-NL"/>
        </w:rPr>
      </w:pPr>
      <w:r w:rsidRPr="003F0BA3">
        <w:rPr>
          <w:rFonts w:ascii="Verdana" w:hAnsi="Verdana" w:eastAsia="Times New Roman"/>
          <w:bCs/>
          <w:sz w:val="18"/>
          <w:szCs w:val="18"/>
          <w:lang w:eastAsia="nl-NL"/>
        </w:rPr>
        <w:t xml:space="preserve">Zoals in </w:t>
      </w:r>
      <w:r w:rsidR="00014786">
        <w:rPr>
          <w:rFonts w:ascii="Verdana" w:hAnsi="Verdana" w:eastAsia="Times New Roman"/>
          <w:bCs/>
          <w:sz w:val="18"/>
          <w:szCs w:val="18"/>
          <w:lang w:eastAsia="nl-NL"/>
        </w:rPr>
        <w:t>d</w:t>
      </w:r>
      <w:r w:rsidR="002F2507">
        <w:rPr>
          <w:rFonts w:ascii="Verdana" w:hAnsi="Verdana" w:eastAsia="Times New Roman"/>
          <w:bCs/>
          <w:sz w:val="18"/>
          <w:szCs w:val="18"/>
          <w:lang w:eastAsia="nl-NL"/>
        </w:rPr>
        <w:t xml:space="preserve">e </w:t>
      </w:r>
      <w:r w:rsidR="00B70006">
        <w:rPr>
          <w:rFonts w:ascii="Verdana" w:hAnsi="Verdana" w:eastAsia="Times New Roman"/>
          <w:bCs/>
          <w:sz w:val="18"/>
          <w:szCs w:val="18"/>
          <w:lang w:eastAsia="nl-NL"/>
        </w:rPr>
        <w:t>K</w:t>
      </w:r>
      <w:r w:rsidR="002F2507">
        <w:rPr>
          <w:rFonts w:ascii="Verdana" w:hAnsi="Verdana" w:eastAsia="Times New Roman"/>
          <w:bCs/>
          <w:sz w:val="18"/>
          <w:szCs w:val="18"/>
          <w:lang w:eastAsia="nl-NL"/>
        </w:rPr>
        <w:t>amerbrief</w:t>
      </w:r>
      <w:r w:rsidRPr="000323FD" w:rsidR="002F2507">
        <w:rPr>
          <w:rStyle w:val="Voetnootmarkering"/>
          <w:rFonts w:ascii="Verdana" w:hAnsi="Verdana" w:eastAsia="Times New Roman"/>
          <w:bCs/>
          <w:sz w:val="18"/>
          <w:szCs w:val="18"/>
          <w:lang w:eastAsia="nl-NL"/>
        </w:rPr>
        <w:footnoteReference w:id="7"/>
      </w:r>
      <w:r w:rsidR="007120E9">
        <w:rPr>
          <w:rFonts w:ascii="Verdana" w:hAnsi="Verdana" w:eastAsia="Times New Roman"/>
          <w:bCs/>
          <w:sz w:val="18"/>
          <w:szCs w:val="18"/>
          <w:lang w:eastAsia="nl-NL"/>
        </w:rPr>
        <w:t xml:space="preserve"> </w:t>
      </w:r>
      <w:r w:rsidR="002F2507">
        <w:rPr>
          <w:rFonts w:ascii="Verdana" w:hAnsi="Verdana" w:eastAsia="Times New Roman"/>
          <w:bCs/>
          <w:sz w:val="18"/>
          <w:szCs w:val="18"/>
          <w:lang w:eastAsia="nl-NL"/>
        </w:rPr>
        <w:t>over</w:t>
      </w:r>
      <w:r w:rsidR="007120E9">
        <w:rPr>
          <w:rFonts w:ascii="Verdana" w:hAnsi="Verdana" w:eastAsia="Times New Roman"/>
          <w:bCs/>
          <w:sz w:val="18"/>
          <w:szCs w:val="18"/>
          <w:lang w:eastAsia="nl-NL"/>
        </w:rPr>
        <w:t xml:space="preserve"> het stimuleren van sparen</w:t>
      </w:r>
      <w:r w:rsidRPr="000323FD" w:rsidR="004C49BD">
        <w:rPr>
          <w:rFonts w:ascii="Verdana" w:hAnsi="Verdana" w:eastAsia="Times New Roman"/>
          <w:bCs/>
          <w:sz w:val="18"/>
          <w:szCs w:val="18"/>
          <w:lang w:eastAsia="nl-NL"/>
        </w:rPr>
        <w:t xml:space="preserve"> </w:t>
      </w:r>
      <w:r w:rsidRPr="003F0BA3">
        <w:rPr>
          <w:rFonts w:ascii="Verdana" w:hAnsi="Verdana" w:eastAsia="Times New Roman"/>
          <w:bCs/>
          <w:sz w:val="18"/>
          <w:szCs w:val="18"/>
          <w:lang w:eastAsia="nl-NL"/>
        </w:rPr>
        <w:t xml:space="preserve">is toegelicht, </w:t>
      </w:r>
      <w:r>
        <w:rPr>
          <w:rFonts w:ascii="Verdana" w:hAnsi="Verdana" w:eastAsia="Times New Roman"/>
          <w:bCs/>
          <w:sz w:val="18"/>
          <w:szCs w:val="18"/>
          <w:lang w:eastAsia="nl-NL"/>
        </w:rPr>
        <w:t>blij</w:t>
      </w:r>
      <w:r w:rsidR="00750F53">
        <w:rPr>
          <w:rFonts w:ascii="Verdana" w:hAnsi="Verdana" w:eastAsia="Times New Roman"/>
          <w:bCs/>
          <w:sz w:val="18"/>
          <w:szCs w:val="18"/>
          <w:lang w:eastAsia="nl-NL"/>
        </w:rPr>
        <w:t>k</w:t>
      </w:r>
      <w:r>
        <w:rPr>
          <w:rFonts w:ascii="Verdana" w:hAnsi="Verdana" w:eastAsia="Times New Roman"/>
          <w:bCs/>
          <w:sz w:val="18"/>
          <w:szCs w:val="18"/>
          <w:lang w:eastAsia="nl-NL"/>
        </w:rPr>
        <w:t>t</w:t>
      </w:r>
      <w:r w:rsidRPr="003F0BA3">
        <w:rPr>
          <w:rFonts w:ascii="Verdana" w:hAnsi="Verdana" w:eastAsia="Times New Roman"/>
          <w:bCs/>
          <w:sz w:val="18"/>
          <w:szCs w:val="18"/>
          <w:lang w:eastAsia="nl-NL"/>
        </w:rPr>
        <w:t xml:space="preserve"> dat de meeste impact te bereiken is bij huishoudens die wel de mogelijkheid hebben om te sparen, maar dit in de praktijk niet doen. Het gaat hierbij om huishoudens met midden- en hoge inkomens die, door het </w:t>
      </w:r>
      <w:r w:rsidRPr="003F0BA3">
        <w:rPr>
          <w:rFonts w:ascii="Verdana" w:hAnsi="Verdana" w:eastAsia="Times New Roman"/>
          <w:bCs/>
          <w:sz w:val="18"/>
          <w:szCs w:val="18"/>
          <w:lang w:eastAsia="nl-NL"/>
        </w:rPr>
        <w:lastRenderedPageBreak/>
        <w:t xml:space="preserve">ontbreken van een financiële buffer, onnodig kwetsbaar zijn voor financiële tegenslagen. </w:t>
      </w:r>
      <w:r>
        <w:rPr>
          <w:rFonts w:ascii="Verdana" w:hAnsi="Verdana" w:eastAsia="Times New Roman"/>
          <w:bCs/>
          <w:sz w:val="18"/>
          <w:szCs w:val="18"/>
          <w:lang w:eastAsia="nl-NL"/>
        </w:rPr>
        <w:t>Momenteel</w:t>
      </w:r>
      <w:r w:rsidRPr="003F0BA3">
        <w:rPr>
          <w:rFonts w:ascii="Verdana" w:hAnsi="Verdana" w:eastAsia="Times New Roman"/>
          <w:bCs/>
          <w:sz w:val="18"/>
          <w:szCs w:val="18"/>
          <w:lang w:eastAsia="nl-NL"/>
        </w:rPr>
        <w:t xml:space="preserve"> </w:t>
      </w:r>
      <w:r w:rsidR="00750F53">
        <w:rPr>
          <w:rFonts w:ascii="Verdana" w:hAnsi="Verdana" w:eastAsia="Times New Roman"/>
          <w:bCs/>
          <w:sz w:val="18"/>
          <w:szCs w:val="18"/>
          <w:lang w:eastAsia="nl-NL"/>
        </w:rPr>
        <w:t>voert</w:t>
      </w:r>
      <w:r w:rsidRPr="003F0BA3">
        <w:rPr>
          <w:rFonts w:ascii="Verdana" w:hAnsi="Verdana" w:eastAsia="Times New Roman"/>
          <w:bCs/>
          <w:sz w:val="18"/>
          <w:szCs w:val="18"/>
          <w:lang w:eastAsia="nl-NL"/>
        </w:rPr>
        <w:t xml:space="preserve"> een</w:t>
      </w:r>
      <w:r w:rsidR="00750F53">
        <w:rPr>
          <w:rFonts w:ascii="Verdana" w:hAnsi="Verdana" w:eastAsia="Times New Roman"/>
          <w:bCs/>
          <w:sz w:val="18"/>
          <w:szCs w:val="18"/>
          <w:lang w:eastAsia="nl-NL"/>
        </w:rPr>
        <w:t xml:space="preserve"> extern bureau in opdracht van </w:t>
      </w:r>
      <w:r w:rsidR="00B70006">
        <w:rPr>
          <w:rFonts w:ascii="Verdana" w:hAnsi="Verdana" w:eastAsia="Times New Roman"/>
          <w:bCs/>
          <w:sz w:val="18"/>
          <w:szCs w:val="18"/>
          <w:lang w:eastAsia="nl-NL"/>
        </w:rPr>
        <w:t>het</w:t>
      </w:r>
      <w:r w:rsidR="00750F53">
        <w:rPr>
          <w:rFonts w:ascii="Verdana" w:hAnsi="Verdana" w:eastAsia="Times New Roman"/>
          <w:bCs/>
          <w:sz w:val="18"/>
          <w:szCs w:val="18"/>
          <w:lang w:eastAsia="nl-NL"/>
        </w:rPr>
        <w:t xml:space="preserve"> ministerie </w:t>
      </w:r>
      <w:r w:rsidR="00B70006">
        <w:rPr>
          <w:rFonts w:ascii="Verdana" w:hAnsi="Verdana" w:eastAsia="Times New Roman"/>
          <w:bCs/>
          <w:sz w:val="18"/>
          <w:szCs w:val="18"/>
          <w:lang w:eastAsia="nl-NL"/>
        </w:rPr>
        <w:t xml:space="preserve">van Financiën </w:t>
      </w:r>
      <w:r w:rsidR="00750F53">
        <w:rPr>
          <w:rFonts w:ascii="Verdana" w:hAnsi="Verdana" w:eastAsia="Times New Roman"/>
          <w:bCs/>
          <w:sz w:val="18"/>
          <w:szCs w:val="18"/>
          <w:lang w:eastAsia="nl-NL"/>
        </w:rPr>
        <w:t>een</w:t>
      </w:r>
      <w:r w:rsidRPr="003F0BA3">
        <w:rPr>
          <w:rFonts w:ascii="Verdana" w:hAnsi="Verdana" w:eastAsia="Times New Roman"/>
          <w:bCs/>
          <w:sz w:val="18"/>
          <w:szCs w:val="18"/>
          <w:lang w:eastAsia="nl-NL"/>
        </w:rPr>
        <w:t xml:space="preserve"> gedragsonderzoek </w:t>
      </w:r>
      <w:r w:rsidR="00B70006">
        <w:rPr>
          <w:rFonts w:ascii="Verdana" w:hAnsi="Verdana" w:eastAsia="Times New Roman"/>
          <w:bCs/>
          <w:sz w:val="18"/>
          <w:szCs w:val="18"/>
          <w:lang w:eastAsia="nl-NL"/>
        </w:rPr>
        <w:t xml:space="preserve">uit </w:t>
      </w:r>
      <w:r w:rsidRPr="003F0BA3">
        <w:rPr>
          <w:rFonts w:ascii="Verdana" w:hAnsi="Verdana" w:eastAsia="Times New Roman"/>
          <w:bCs/>
          <w:sz w:val="18"/>
          <w:szCs w:val="18"/>
          <w:lang w:eastAsia="nl-NL"/>
        </w:rPr>
        <w:t xml:space="preserve">naar deze specifieke doelgroep. In dat onderzoek </w:t>
      </w:r>
      <w:r w:rsidR="00684650">
        <w:rPr>
          <w:rFonts w:ascii="Verdana" w:hAnsi="Verdana" w:eastAsia="Times New Roman"/>
          <w:bCs/>
          <w:sz w:val="18"/>
          <w:szCs w:val="18"/>
          <w:lang w:eastAsia="nl-NL"/>
        </w:rPr>
        <w:t>kijken de onderzoekers</w:t>
      </w:r>
      <w:r w:rsidRPr="003F0BA3">
        <w:rPr>
          <w:rFonts w:ascii="Verdana" w:hAnsi="Verdana" w:eastAsia="Times New Roman"/>
          <w:bCs/>
          <w:sz w:val="18"/>
          <w:szCs w:val="18"/>
          <w:lang w:eastAsia="nl-NL"/>
        </w:rPr>
        <w:t xml:space="preserve"> naar de achterliggende gedragsinzichten, oorzaken en belemmeringen die hen ervan weerhouden om een spaarbuffer op te bouwen.</w:t>
      </w:r>
      <w:r w:rsidRPr="003F0BA3">
        <w:t xml:space="preserve"> </w:t>
      </w:r>
      <w:r w:rsidRPr="003F0BA3">
        <w:rPr>
          <w:rFonts w:ascii="Verdana" w:hAnsi="Verdana" w:eastAsia="Times New Roman"/>
          <w:bCs/>
          <w:sz w:val="18"/>
          <w:szCs w:val="18"/>
          <w:lang w:eastAsia="nl-NL"/>
        </w:rPr>
        <w:t xml:space="preserve">De uitkomsten van dit onderzoek </w:t>
      </w:r>
      <w:r w:rsidR="00B70006">
        <w:rPr>
          <w:rFonts w:ascii="Verdana" w:hAnsi="Verdana" w:eastAsia="Times New Roman"/>
          <w:bCs/>
          <w:sz w:val="18"/>
          <w:szCs w:val="18"/>
          <w:lang w:eastAsia="nl-NL"/>
        </w:rPr>
        <w:t xml:space="preserve">worden </w:t>
      </w:r>
      <w:r w:rsidRPr="003F0BA3">
        <w:rPr>
          <w:rFonts w:ascii="Verdana" w:hAnsi="Verdana" w:eastAsia="Times New Roman"/>
          <w:bCs/>
          <w:sz w:val="18"/>
          <w:szCs w:val="18"/>
          <w:lang w:eastAsia="nl-NL"/>
        </w:rPr>
        <w:t xml:space="preserve">medio </w:t>
      </w:r>
      <w:r w:rsidR="00E54253">
        <w:rPr>
          <w:rFonts w:ascii="Verdana" w:hAnsi="Verdana" w:eastAsia="Times New Roman"/>
          <w:bCs/>
          <w:sz w:val="18"/>
          <w:szCs w:val="18"/>
          <w:lang w:eastAsia="nl-NL"/>
        </w:rPr>
        <w:t>2026</w:t>
      </w:r>
      <w:r w:rsidRPr="003F0BA3">
        <w:rPr>
          <w:rFonts w:ascii="Verdana" w:hAnsi="Verdana" w:eastAsia="Times New Roman"/>
          <w:bCs/>
          <w:sz w:val="18"/>
          <w:szCs w:val="18"/>
          <w:lang w:eastAsia="nl-NL"/>
        </w:rPr>
        <w:t xml:space="preserve"> </w:t>
      </w:r>
      <w:r w:rsidR="00B70006">
        <w:rPr>
          <w:rFonts w:ascii="Verdana" w:hAnsi="Verdana" w:eastAsia="Times New Roman"/>
          <w:bCs/>
          <w:sz w:val="18"/>
          <w:szCs w:val="18"/>
          <w:lang w:eastAsia="nl-NL"/>
        </w:rPr>
        <w:t>verwacht</w:t>
      </w:r>
      <w:r w:rsidRPr="003F0BA3">
        <w:rPr>
          <w:rFonts w:ascii="Verdana" w:hAnsi="Verdana" w:eastAsia="Times New Roman"/>
          <w:bCs/>
          <w:sz w:val="18"/>
          <w:szCs w:val="18"/>
          <w:lang w:eastAsia="nl-NL"/>
        </w:rPr>
        <w:t>.</w:t>
      </w:r>
    </w:p>
    <w:p w:rsidRPr="003F0BA3" w:rsidR="007120E9" w:rsidP="003F0BA3" w:rsidRDefault="007120E9" w14:paraId="2F8F7835" w14:textId="77777777">
      <w:pPr>
        <w:pStyle w:val="Geenafstand"/>
        <w:rPr>
          <w:rFonts w:ascii="Verdana" w:hAnsi="Verdana" w:eastAsia="Times New Roman"/>
          <w:bCs/>
          <w:sz w:val="18"/>
          <w:szCs w:val="18"/>
          <w:lang w:eastAsia="nl-NL"/>
        </w:rPr>
      </w:pPr>
    </w:p>
    <w:p w:rsidRPr="005E13C5" w:rsidR="005E13C5" w:rsidP="00684650" w:rsidRDefault="00B70006" w14:paraId="65597AED" w14:textId="003E1A5A">
      <w:pPr>
        <w:pStyle w:val="Geenafstand"/>
        <w:rPr>
          <w:rFonts w:ascii="Verdana" w:hAnsi="Verdana" w:eastAsia="Times New Roman"/>
          <w:bCs/>
          <w:sz w:val="18"/>
          <w:szCs w:val="18"/>
          <w:lang w:eastAsia="nl-NL"/>
        </w:rPr>
      </w:pPr>
      <w:r>
        <w:rPr>
          <w:rFonts w:ascii="Verdana" w:hAnsi="Verdana" w:eastAsia="Times New Roman"/>
          <w:bCs/>
          <w:sz w:val="18"/>
          <w:szCs w:val="18"/>
          <w:lang w:eastAsia="nl-NL"/>
        </w:rPr>
        <w:t>H</w:t>
      </w:r>
      <w:r w:rsidR="003326E9">
        <w:rPr>
          <w:rFonts w:ascii="Verdana" w:hAnsi="Verdana" w:eastAsia="Times New Roman"/>
          <w:bCs/>
          <w:sz w:val="18"/>
          <w:szCs w:val="18"/>
          <w:lang w:eastAsia="nl-NL"/>
        </w:rPr>
        <w:t xml:space="preserve">et </w:t>
      </w:r>
      <w:r w:rsidRPr="005E13C5" w:rsidR="005E13C5">
        <w:rPr>
          <w:rFonts w:ascii="Verdana" w:hAnsi="Verdana" w:eastAsia="Times New Roman"/>
          <w:bCs/>
          <w:sz w:val="18"/>
          <w:szCs w:val="18"/>
          <w:lang w:eastAsia="nl-NL"/>
        </w:rPr>
        <w:t xml:space="preserve">kabinet </w:t>
      </w:r>
      <w:r>
        <w:rPr>
          <w:rFonts w:ascii="Verdana" w:hAnsi="Verdana" w:eastAsia="Times New Roman"/>
          <w:bCs/>
          <w:sz w:val="18"/>
          <w:szCs w:val="18"/>
          <w:lang w:eastAsia="nl-NL"/>
        </w:rPr>
        <w:t xml:space="preserve">sprak </w:t>
      </w:r>
      <w:r w:rsidR="003326E9">
        <w:rPr>
          <w:rFonts w:ascii="Verdana" w:hAnsi="Verdana" w:eastAsia="Times New Roman"/>
          <w:bCs/>
          <w:sz w:val="18"/>
          <w:szCs w:val="18"/>
          <w:lang w:eastAsia="nl-NL"/>
        </w:rPr>
        <w:t>zich in de</w:t>
      </w:r>
      <w:r w:rsidRPr="005E13C5" w:rsidR="005E13C5">
        <w:rPr>
          <w:rFonts w:ascii="Verdana" w:hAnsi="Verdana" w:eastAsia="Times New Roman"/>
          <w:bCs/>
          <w:sz w:val="18"/>
          <w:szCs w:val="18"/>
          <w:lang w:eastAsia="nl-NL"/>
        </w:rPr>
        <w:t xml:space="preserve"> kabinetsinzet </w:t>
      </w:r>
      <w:r>
        <w:rPr>
          <w:rFonts w:ascii="Verdana" w:hAnsi="Verdana" w:eastAsia="Times New Roman"/>
          <w:bCs/>
          <w:sz w:val="18"/>
          <w:szCs w:val="18"/>
          <w:lang w:eastAsia="nl-NL"/>
        </w:rPr>
        <w:t xml:space="preserve">voor de Europese </w:t>
      </w:r>
      <w:r w:rsidRPr="005E13C5" w:rsidR="005E13C5">
        <w:rPr>
          <w:rFonts w:ascii="Verdana" w:hAnsi="Verdana" w:eastAsia="Times New Roman"/>
          <w:bCs/>
          <w:sz w:val="18"/>
          <w:szCs w:val="18"/>
          <w:lang w:eastAsia="nl-NL"/>
        </w:rPr>
        <w:t>kapitaalmarktunie</w:t>
      </w:r>
      <w:r w:rsidRPr="005E13C5" w:rsidR="005E13C5">
        <w:rPr>
          <w:rStyle w:val="Voetnootmarkering"/>
          <w:rFonts w:ascii="Verdana" w:hAnsi="Verdana" w:eastAsia="Times New Roman"/>
          <w:bCs/>
          <w:sz w:val="18"/>
          <w:szCs w:val="18"/>
          <w:lang w:eastAsia="nl-NL"/>
        </w:rPr>
        <w:footnoteReference w:id="8"/>
      </w:r>
      <w:r w:rsidRPr="005E13C5" w:rsidR="005E13C5">
        <w:rPr>
          <w:rFonts w:ascii="Verdana" w:hAnsi="Verdana" w:eastAsia="Times New Roman"/>
          <w:bCs/>
          <w:sz w:val="18"/>
          <w:szCs w:val="18"/>
          <w:lang w:eastAsia="nl-NL"/>
        </w:rPr>
        <w:t xml:space="preserve"> </w:t>
      </w:r>
      <w:proofErr w:type="gramStart"/>
      <w:r w:rsidR="003326E9">
        <w:rPr>
          <w:rFonts w:ascii="Verdana" w:hAnsi="Verdana" w:eastAsia="Times New Roman"/>
          <w:bCs/>
          <w:sz w:val="18"/>
          <w:szCs w:val="18"/>
          <w:lang w:eastAsia="nl-NL"/>
        </w:rPr>
        <w:t>reeds</w:t>
      </w:r>
      <w:proofErr w:type="gramEnd"/>
      <w:r w:rsidR="003326E9">
        <w:rPr>
          <w:rFonts w:ascii="Verdana" w:hAnsi="Verdana" w:eastAsia="Times New Roman"/>
          <w:bCs/>
          <w:sz w:val="18"/>
          <w:szCs w:val="18"/>
          <w:lang w:eastAsia="nl-NL"/>
        </w:rPr>
        <w:t xml:space="preserve"> </w:t>
      </w:r>
      <w:r w:rsidRPr="005E13C5" w:rsidR="005E13C5">
        <w:rPr>
          <w:rFonts w:ascii="Verdana" w:hAnsi="Verdana" w:eastAsia="Times New Roman"/>
          <w:bCs/>
          <w:sz w:val="18"/>
          <w:szCs w:val="18"/>
          <w:lang w:eastAsia="nl-NL"/>
        </w:rPr>
        <w:t xml:space="preserve">positief </w:t>
      </w:r>
      <w:r>
        <w:rPr>
          <w:rFonts w:ascii="Verdana" w:hAnsi="Verdana" w:eastAsia="Times New Roman"/>
          <w:bCs/>
          <w:sz w:val="18"/>
          <w:szCs w:val="18"/>
          <w:lang w:eastAsia="nl-NL"/>
        </w:rPr>
        <w:t>uit</w:t>
      </w:r>
      <w:r w:rsidRPr="005E13C5" w:rsidR="005E13C5">
        <w:rPr>
          <w:rFonts w:ascii="Verdana" w:hAnsi="Verdana" w:eastAsia="Times New Roman"/>
          <w:bCs/>
          <w:sz w:val="18"/>
          <w:szCs w:val="18"/>
          <w:lang w:eastAsia="nl-NL"/>
        </w:rPr>
        <w:t xml:space="preserve"> over mogelijkheden om consumenten die veel sparen en verantwoord meer zouden kunnen beleggen, aan te moedigen om te (beginnen met) beleggen. Daarnaast </w:t>
      </w:r>
      <w:r>
        <w:rPr>
          <w:rFonts w:ascii="Verdana" w:hAnsi="Verdana" w:eastAsia="Times New Roman"/>
          <w:bCs/>
          <w:sz w:val="18"/>
          <w:szCs w:val="18"/>
          <w:lang w:eastAsia="nl-NL"/>
        </w:rPr>
        <w:t>tekende</w:t>
      </w:r>
      <w:r w:rsidRPr="005E13C5" w:rsidR="005E13C5">
        <w:rPr>
          <w:rFonts w:ascii="Verdana" w:hAnsi="Verdana" w:eastAsia="Times New Roman"/>
          <w:bCs/>
          <w:sz w:val="18"/>
          <w:szCs w:val="18"/>
          <w:lang w:eastAsia="nl-NL"/>
        </w:rPr>
        <w:t xml:space="preserve"> Nederland op 5 juni </w:t>
      </w:r>
      <w:r w:rsidR="00086549">
        <w:rPr>
          <w:rFonts w:ascii="Verdana" w:hAnsi="Verdana" w:eastAsia="Times New Roman"/>
          <w:bCs/>
          <w:sz w:val="18"/>
          <w:szCs w:val="18"/>
          <w:lang w:eastAsia="nl-NL"/>
        </w:rPr>
        <w:t>jl.</w:t>
      </w:r>
      <w:r w:rsidRPr="005E13C5" w:rsidR="005E13C5">
        <w:rPr>
          <w:rFonts w:ascii="Verdana" w:hAnsi="Verdana" w:eastAsia="Times New Roman"/>
          <w:bCs/>
          <w:sz w:val="18"/>
          <w:szCs w:val="18"/>
          <w:lang w:eastAsia="nl-NL"/>
        </w:rPr>
        <w:t xml:space="preserve"> in een kopgroep van deelnemende lidstaten een intentieverklaring voor de lancering van het beleggingslabel Finance Europe, wat als doel heeft om meer en duidelijke mogelijkheden </w:t>
      </w:r>
      <w:r w:rsidR="0016329B">
        <w:rPr>
          <w:rFonts w:ascii="Verdana" w:hAnsi="Verdana" w:eastAsia="Times New Roman"/>
          <w:bCs/>
          <w:sz w:val="18"/>
          <w:szCs w:val="18"/>
          <w:lang w:eastAsia="nl-NL"/>
        </w:rPr>
        <w:t xml:space="preserve">te </w:t>
      </w:r>
      <w:r w:rsidRPr="005E13C5" w:rsidR="005E13C5">
        <w:rPr>
          <w:rFonts w:ascii="Verdana" w:hAnsi="Verdana" w:eastAsia="Times New Roman"/>
          <w:bCs/>
          <w:sz w:val="18"/>
          <w:szCs w:val="18"/>
          <w:lang w:eastAsia="nl-NL"/>
        </w:rPr>
        <w:t>geven om te beleggen in de Europese economie om zodoende het rendement op hun vermogen te vergroten.</w:t>
      </w:r>
      <w:r w:rsidRPr="005E13C5" w:rsidR="005E13C5">
        <w:rPr>
          <w:rStyle w:val="Voetnootmarkering"/>
          <w:rFonts w:ascii="Verdana" w:hAnsi="Verdana" w:eastAsia="Times New Roman"/>
          <w:bCs/>
          <w:sz w:val="18"/>
          <w:szCs w:val="18"/>
          <w:lang w:eastAsia="nl-NL"/>
        </w:rPr>
        <w:footnoteReference w:id="9"/>
      </w:r>
      <w:r w:rsidRPr="005E13C5" w:rsidR="005E13C5">
        <w:rPr>
          <w:rFonts w:ascii="Verdana" w:hAnsi="Verdana" w:eastAsia="Times New Roman"/>
          <w:bCs/>
          <w:sz w:val="18"/>
          <w:szCs w:val="18"/>
          <w:lang w:eastAsia="nl-NL"/>
        </w:rPr>
        <w:t xml:space="preserve"> Ook </w:t>
      </w:r>
      <w:r>
        <w:rPr>
          <w:rFonts w:ascii="Verdana" w:hAnsi="Verdana" w:eastAsia="Times New Roman"/>
          <w:bCs/>
          <w:sz w:val="18"/>
          <w:szCs w:val="18"/>
          <w:lang w:eastAsia="nl-NL"/>
        </w:rPr>
        <w:t>beoordeelde</w:t>
      </w:r>
      <w:r w:rsidRPr="005E13C5" w:rsidR="005E13C5">
        <w:rPr>
          <w:rFonts w:ascii="Verdana" w:hAnsi="Verdana" w:eastAsia="Times New Roman"/>
          <w:bCs/>
          <w:sz w:val="18"/>
          <w:szCs w:val="18"/>
          <w:lang w:eastAsia="nl-NL"/>
        </w:rPr>
        <w:t xml:space="preserve"> het kabinet de aanbeveling van de Commissie voor een raamwerk voor een (EU-)beleggingsrekening positief</w:t>
      </w:r>
      <w:r w:rsidR="003A65DE">
        <w:rPr>
          <w:rFonts w:ascii="Verdana" w:hAnsi="Verdana" w:eastAsia="Times New Roman"/>
          <w:bCs/>
          <w:sz w:val="18"/>
          <w:szCs w:val="18"/>
          <w:lang w:eastAsia="nl-NL"/>
        </w:rPr>
        <w:t>.</w:t>
      </w:r>
      <w:r w:rsidRPr="005E13C5" w:rsidR="005E13C5">
        <w:rPr>
          <w:rStyle w:val="Voetnootmarkering"/>
          <w:rFonts w:ascii="Verdana" w:hAnsi="Verdana" w:eastAsia="Times New Roman"/>
          <w:bCs/>
          <w:sz w:val="18"/>
          <w:szCs w:val="18"/>
          <w:lang w:eastAsia="nl-NL"/>
        </w:rPr>
        <w:footnoteReference w:id="10"/>
      </w:r>
      <w:r w:rsidRPr="005E13C5" w:rsidR="005E13C5">
        <w:rPr>
          <w:rFonts w:ascii="Verdana" w:hAnsi="Verdana" w:eastAsia="Times New Roman"/>
          <w:bCs/>
          <w:sz w:val="18"/>
          <w:szCs w:val="18"/>
          <w:lang w:eastAsia="nl-NL"/>
        </w:rPr>
        <w:t xml:space="preserve"> Voor zowel Finance Europe als voor de (EU-)beleggingsrekening geldt dat eventuele fiscale stimulering pas </w:t>
      </w:r>
      <w:r>
        <w:rPr>
          <w:rFonts w:ascii="Verdana" w:hAnsi="Verdana" w:eastAsia="Times New Roman"/>
          <w:bCs/>
          <w:sz w:val="18"/>
          <w:szCs w:val="18"/>
          <w:lang w:eastAsia="nl-NL"/>
        </w:rPr>
        <w:t>wordt</w:t>
      </w:r>
      <w:r w:rsidRPr="005E13C5" w:rsidR="005E13C5">
        <w:rPr>
          <w:rFonts w:ascii="Verdana" w:hAnsi="Verdana" w:eastAsia="Times New Roman"/>
          <w:bCs/>
          <w:sz w:val="18"/>
          <w:szCs w:val="18"/>
          <w:lang w:eastAsia="nl-NL"/>
        </w:rPr>
        <w:t xml:space="preserve"> onderzocht wanneer het nieuwe box 3-stelsel in werking is getreden. Om hier toch meer vaart achter te zetten, heeft het kabinet tijdens het Commissiedebat Eurogroep/</w:t>
      </w:r>
      <w:proofErr w:type="spellStart"/>
      <w:r w:rsidRPr="005E13C5" w:rsidR="005E13C5">
        <w:rPr>
          <w:rFonts w:ascii="Verdana" w:hAnsi="Verdana" w:eastAsia="Times New Roman"/>
          <w:bCs/>
          <w:sz w:val="18"/>
          <w:szCs w:val="18"/>
          <w:lang w:eastAsia="nl-NL"/>
        </w:rPr>
        <w:t>Ecofin</w:t>
      </w:r>
      <w:proofErr w:type="spellEnd"/>
      <w:r w:rsidRPr="005E13C5" w:rsidR="005E13C5">
        <w:rPr>
          <w:rFonts w:ascii="Verdana" w:hAnsi="Verdana" w:eastAsia="Times New Roman"/>
          <w:bCs/>
          <w:sz w:val="18"/>
          <w:szCs w:val="18"/>
          <w:lang w:eastAsia="nl-NL"/>
        </w:rPr>
        <w:t xml:space="preserve"> op 3 december </w:t>
      </w:r>
      <w:r w:rsidR="00086549">
        <w:rPr>
          <w:rFonts w:ascii="Verdana" w:hAnsi="Verdana" w:eastAsia="Times New Roman"/>
          <w:bCs/>
          <w:sz w:val="18"/>
          <w:szCs w:val="18"/>
          <w:lang w:eastAsia="nl-NL"/>
        </w:rPr>
        <w:t>jl.</w:t>
      </w:r>
      <w:r w:rsidRPr="005E13C5" w:rsidR="005E13C5">
        <w:rPr>
          <w:rFonts w:ascii="Verdana" w:hAnsi="Verdana" w:eastAsia="Times New Roman"/>
          <w:bCs/>
          <w:sz w:val="18"/>
          <w:szCs w:val="18"/>
          <w:lang w:eastAsia="nl-NL"/>
        </w:rPr>
        <w:t xml:space="preserve"> toegezegd om een onderzoek te doen naar mogelijkheden om beleggen fiscaal te stimuleren (in box 3). Dit onderzoek is toegezegd voor medio 2026. </w:t>
      </w:r>
      <w:r w:rsidR="00684650">
        <w:rPr>
          <w:rFonts w:ascii="Verdana" w:hAnsi="Verdana" w:eastAsia="Times New Roman"/>
          <w:bCs/>
          <w:sz w:val="18"/>
          <w:szCs w:val="18"/>
          <w:lang w:eastAsia="nl-NL"/>
        </w:rPr>
        <w:t>Daarnaast</w:t>
      </w:r>
      <w:r w:rsidRPr="005E13C5" w:rsidR="005E13C5">
        <w:rPr>
          <w:rFonts w:ascii="Verdana" w:hAnsi="Verdana" w:eastAsia="Times New Roman"/>
          <w:bCs/>
          <w:sz w:val="18"/>
          <w:szCs w:val="18"/>
          <w:lang w:eastAsia="nl-NL"/>
        </w:rPr>
        <w:t xml:space="preserve"> </w:t>
      </w:r>
      <w:r>
        <w:rPr>
          <w:rFonts w:ascii="Verdana" w:hAnsi="Verdana" w:eastAsia="Times New Roman"/>
          <w:bCs/>
          <w:sz w:val="18"/>
          <w:szCs w:val="18"/>
          <w:lang w:eastAsia="nl-NL"/>
        </w:rPr>
        <w:t>zijn er</w:t>
      </w:r>
      <w:r w:rsidRPr="005E13C5" w:rsidR="005E13C5">
        <w:rPr>
          <w:rFonts w:ascii="Verdana" w:hAnsi="Verdana" w:eastAsia="Times New Roman"/>
          <w:bCs/>
          <w:sz w:val="18"/>
          <w:szCs w:val="18"/>
          <w:lang w:eastAsia="nl-NL"/>
        </w:rPr>
        <w:t xml:space="preserve"> gesprekken met de sector over hun rol in het stimuleren van consumenten met voldoende spaarbuffer om te beleggen. Zo hebben banken toegezegd om hun klanten periodiek te informeren over spaarproducten en alternatieve manieren voor vermogensopbouw en hebben zij toegezegd om door te gaan met uiteenlopende initiatieven voor het versterken van financieel bewustzijn rondom vermogensopbouw</w:t>
      </w:r>
      <w:r w:rsidR="003A65DE">
        <w:rPr>
          <w:rFonts w:ascii="Verdana" w:hAnsi="Verdana" w:eastAsia="Times New Roman"/>
          <w:bCs/>
          <w:sz w:val="18"/>
          <w:szCs w:val="18"/>
          <w:lang w:eastAsia="nl-NL"/>
        </w:rPr>
        <w:t>.</w:t>
      </w:r>
      <w:r w:rsidRPr="005E13C5" w:rsidR="005E13C5">
        <w:rPr>
          <w:rStyle w:val="Voetnootmarkering"/>
          <w:rFonts w:ascii="Verdana" w:hAnsi="Verdana" w:eastAsia="Times New Roman"/>
          <w:bCs/>
          <w:sz w:val="18"/>
          <w:szCs w:val="18"/>
          <w:lang w:eastAsia="nl-NL"/>
        </w:rPr>
        <w:footnoteReference w:id="11"/>
      </w:r>
      <w:r w:rsidRPr="005E13C5" w:rsidR="005E13C5">
        <w:rPr>
          <w:rFonts w:ascii="Verdana" w:hAnsi="Verdana" w:eastAsia="Times New Roman"/>
          <w:bCs/>
          <w:sz w:val="18"/>
          <w:szCs w:val="18"/>
          <w:lang w:eastAsia="nl-NL"/>
        </w:rPr>
        <w:t xml:space="preserve"> </w:t>
      </w:r>
    </w:p>
    <w:bookmarkEnd w:id="9"/>
    <w:p w:rsidRPr="005E13C5" w:rsidR="005E13C5" w:rsidP="005E13C5" w:rsidRDefault="005E13C5" w14:paraId="522578E2" w14:textId="77777777">
      <w:pPr>
        <w:pStyle w:val="Geenafstand"/>
        <w:rPr>
          <w:rFonts w:ascii="Verdana" w:hAnsi="Verdana" w:eastAsia="Times New Roman"/>
          <w:bCs/>
          <w:sz w:val="18"/>
          <w:szCs w:val="18"/>
          <w:lang w:eastAsia="nl-NL"/>
        </w:rPr>
      </w:pPr>
    </w:p>
    <w:p w:rsidR="005E13C5" w:rsidP="005E13C5" w:rsidRDefault="005E13C5" w14:paraId="029B63CD" w14:textId="77777777">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 xml:space="preserve">Tegelijkertijd hebben de leden van de CDA-fractie ook vele malen gewezen op de risico’s van beleggen in risicovolle crypto, de steeds verdere en brutalere uitbreiding van </w:t>
      </w:r>
      <w:proofErr w:type="spellStart"/>
      <w:r w:rsidRPr="005E13C5">
        <w:rPr>
          <w:rFonts w:ascii="Verdana" w:hAnsi="Verdana" w:eastAsia="Times New Roman"/>
          <w:bCs/>
          <w:i/>
          <w:iCs/>
          <w:sz w:val="18"/>
          <w:szCs w:val="18"/>
          <w:lang w:eastAsia="nl-NL"/>
        </w:rPr>
        <w:t>buy</w:t>
      </w:r>
      <w:proofErr w:type="spellEnd"/>
      <w:r w:rsidRPr="005E13C5">
        <w:rPr>
          <w:rFonts w:ascii="Verdana" w:hAnsi="Verdana" w:eastAsia="Times New Roman"/>
          <w:bCs/>
          <w:i/>
          <w:iCs/>
          <w:sz w:val="18"/>
          <w:szCs w:val="18"/>
          <w:lang w:eastAsia="nl-NL"/>
        </w:rPr>
        <w:t xml:space="preserve"> </w:t>
      </w:r>
      <w:proofErr w:type="spellStart"/>
      <w:r w:rsidRPr="005E13C5">
        <w:rPr>
          <w:rFonts w:ascii="Verdana" w:hAnsi="Verdana" w:eastAsia="Times New Roman"/>
          <w:bCs/>
          <w:i/>
          <w:iCs/>
          <w:sz w:val="18"/>
          <w:szCs w:val="18"/>
          <w:lang w:eastAsia="nl-NL"/>
        </w:rPr>
        <w:t>now</w:t>
      </w:r>
      <w:proofErr w:type="spellEnd"/>
      <w:r w:rsidRPr="005E13C5">
        <w:rPr>
          <w:rFonts w:ascii="Verdana" w:hAnsi="Verdana" w:eastAsia="Times New Roman"/>
          <w:bCs/>
          <w:i/>
          <w:iCs/>
          <w:sz w:val="18"/>
          <w:szCs w:val="18"/>
          <w:lang w:eastAsia="nl-NL"/>
        </w:rPr>
        <w:t xml:space="preserve"> </w:t>
      </w:r>
      <w:proofErr w:type="spellStart"/>
      <w:r w:rsidRPr="005E13C5">
        <w:rPr>
          <w:rFonts w:ascii="Verdana" w:hAnsi="Verdana" w:eastAsia="Times New Roman"/>
          <w:bCs/>
          <w:i/>
          <w:iCs/>
          <w:sz w:val="18"/>
          <w:szCs w:val="18"/>
          <w:lang w:eastAsia="nl-NL"/>
        </w:rPr>
        <w:t>pay</w:t>
      </w:r>
      <w:proofErr w:type="spellEnd"/>
      <w:r w:rsidRPr="005E13C5">
        <w:rPr>
          <w:rFonts w:ascii="Verdana" w:hAnsi="Verdana" w:eastAsia="Times New Roman"/>
          <w:bCs/>
          <w:i/>
          <w:iCs/>
          <w:sz w:val="18"/>
          <w:szCs w:val="18"/>
          <w:lang w:eastAsia="nl-NL"/>
        </w:rPr>
        <w:t xml:space="preserve"> later-initiatieven, de mooie praatjes van </w:t>
      </w:r>
      <w:proofErr w:type="spellStart"/>
      <w:r w:rsidRPr="005E13C5">
        <w:rPr>
          <w:rFonts w:ascii="Verdana" w:hAnsi="Verdana" w:eastAsia="Times New Roman"/>
          <w:bCs/>
          <w:i/>
          <w:iCs/>
          <w:sz w:val="18"/>
          <w:szCs w:val="18"/>
          <w:lang w:eastAsia="nl-NL"/>
        </w:rPr>
        <w:t>finfluencers</w:t>
      </w:r>
      <w:proofErr w:type="spellEnd"/>
      <w:r w:rsidRPr="005E13C5">
        <w:rPr>
          <w:rFonts w:ascii="Verdana" w:hAnsi="Verdana" w:eastAsia="Times New Roman"/>
          <w:bCs/>
          <w:i/>
          <w:iCs/>
          <w:sz w:val="18"/>
          <w:szCs w:val="18"/>
          <w:lang w:eastAsia="nl-NL"/>
        </w:rPr>
        <w:t xml:space="preserve"> en het ontstaan van schulden door online gokken. Deze leden merken op dat het kabinet tot zover nauwelijks in staat is geweest deze ontwikkelingen aan banden te leggen, ondanks vele oproepen uit politiek en maatschappij. Is het kabinet bereid hier op nationaal niveau een tandje bij te zetten en niet alleen ontwikkelingen vanuit Europa af te wachten? </w:t>
      </w:r>
    </w:p>
    <w:p w:rsidRPr="005E13C5" w:rsidR="003C4BB3" w:rsidP="005E13C5" w:rsidRDefault="003C4BB3" w14:paraId="00027BE4" w14:textId="77777777">
      <w:pPr>
        <w:pStyle w:val="Geenafstand"/>
        <w:rPr>
          <w:rFonts w:ascii="Verdana" w:hAnsi="Verdana" w:eastAsia="Times New Roman"/>
          <w:bCs/>
          <w:i/>
          <w:iCs/>
          <w:sz w:val="18"/>
          <w:szCs w:val="18"/>
          <w:lang w:eastAsia="nl-NL"/>
        </w:rPr>
      </w:pPr>
    </w:p>
    <w:p w:rsidR="003605D5" w:rsidP="00684650" w:rsidRDefault="00F0029D" w14:paraId="630AD908" w14:textId="12408F6C">
      <w:pPr>
        <w:pStyle w:val="Geenafstand"/>
        <w:rPr>
          <w:rFonts w:ascii="Verdana" w:hAnsi="Verdana" w:eastAsia="Times New Roman"/>
          <w:bCs/>
          <w:sz w:val="18"/>
          <w:szCs w:val="18"/>
          <w:lang w:eastAsia="nl-NL"/>
        </w:rPr>
      </w:pPr>
      <w:r w:rsidRPr="00F0029D">
        <w:rPr>
          <w:rFonts w:ascii="Verdana" w:hAnsi="Verdana" w:eastAsia="Times New Roman"/>
          <w:bCs/>
          <w:sz w:val="18"/>
          <w:szCs w:val="18"/>
          <w:lang w:eastAsia="nl-NL"/>
        </w:rPr>
        <w:t xml:space="preserve">Ongewenste financiële beïnvloeding van (jonge) consumenten vormt een risico voor de financiële weerbaarheid. Deze weerbaarheid is een belangrijk speerpunt van het kabinet, omdat het essentieel is dat mensen overzicht houden over hun financiën en ook bij ingrijpende levensgebeurtenissen verantwoorde financiële keuzes kunnen maken. </w:t>
      </w:r>
      <w:r w:rsidRPr="005B247C" w:rsidR="005B247C">
        <w:rPr>
          <w:rFonts w:ascii="Verdana" w:hAnsi="Verdana" w:eastAsia="Times New Roman"/>
          <w:bCs/>
          <w:sz w:val="18"/>
          <w:szCs w:val="18"/>
          <w:lang w:eastAsia="nl-NL"/>
        </w:rPr>
        <w:t xml:space="preserve">In de </w:t>
      </w:r>
      <w:r w:rsidR="00B70006">
        <w:rPr>
          <w:rFonts w:ascii="Verdana" w:hAnsi="Verdana" w:eastAsia="Times New Roman"/>
          <w:bCs/>
          <w:sz w:val="18"/>
          <w:szCs w:val="18"/>
          <w:lang w:eastAsia="nl-NL"/>
        </w:rPr>
        <w:t>K</w:t>
      </w:r>
      <w:r w:rsidRPr="005B247C" w:rsidR="005B247C">
        <w:rPr>
          <w:rFonts w:ascii="Verdana" w:hAnsi="Verdana" w:eastAsia="Times New Roman"/>
          <w:bCs/>
          <w:sz w:val="18"/>
          <w:szCs w:val="18"/>
          <w:lang w:eastAsia="nl-NL"/>
        </w:rPr>
        <w:t>amerbrief</w:t>
      </w:r>
      <w:r w:rsidRPr="005B247C" w:rsidR="00014786">
        <w:rPr>
          <w:rStyle w:val="Voetnootmarkering"/>
          <w:rFonts w:ascii="Verdana" w:hAnsi="Verdana" w:eastAsia="Times New Roman"/>
          <w:bCs/>
          <w:sz w:val="18"/>
          <w:szCs w:val="18"/>
          <w:lang w:eastAsia="nl-NL"/>
        </w:rPr>
        <w:footnoteReference w:id="12"/>
      </w:r>
      <w:r w:rsidRPr="005B247C" w:rsidR="00014786">
        <w:rPr>
          <w:rFonts w:ascii="Verdana" w:hAnsi="Verdana" w:eastAsia="Times New Roman"/>
          <w:bCs/>
          <w:sz w:val="18"/>
          <w:szCs w:val="18"/>
          <w:lang w:eastAsia="nl-NL"/>
        </w:rPr>
        <w:t xml:space="preserve"> </w:t>
      </w:r>
      <w:r w:rsidRPr="005B247C" w:rsidR="005B247C">
        <w:rPr>
          <w:rFonts w:ascii="Verdana" w:hAnsi="Verdana" w:eastAsia="Times New Roman"/>
          <w:bCs/>
          <w:sz w:val="18"/>
          <w:szCs w:val="18"/>
          <w:lang w:eastAsia="nl-NL"/>
        </w:rPr>
        <w:t xml:space="preserve">over ongewenste </w:t>
      </w:r>
      <w:r w:rsidR="003C4BB3">
        <w:rPr>
          <w:rFonts w:ascii="Verdana" w:hAnsi="Verdana" w:eastAsia="Times New Roman"/>
          <w:bCs/>
          <w:sz w:val="18"/>
          <w:szCs w:val="18"/>
          <w:lang w:eastAsia="nl-NL"/>
        </w:rPr>
        <w:t xml:space="preserve">online </w:t>
      </w:r>
      <w:r w:rsidRPr="005B247C" w:rsidR="005B247C">
        <w:rPr>
          <w:rFonts w:ascii="Verdana" w:hAnsi="Verdana" w:eastAsia="Times New Roman"/>
          <w:bCs/>
          <w:sz w:val="18"/>
          <w:szCs w:val="18"/>
          <w:lang w:eastAsia="nl-NL"/>
        </w:rPr>
        <w:t xml:space="preserve">beïnvloeding van </w:t>
      </w:r>
      <w:r w:rsidR="00684650">
        <w:rPr>
          <w:rFonts w:ascii="Verdana" w:hAnsi="Verdana" w:eastAsia="Times New Roman"/>
          <w:bCs/>
          <w:sz w:val="18"/>
          <w:szCs w:val="18"/>
          <w:lang w:eastAsia="nl-NL"/>
        </w:rPr>
        <w:t>(jonge) consumenten</w:t>
      </w:r>
      <w:r w:rsidRPr="005B247C" w:rsidR="00684650">
        <w:rPr>
          <w:rFonts w:ascii="Verdana" w:hAnsi="Verdana" w:eastAsia="Times New Roman"/>
          <w:bCs/>
          <w:sz w:val="18"/>
          <w:szCs w:val="18"/>
          <w:lang w:eastAsia="nl-NL"/>
        </w:rPr>
        <w:t xml:space="preserve"> </w:t>
      </w:r>
      <w:r w:rsidRPr="005B247C" w:rsidR="005B247C">
        <w:rPr>
          <w:rFonts w:ascii="Verdana" w:hAnsi="Verdana" w:eastAsia="Times New Roman"/>
          <w:bCs/>
          <w:sz w:val="18"/>
          <w:szCs w:val="18"/>
          <w:lang w:eastAsia="nl-NL"/>
        </w:rPr>
        <w:t xml:space="preserve">is de </w:t>
      </w:r>
      <w:r w:rsidR="00684650">
        <w:rPr>
          <w:rFonts w:ascii="Verdana" w:hAnsi="Verdana" w:eastAsia="Times New Roman"/>
          <w:bCs/>
          <w:sz w:val="18"/>
          <w:szCs w:val="18"/>
          <w:lang w:eastAsia="nl-NL"/>
        </w:rPr>
        <w:t>K</w:t>
      </w:r>
      <w:r w:rsidRPr="005B247C" w:rsidR="005B247C">
        <w:rPr>
          <w:rFonts w:ascii="Verdana" w:hAnsi="Verdana" w:eastAsia="Times New Roman"/>
          <w:bCs/>
          <w:sz w:val="18"/>
          <w:szCs w:val="18"/>
          <w:lang w:eastAsia="nl-NL"/>
        </w:rPr>
        <w:t>amer</w:t>
      </w:r>
      <w:r w:rsidR="003C4BB3">
        <w:rPr>
          <w:rFonts w:ascii="Verdana" w:hAnsi="Verdana" w:eastAsia="Times New Roman"/>
          <w:bCs/>
          <w:sz w:val="18"/>
          <w:szCs w:val="18"/>
          <w:lang w:eastAsia="nl-NL"/>
        </w:rPr>
        <w:t xml:space="preserve"> </w:t>
      </w:r>
      <w:r w:rsidRPr="005B247C" w:rsidR="005B247C">
        <w:rPr>
          <w:rFonts w:ascii="Verdana" w:hAnsi="Verdana" w:eastAsia="Times New Roman"/>
          <w:bCs/>
          <w:sz w:val="18"/>
          <w:szCs w:val="18"/>
          <w:lang w:eastAsia="nl-NL"/>
        </w:rPr>
        <w:t xml:space="preserve">geïnformeerd over de bestaande wet- en regelgeving, </w:t>
      </w:r>
      <w:proofErr w:type="gramStart"/>
      <w:r w:rsidRPr="005B247C" w:rsidR="005B247C">
        <w:rPr>
          <w:rFonts w:ascii="Verdana" w:hAnsi="Verdana" w:eastAsia="Times New Roman"/>
          <w:bCs/>
          <w:sz w:val="18"/>
          <w:szCs w:val="18"/>
          <w:lang w:eastAsia="nl-NL"/>
        </w:rPr>
        <w:t>alsmede</w:t>
      </w:r>
      <w:proofErr w:type="gramEnd"/>
      <w:r w:rsidRPr="005B247C" w:rsidR="005B247C">
        <w:rPr>
          <w:rFonts w:ascii="Verdana" w:hAnsi="Verdana" w:eastAsia="Times New Roman"/>
          <w:bCs/>
          <w:sz w:val="18"/>
          <w:szCs w:val="18"/>
          <w:lang w:eastAsia="nl-NL"/>
        </w:rPr>
        <w:t xml:space="preserve"> over de lopende en voorgenomen acties </w:t>
      </w:r>
      <w:r w:rsidR="00B70006">
        <w:rPr>
          <w:rFonts w:ascii="Verdana" w:hAnsi="Verdana" w:eastAsia="Times New Roman"/>
          <w:bCs/>
          <w:sz w:val="18"/>
          <w:szCs w:val="18"/>
          <w:lang w:eastAsia="nl-NL"/>
        </w:rPr>
        <w:t xml:space="preserve">die zijn </w:t>
      </w:r>
      <w:r w:rsidRPr="005B247C" w:rsidR="005B247C">
        <w:rPr>
          <w:rFonts w:ascii="Verdana" w:hAnsi="Verdana" w:eastAsia="Times New Roman"/>
          <w:bCs/>
          <w:sz w:val="18"/>
          <w:szCs w:val="18"/>
          <w:lang w:eastAsia="nl-NL"/>
        </w:rPr>
        <w:t xml:space="preserve">gericht op bescherming van consumenten tegen ongewenste online beïnvloeding op financieel terrein en het toezicht op </w:t>
      </w:r>
      <w:proofErr w:type="spellStart"/>
      <w:r w:rsidRPr="005B247C" w:rsidR="005B247C">
        <w:rPr>
          <w:rFonts w:ascii="Verdana" w:hAnsi="Verdana" w:eastAsia="Times New Roman"/>
          <w:bCs/>
          <w:sz w:val="18"/>
          <w:szCs w:val="18"/>
          <w:lang w:eastAsia="nl-NL"/>
        </w:rPr>
        <w:t>finfluencers</w:t>
      </w:r>
      <w:proofErr w:type="spellEnd"/>
      <w:r w:rsidR="003C4BB3">
        <w:rPr>
          <w:rFonts w:ascii="Verdana" w:hAnsi="Verdana" w:eastAsia="Times New Roman"/>
          <w:bCs/>
          <w:sz w:val="18"/>
          <w:szCs w:val="18"/>
          <w:lang w:eastAsia="nl-NL"/>
        </w:rPr>
        <w:t>.</w:t>
      </w:r>
      <w:r w:rsidR="00014786">
        <w:rPr>
          <w:rFonts w:ascii="Verdana" w:hAnsi="Verdana" w:eastAsia="Times New Roman"/>
          <w:bCs/>
          <w:sz w:val="18"/>
          <w:szCs w:val="18"/>
          <w:lang w:eastAsia="nl-NL"/>
        </w:rPr>
        <w:t xml:space="preserve"> </w:t>
      </w:r>
    </w:p>
    <w:p w:rsidR="003C4BB3" w:rsidP="00684650" w:rsidRDefault="003C4BB3" w14:paraId="0C41F619" w14:textId="77777777">
      <w:pPr>
        <w:pStyle w:val="Geenafstand"/>
        <w:rPr>
          <w:rFonts w:ascii="Verdana" w:hAnsi="Verdana" w:eastAsia="Times New Roman"/>
          <w:bCs/>
          <w:sz w:val="18"/>
          <w:szCs w:val="18"/>
          <w:lang w:eastAsia="nl-NL"/>
        </w:rPr>
      </w:pPr>
    </w:p>
    <w:p w:rsidR="00F21232" w:rsidP="008542B1" w:rsidRDefault="007C635F" w14:paraId="4D3FE2FC" w14:textId="57EBF0E0">
      <w:pPr>
        <w:pStyle w:val="Geenafstand"/>
        <w:rPr>
          <w:rFonts w:ascii="Verdana" w:hAnsi="Verdana"/>
          <w:bCs/>
          <w:sz w:val="18"/>
          <w:szCs w:val="18"/>
        </w:rPr>
      </w:pPr>
      <w:r w:rsidRPr="007C635F">
        <w:rPr>
          <w:rFonts w:ascii="Verdana" w:hAnsi="Verdana" w:eastAsia="Times New Roman"/>
          <w:bCs/>
          <w:sz w:val="18"/>
          <w:szCs w:val="18"/>
          <w:lang w:eastAsia="nl-NL"/>
        </w:rPr>
        <w:t xml:space="preserve">Door voortdurende innovatie blijft consumentenbeïnvloeding </w:t>
      </w:r>
      <w:r w:rsidR="00F375C5">
        <w:rPr>
          <w:rFonts w:ascii="Verdana" w:hAnsi="Verdana" w:eastAsia="Times New Roman"/>
          <w:bCs/>
          <w:sz w:val="18"/>
          <w:szCs w:val="18"/>
          <w:lang w:eastAsia="nl-NL"/>
        </w:rPr>
        <w:t xml:space="preserve">op financieel terrein </w:t>
      </w:r>
      <w:r w:rsidRPr="007C635F">
        <w:rPr>
          <w:rFonts w:ascii="Verdana" w:hAnsi="Verdana" w:eastAsia="Times New Roman"/>
          <w:bCs/>
          <w:sz w:val="18"/>
          <w:szCs w:val="18"/>
          <w:lang w:eastAsia="nl-NL"/>
        </w:rPr>
        <w:t xml:space="preserve">zich ontwikkelen. Beleid en wetgeving, en het daarop gerichte toezicht, kunnen de daarmee samenhangende risico’s en schade beperken, maar deze niet volledig voorkomen. Het kabinetsbeleid richt zich daarom </w:t>
      </w:r>
      <w:r w:rsidR="00B70006">
        <w:rPr>
          <w:rFonts w:ascii="Verdana" w:hAnsi="Verdana" w:eastAsia="Times New Roman"/>
          <w:bCs/>
          <w:sz w:val="18"/>
          <w:szCs w:val="18"/>
          <w:lang w:eastAsia="nl-NL"/>
        </w:rPr>
        <w:t>in</w:t>
      </w:r>
      <w:r>
        <w:rPr>
          <w:rFonts w:ascii="Verdana" w:hAnsi="Verdana" w:eastAsia="Times New Roman"/>
          <w:bCs/>
          <w:sz w:val="18"/>
          <w:szCs w:val="18"/>
          <w:lang w:eastAsia="nl-NL"/>
        </w:rPr>
        <w:t xml:space="preserve"> de eerste plaats</w:t>
      </w:r>
      <w:r w:rsidRPr="007C635F">
        <w:rPr>
          <w:rFonts w:ascii="Verdana" w:hAnsi="Verdana" w:eastAsia="Times New Roman"/>
          <w:bCs/>
          <w:sz w:val="18"/>
          <w:szCs w:val="18"/>
          <w:lang w:eastAsia="nl-NL"/>
        </w:rPr>
        <w:t xml:space="preserve"> op financiële educatie, aangevuld met beleid en wetgeving en effectief toezicht.</w:t>
      </w:r>
      <w:r w:rsidR="00684650">
        <w:rPr>
          <w:rFonts w:ascii="Verdana" w:hAnsi="Verdana" w:eastAsia="Times New Roman"/>
          <w:bCs/>
          <w:sz w:val="18"/>
          <w:szCs w:val="18"/>
          <w:lang w:eastAsia="nl-NL"/>
        </w:rPr>
        <w:t xml:space="preserve"> In dat kader worden goede stappen gezet, waarbij Nederland soms al verder gaat dan</w:t>
      </w:r>
      <w:r w:rsidRPr="0008148B" w:rsidR="0008148B">
        <w:rPr>
          <w:rFonts w:ascii="Verdana" w:hAnsi="Verdana"/>
          <w:bCs/>
          <w:sz w:val="18"/>
          <w:szCs w:val="18"/>
        </w:rPr>
        <w:t xml:space="preserve"> waartoe op Europees niveau is besloten. Zo wordt </w:t>
      </w:r>
      <w:proofErr w:type="spellStart"/>
      <w:r w:rsidRPr="00E5058C" w:rsidR="0008148B">
        <w:rPr>
          <w:rFonts w:ascii="Verdana" w:hAnsi="Verdana"/>
          <w:bCs/>
          <w:i/>
          <w:iCs/>
          <w:sz w:val="18"/>
          <w:szCs w:val="18"/>
        </w:rPr>
        <w:t>Buy</w:t>
      </w:r>
      <w:proofErr w:type="spellEnd"/>
      <w:r w:rsidRPr="00E5058C" w:rsidR="0008148B">
        <w:rPr>
          <w:rFonts w:ascii="Verdana" w:hAnsi="Verdana"/>
          <w:bCs/>
          <w:i/>
          <w:iCs/>
          <w:sz w:val="18"/>
          <w:szCs w:val="18"/>
        </w:rPr>
        <w:t xml:space="preserve"> </w:t>
      </w:r>
      <w:proofErr w:type="spellStart"/>
      <w:r w:rsidRPr="00E5058C" w:rsidR="0008148B">
        <w:rPr>
          <w:rFonts w:ascii="Verdana" w:hAnsi="Verdana"/>
          <w:bCs/>
          <w:i/>
          <w:iCs/>
          <w:sz w:val="18"/>
          <w:szCs w:val="18"/>
        </w:rPr>
        <w:t>Now</w:t>
      </w:r>
      <w:proofErr w:type="spellEnd"/>
      <w:r w:rsidRPr="00E5058C" w:rsidR="0008148B">
        <w:rPr>
          <w:rFonts w:ascii="Verdana" w:hAnsi="Verdana"/>
          <w:bCs/>
          <w:i/>
          <w:iCs/>
          <w:sz w:val="18"/>
          <w:szCs w:val="18"/>
        </w:rPr>
        <w:t xml:space="preserve">, </w:t>
      </w:r>
      <w:proofErr w:type="spellStart"/>
      <w:r w:rsidRPr="00E5058C" w:rsidR="0008148B">
        <w:rPr>
          <w:rFonts w:ascii="Verdana" w:hAnsi="Verdana"/>
          <w:bCs/>
          <w:i/>
          <w:iCs/>
          <w:sz w:val="18"/>
          <w:szCs w:val="18"/>
        </w:rPr>
        <w:t>Pay</w:t>
      </w:r>
      <w:proofErr w:type="spellEnd"/>
      <w:r w:rsidRPr="00E5058C" w:rsidR="0008148B">
        <w:rPr>
          <w:rFonts w:ascii="Verdana" w:hAnsi="Verdana"/>
          <w:bCs/>
          <w:i/>
          <w:iCs/>
          <w:sz w:val="18"/>
          <w:szCs w:val="18"/>
        </w:rPr>
        <w:t xml:space="preserve"> Later</w:t>
      </w:r>
      <w:r w:rsidRPr="0008148B" w:rsidR="0008148B">
        <w:rPr>
          <w:rFonts w:ascii="Verdana" w:hAnsi="Verdana"/>
          <w:bCs/>
          <w:sz w:val="18"/>
          <w:szCs w:val="18"/>
        </w:rPr>
        <w:t xml:space="preserve"> (BNPL) op EU-niveau </w:t>
      </w:r>
      <w:r w:rsidR="0008148B">
        <w:rPr>
          <w:rFonts w:ascii="Verdana" w:hAnsi="Verdana"/>
          <w:bCs/>
          <w:sz w:val="18"/>
          <w:szCs w:val="18"/>
        </w:rPr>
        <w:t>goed gereguleerd, maar gaat N</w:t>
      </w:r>
      <w:r w:rsidRPr="0008148B" w:rsidR="0008148B">
        <w:rPr>
          <w:rFonts w:ascii="Verdana" w:hAnsi="Verdana"/>
          <w:bCs/>
          <w:sz w:val="18"/>
          <w:szCs w:val="18"/>
        </w:rPr>
        <w:t xml:space="preserve">ederland </w:t>
      </w:r>
      <w:r w:rsidR="0008148B">
        <w:rPr>
          <w:rFonts w:ascii="Verdana" w:hAnsi="Verdana"/>
          <w:bCs/>
          <w:sz w:val="18"/>
          <w:szCs w:val="18"/>
        </w:rPr>
        <w:t>h</w:t>
      </w:r>
      <w:r w:rsidRPr="0008148B" w:rsidR="0008148B">
        <w:rPr>
          <w:rFonts w:ascii="Verdana" w:hAnsi="Verdana"/>
          <w:bCs/>
          <w:sz w:val="18"/>
          <w:szCs w:val="18"/>
        </w:rPr>
        <w:t xml:space="preserve">ierin een stap verder door </w:t>
      </w:r>
      <w:r w:rsidR="003605D5">
        <w:rPr>
          <w:rFonts w:ascii="Verdana" w:hAnsi="Verdana"/>
          <w:bCs/>
          <w:sz w:val="18"/>
          <w:szCs w:val="18"/>
        </w:rPr>
        <w:t xml:space="preserve">een algeheel BNPL-verbod in te voeren voor minderjaren. </w:t>
      </w:r>
      <w:r w:rsidRPr="0008148B" w:rsidR="0008148B">
        <w:rPr>
          <w:rFonts w:ascii="Verdana" w:hAnsi="Verdana"/>
          <w:bCs/>
          <w:sz w:val="18"/>
          <w:szCs w:val="18"/>
        </w:rPr>
        <w:t xml:space="preserve">Daarnaast heeft het kabinet aanbieders </w:t>
      </w:r>
      <w:r w:rsidR="005C08CF">
        <w:rPr>
          <w:rFonts w:ascii="Verdana" w:hAnsi="Verdana"/>
          <w:bCs/>
          <w:sz w:val="18"/>
          <w:szCs w:val="18"/>
        </w:rPr>
        <w:t>aangespoord</w:t>
      </w:r>
      <w:r w:rsidRPr="0008148B" w:rsidR="005C08CF">
        <w:rPr>
          <w:rFonts w:ascii="Verdana" w:hAnsi="Verdana"/>
          <w:bCs/>
          <w:sz w:val="18"/>
          <w:szCs w:val="18"/>
        </w:rPr>
        <w:t xml:space="preserve"> </w:t>
      </w:r>
      <w:r w:rsidRPr="0008148B" w:rsidR="0008148B">
        <w:rPr>
          <w:rFonts w:ascii="Verdana" w:hAnsi="Verdana"/>
          <w:bCs/>
          <w:sz w:val="18"/>
          <w:szCs w:val="18"/>
        </w:rPr>
        <w:t xml:space="preserve">om prudent gebruik van BNPL </w:t>
      </w:r>
      <w:r w:rsidR="005C08CF">
        <w:rPr>
          <w:rFonts w:ascii="Verdana" w:hAnsi="Verdana"/>
          <w:bCs/>
          <w:sz w:val="18"/>
          <w:szCs w:val="18"/>
        </w:rPr>
        <w:t xml:space="preserve">tot de inwerkingtreding van wetgeving </w:t>
      </w:r>
      <w:r w:rsidRPr="0008148B" w:rsidR="0008148B">
        <w:rPr>
          <w:rFonts w:ascii="Verdana" w:hAnsi="Verdana"/>
          <w:bCs/>
          <w:sz w:val="18"/>
          <w:szCs w:val="18"/>
        </w:rPr>
        <w:t>te bevorderen via een gedragscode.</w:t>
      </w:r>
      <w:r w:rsidR="0008148B">
        <w:rPr>
          <w:rFonts w:ascii="Verdana" w:hAnsi="Verdana"/>
          <w:bCs/>
          <w:sz w:val="18"/>
          <w:szCs w:val="18"/>
        </w:rPr>
        <w:t xml:space="preserve"> </w:t>
      </w:r>
      <w:r w:rsidRPr="0008148B" w:rsidR="0008148B">
        <w:rPr>
          <w:rFonts w:ascii="Verdana" w:hAnsi="Verdana"/>
          <w:bCs/>
          <w:sz w:val="18"/>
          <w:szCs w:val="18"/>
        </w:rPr>
        <w:t xml:space="preserve">Ook op het gebied van </w:t>
      </w:r>
      <w:proofErr w:type="spellStart"/>
      <w:r w:rsidRPr="0008148B" w:rsidR="0008148B">
        <w:rPr>
          <w:rFonts w:ascii="Verdana" w:hAnsi="Verdana"/>
          <w:bCs/>
          <w:sz w:val="18"/>
          <w:szCs w:val="18"/>
        </w:rPr>
        <w:t>finfluencers</w:t>
      </w:r>
      <w:proofErr w:type="spellEnd"/>
      <w:r w:rsidRPr="0008148B" w:rsidR="0008148B">
        <w:rPr>
          <w:rFonts w:ascii="Verdana" w:hAnsi="Verdana"/>
          <w:bCs/>
          <w:sz w:val="18"/>
          <w:szCs w:val="18"/>
        </w:rPr>
        <w:t xml:space="preserve"> zijn verdere stappen gezet. </w:t>
      </w:r>
      <w:r w:rsidR="005C08CF">
        <w:rPr>
          <w:rFonts w:ascii="Verdana" w:hAnsi="Verdana"/>
          <w:bCs/>
          <w:sz w:val="18"/>
          <w:szCs w:val="18"/>
        </w:rPr>
        <w:t xml:space="preserve">Zo heeft de </w:t>
      </w:r>
      <w:r w:rsidR="00F21546">
        <w:rPr>
          <w:rFonts w:ascii="Verdana" w:hAnsi="Verdana"/>
          <w:bCs/>
          <w:sz w:val="18"/>
          <w:szCs w:val="18"/>
        </w:rPr>
        <w:t>Autoriteit Financiële Markten (</w:t>
      </w:r>
      <w:r w:rsidR="0008148B">
        <w:rPr>
          <w:rFonts w:ascii="Verdana" w:hAnsi="Verdana"/>
          <w:bCs/>
          <w:sz w:val="18"/>
          <w:szCs w:val="18"/>
        </w:rPr>
        <w:t>AFM</w:t>
      </w:r>
      <w:r w:rsidR="00F21546">
        <w:rPr>
          <w:rFonts w:ascii="Verdana" w:hAnsi="Verdana"/>
          <w:bCs/>
          <w:sz w:val="18"/>
          <w:szCs w:val="18"/>
        </w:rPr>
        <w:t>)</w:t>
      </w:r>
      <w:r w:rsidR="0008148B">
        <w:rPr>
          <w:rFonts w:ascii="Verdana" w:hAnsi="Verdana"/>
          <w:bCs/>
          <w:sz w:val="18"/>
          <w:szCs w:val="18"/>
        </w:rPr>
        <w:t xml:space="preserve"> </w:t>
      </w:r>
      <w:r w:rsidR="005C08CF">
        <w:rPr>
          <w:rFonts w:ascii="Verdana" w:hAnsi="Verdana"/>
          <w:bCs/>
          <w:sz w:val="18"/>
          <w:szCs w:val="18"/>
        </w:rPr>
        <w:t xml:space="preserve">in 2024 op basis van bestaande wetgeving diverse </w:t>
      </w:r>
      <w:proofErr w:type="spellStart"/>
      <w:r w:rsidR="005C08CF">
        <w:rPr>
          <w:rFonts w:ascii="Verdana" w:hAnsi="Verdana"/>
          <w:bCs/>
          <w:sz w:val="18"/>
          <w:szCs w:val="18"/>
        </w:rPr>
        <w:t>finflue</w:t>
      </w:r>
      <w:r w:rsidR="00E5058C">
        <w:rPr>
          <w:rFonts w:ascii="Verdana" w:hAnsi="Verdana"/>
          <w:bCs/>
          <w:sz w:val="18"/>
          <w:szCs w:val="18"/>
        </w:rPr>
        <w:t>n</w:t>
      </w:r>
      <w:r w:rsidR="005C08CF">
        <w:rPr>
          <w:rFonts w:ascii="Verdana" w:hAnsi="Verdana"/>
          <w:bCs/>
          <w:sz w:val="18"/>
          <w:szCs w:val="18"/>
        </w:rPr>
        <w:t>cers</w:t>
      </w:r>
      <w:proofErr w:type="spellEnd"/>
      <w:r w:rsidR="005C08CF">
        <w:rPr>
          <w:rFonts w:ascii="Verdana" w:hAnsi="Verdana"/>
          <w:bCs/>
          <w:sz w:val="18"/>
          <w:szCs w:val="18"/>
        </w:rPr>
        <w:t xml:space="preserve"> boetes opgelegd voor de samenwerking met een illegale vermogensbeheerder.</w:t>
      </w:r>
      <w:r w:rsidR="005C08CF">
        <w:rPr>
          <w:rStyle w:val="Voetnootmarkering"/>
          <w:rFonts w:ascii="Verdana" w:hAnsi="Verdana"/>
          <w:bCs/>
          <w:sz w:val="18"/>
          <w:szCs w:val="18"/>
        </w:rPr>
        <w:footnoteReference w:id="13"/>
      </w:r>
      <w:r w:rsidR="005C08CF">
        <w:rPr>
          <w:rFonts w:ascii="Verdana" w:hAnsi="Verdana"/>
          <w:bCs/>
          <w:sz w:val="18"/>
          <w:szCs w:val="18"/>
        </w:rPr>
        <w:t xml:space="preserve"> </w:t>
      </w:r>
    </w:p>
    <w:p w:rsidR="00F21232" w:rsidP="008542B1" w:rsidRDefault="00F21232" w14:paraId="180BB1FE" w14:textId="77777777">
      <w:pPr>
        <w:pStyle w:val="Geenafstand"/>
        <w:rPr>
          <w:rFonts w:ascii="Verdana" w:hAnsi="Verdana"/>
          <w:bCs/>
          <w:sz w:val="18"/>
          <w:szCs w:val="18"/>
        </w:rPr>
      </w:pPr>
    </w:p>
    <w:p w:rsidR="00E16CB9" w:rsidP="008542B1" w:rsidRDefault="000734E6" w14:paraId="62923566" w14:textId="421BCDAF">
      <w:pPr>
        <w:pStyle w:val="Geenafstand"/>
        <w:rPr>
          <w:rFonts w:ascii="Verdana" w:hAnsi="Verdana"/>
          <w:bCs/>
          <w:sz w:val="18"/>
          <w:szCs w:val="18"/>
        </w:rPr>
      </w:pPr>
      <w:r>
        <w:rPr>
          <w:rFonts w:ascii="Verdana" w:hAnsi="Verdana"/>
          <w:bCs/>
          <w:sz w:val="18"/>
          <w:szCs w:val="18"/>
        </w:rPr>
        <w:lastRenderedPageBreak/>
        <w:t>Het is</w:t>
      </w:r>
      <w:r w:rsidR="003605D5">
        <w:rPr>
          <w:rFonts w:ascii="Verdana" w:hAnsi="Verdana"/>
          <w:bCs/>
          <w:sz w:val="18"/>
          <w:szCs w:val="18"/>
        </w:rPr>
        <w:t xml:space="preserve"> positief dat in het</w:t>
      </w:r>
      <w:r w:rsidR="003C4BB3">
        <w:rPr>
          <w:rFonts w:ascii="Verdana" w:hAnsi="Verdana"/>
          <w:bCs/>
          <w:sz w:val="18"/>
          <w:szCs w:val="18"/>
        </w:rPr>
        <w:t xml:space="preserve"> recente</w:t>
      </w:r>
      <w:r w:rsidR="003605D5">
        <w:rPr>
          <w:rFonts w:ascii="Verdana" w:hAnsi="Verdana"/>
          <w:bCs/>
          <w:sz w:val="18"/>
          <w:szCs w:val="18"/>
        </w:rPr>
        <w:t xml:space="preserve"> politieke akkoord tussen de Raad en het Europees Parlement </w:t>
      </w:r>
      <w:proofErr w:type="gramStart"/>
      <w:r w:rsidR="003605D5">
        <w:rPr>
          <w:rFonts w:ascii="Verdana" w:hAnsi="Verdana"/>
          <w:bCs/>
          <w:sz w:val="18"/>
          <w:szCs w:val="18"/>
        </w:rPr>
        <w:t>inzake</w:t>
      </w:r>
      <w:proofErr w:type="gramEnd"/>
      <w:r w:rsidR="003605D5">
        <w:rPr>
          <w:rFonts w:ascii="Verdana" w:hAnsi="Verdana"/>
          <w:bCs/>
          <w:sz w:val="18"/>
          <w:szCs w:val="18"/>
        </w:rPr>
        <w:t xml:space="preserve"> de Europese </w:t>
      </w:r>
      <w:r w:rsidRPr="00564B4C" w:rsidR="003605D5">
        <w:rPr>
          <w:rFonts w:ascii="Verdana" w:hAnsi="Verdana"/>
          <w:bCs/>
          <w:i/>
          <w:iCs/>
          <w:sz w:val="18"/>
          <w:szCs w:val="18"/>
        </w:rPr>
        <w:t xml:space="preserve">Retail Investment </w:t>
      </w:r>
      <w:proofErr w:type="spellStart"/>
      <w:r w:rsidRPr="00564B4C" w:rsidR="003605D5">
        <w:rPr>
          <w:rFonts w:ascii="Verdana" w:hAnsi="Verdana"/>
          <w:bCs/>
          <w:i/>
          <w:iCs/>
          <w:sz w:val="18"/>
          <w:szCs w:val="18"/>
        </w:rPr>
        <w:t>Strategy</w:t>
      </w:r>
      <w:proofErr w:type="spellEnd"/>
      <w:r w:rsidR="003605D5">
        <w:rPr>
          <w:rFonts w:ascii="Verdana" w:hAnsi="Verdana"/>
          <w:bCs/>
          <w:sz w:val="18"/>
          <w:szCs w:val="18"/>
        </w:rPr>
        <w:t xml:space="preserve"> afspraken zijn gemaakt over strengere regels voor </w:t>
      </w:r>
      <w:proofErr w:type="spellStart"/>
      <w:r w:rsidR="00281A82">
        <w:rPr>
          <w:rFonts w:ascii="Verdana" w:hAnsi="Verdana"/>
          <w:bCs/>
          <w:sz w:val="18"/>
          <w:szCs w:val="18"/>
        </w:rPr>
        <w:t>finfluencers</w:t>
      </w:r>
      <w:proofErr w:type="spellEnd"/>
      <w:r w:rsidR="00281A82">
        <w:rPr>
          <w:rFonts w:ascii="Verdana" w:hAnsi="Verdana"/>
          <w:bCs/>
          <w:sz w:val="18"/>
          <w:szCs w:val="18"/>
        </w:rPr>
        <w:t xml:space="preserve"> </w:t>
      </w:r>
      <w:r w:rsidR="003605D5">
        <w:rPr>
          <w:rFonts w:ascii="Verdana" w:hAnsi="Verdana"/>
          <w:bCs/>
          <w:sz w:val="18"/>
          <w:szCs w:val="18"/>
        </w:rPr>
        <w:t>en</w:t>
      </w:r>
      <w:r w:rsidRPr="003605D5" w:rsidR="003605D5">
        <w:rPr>
          <w:rFonts w:ascii="Verdana" w:hAnsi="Verdana"/>
          <w:bCs/>
          <w:sz w:val="18"/>
          <w:szCs w:val="18"/>
        </w:rPr>
        <w:t xml:space="preserve"> </w:t>
      </w:r>
      <w:r w:rsidR="003605D5">
        <w:rPr>
          <w:rFonts w:ascii="Verdana" w:hAnsi="Verdana"/>
          <w:bCs/>
          <w:sz w:val="18"/>
          <w:szCs w:val="18"/>
        </w:rPr>
        <w:t xml:space="preserve">voor beleggingsondernemingen die gebruikmaken van de diensten van </w:t>
      </w:r>
      <w:proofErr w:type="spellStart"/>
      <w:r w:rsidR="003605D5">
        <w:rPr>
          <w:rFonts w:ascii="Verdana" w:hAnsi="Verdana"/>
          <w:bCs/>
          <w:sz w:val="18"/>
          <w:szCs w:val="18"/>
        </w:rPr>
        <w:t>finfluencers</w:t>
      </w:r>
      <w:proofErr w:type="spellEnd"/>
      <w:r w:rsidR="003605D5">
        <w:rPr>
          <w:rFonts w:ascii="Verdana" w:hAnsi="Verdana"/>
          <w:bCs/>
          <w:sz w:val="18"/>
          <w:szCs w:val="18"/>
        </w:rPr>
        <w:t xml:space="preserve"> om reclame voor hen te maken</w:t>
      </w:r>
      <w:r w:rsidR="00281A82">
        <w:rPr>
          <w:rFonts w:ascii="Verdana" w:hAnsi="Verdana"/>
          <w:bCs/>
          <w:sz w:val="18"/>
          <w:szCs w:val="18"/>
        </w:rPr>
        <w:t>.</w:t>
      </w:r>
      <w:r w:rsidR="00281A82">
        <w:rPr>
          <w:rStyle w:val="Voetnootmarkering"/>
          <w:rFonts w:ascii="Verdana" w:hAnsi="Verdana"/>
          <w:bCs/>
          <w:sz w:val="18"/>
          <w:szCs w:val="18"/>
        </w:rPr>
        <w:footnoteReference w:id="14"/>
      </w:r>
      <w:r w:rsidR="00281A82">
        <w:rPr>
          <w:rFonts w:ascii="Verdana" w:hAnsi="Verdana"/>
          <w:bCs/>
          <w:sz w:val="18"/>
          <w:szCs w:val="18"/>
        </w:rPr>
        <w:t xml:space="preserve"> Hierover zal ik </w:t>
      </w:r>
      <w:r w:rsidR="00544A84">
        <w:rPr>
          <w:rFonts w:ascii="Verdana" w:hAnsi="Verdana"/>
          <w:bCs/>
          <w:sz w:val="18"/>
          <w:szCs w:val="18"/>
        </w:rPr>
        <w:t xml:space="preserve">de </w:t>
      </w:r>
      <w:r w:rsidR="00107610">
        <w:rPr>
          <w:rFonts w:ascii="Verdana" w:hAnsi="Verdana"/>
          <w:bCs/>
          <w:sz w:val="18"/>
          <w:szCs w:val="18"/>
        </w:rPr>
        <w:t>K</w:t>
      </w:r>
      <w:r w:rsidR="00281A82">
        <w:rPr>
          <w:rFonts w:ascii="Verdana" w:hAnsi="Verdana"/>
          <w:bCs/>
          <w:sz w:val="18"/>
          <w:szCs w:val="18"/>
        </w:rPr>
        <w:t xml:space="preserve">amer later nader informeren. </w:t>
      </w:r>
      <w:r w:rsidR="008542B1">
        <w:rPr>
          <w:rFonts w:ascii="Verdana" w:hAnsi="Verdana"/>
          <w:bCs/>
          <w:sz w:val="18"/>
          <w:szCs w:val="18"/>
        </w:rPr>
        <w:t xml:space="preserve">Daarnaast heb ik – samen met de minister van Economische Zaken en naar aanleiding van een toezegging uit voornoemde </w:t>
      </w:r>
      <w:r>
        <w:rPr>
          <w:rFonts w:ascii="Verdana" w:hAnsi="Verdana"/>
          <w:bCs/>
          <w:sz w:val="18"/>
          <w:szCs w:val="18"/>
        </w:rPr>
        <w:t>K</w:t>
      </w:r>
      <w:r w:rsidR="008542B1">
        <w:rPr>
          <w:rFonts w:ascii="Verdana" w:hAnsi="Verdana"/>
          <w:bCs/>
          <w:sz w:val="18"/>
          <w:szCs w:val="18"/>
        </w:rPr>
        <w:t xml:space="preserve">amerbrief over ongewenste beïnvloeding – in Brussel ervoor gepleit om </w:t>
      </w:r>
      <w:proofErr w:type="spellStart"/>
      <w:r w:rsidRPr="007A6FE8" w:rsidR="008542B1">
        <w:rPr>
          <w:rFonts w:ascii="Verdana" w:hAnsi="Verdana"/>
          <w:bCs/>
          <w:sz w:val="18"/>
          <w:szCs w:val="18"/>
        </w:rPr>
        <w:t>finfluencers</w:t>
      </w:r>
      <w:proofErr w:type="spellEnd"/>
      <w:r w:rsidRPr="007A6FE8" w:rsidR="008542B1">
        <w:rPr>
          <w:rFonts w:ascii="Verdana" w:hAnsi="Verdana"/>
          <w:bCs/>
          <w:sz w:val="18"/>
          <w:szCs w:val="18"/>
        </w:rPr>
        <w:t xml:space="preserve"> expliciet te verbieden om financiële</w:t>
      </w:r>
      <w:r w:rsidR="008542B1">
        <w:rPr>
          <w:rFonts w:ascii="Verdana" w:hAnsi="Verdana"/>
          <w:bCs/>
          <w:sz w:val="18"/>
          <w:szCs w:val="18"/>
        </w:rPr>
        <w:t xml:space="preserve"> </w:t>
      </w:r>
      <w:r w:rsidRPr="007A6FE8" w:rsidR="008542B1">
        <w:rPr>
          <w:rFonts w:ascii="Verdana" w:hAnsi="Verdana"/>
          <w:bCs/>
          <w:sz w:val="18"/>
          <w:szCs w:val="18"/>
        </w:rPr>
        <w:t>producten of diensten aan te prijzen die worden aangeboden door</w:t>
      </w:r>
      <w:r w:rsidR="008542B1">
        <w:rPr>
          <w:rFonts w:ascii="Verdana" w:hAnsi="Verdana"/>
          <w:bCs/>
          <w:sz w:val="18"/>
          <w:szCs w:val="18"/>
        </w:rPr>
        <w:t xml:space="preserve"> illegale</w:t>
      </w:r>
      <w:r w:rsidRPr="007A6FE8" w:rsidR="008542B1">
        <w:rPr>
          <w:rFonts w:ascii="Verdana" w:hAnsi="Verdana"/>
          <w:bCs/>
          <w:sz w:val="18"/>
          <w:szCs w:val="18"/>
        </w:rPr>
        <w:t xml:space="preserve"> financiële</w:t>
      </w:r>
      <w:r w:rsidR="008542B1">
        <w:rPr>
          <w:rFonts w:ascii="Verdana" w:hAnsi="Verdana"/>
          <w:bCs/>
          <w:sz w:val="18"/>
          <w:szCs w:val="18"/>
        </w:rPr>
        <w:t xml:space="preserve"> </w:t>
      </w:r>
      <w:r w:rsidRPr="007A6FE8" w:rsidR="008542B1">
        <w:rPr>
          <w:rFonts w:ascii="Verdana" w:hAnsi="Verdana"/>
          <w:bCs/>
          <w:sz w:val="18"/>
          <w:szCs w:val="18"/>
        </w:rPr>
        <w:t>ondernemingen</w:t>
      </w:r>
      <w:r w:rsidR="008542B1">
        <w:rPr>
          <w:rFonts w:ascii="Verdana" w:hAnsi="Verdana"/>
          <w:bCs/>
          <w:sz w:val="18"/>
          <w:szCs w:val="18"/>
        </w:rPr>
        <w:t xml:space="preserve">. Dit </w:t>
      </w:r>
      <w:r w:rsidRPr="007A6FE8" w:rsidR="008542B1">
        <w:rPr>
          <w:rFonts w:ascii="Verdana" w:hAnsi="Verdana"/>
          <w:bCs/>
          <w:sz w:val="18"/>
          <w:szCs w:val="18"/>
        </w:rPr>
        <w:t>door de Europese</w:t>
      </w:r>
      <w:r w:rsidR="008542B1">
        <w:rPr>
          <w:rFonts w:ascii="Verdana" w:hAnsi="Verdana"/>
          <w:bCs/>
          <w:sz w:val="18"/>
          <w:szCs w:val="18"/>
        </w:rPr>
        <w:t xml:space="preserve"> </w:t>
      </w:r>
      <w:r w:rsidRPr="007A6FE8" w:rsidR="008542B1">
        <w:rPr>
          <w:rFonts w:ascii="Verdana" w:hAnsi="Verdana"/>
          <w:bCs/>
          <w:sz w:val="18"/>
          <w:szCs w:val="18"/>
        </w:rPr>
        <w:t xml:space="preserve">Commissie te </w:t>
      </w:r>
      <w:r w:rsidR="008542B1">
        <w:rPr>
          <w:rFonts w:ascii="Verdana" w:hAnsi="Verdana"/>
          <w:bCs/>
          <w:sz w:val="18"/>
          <w:szCs w:val="18"/>
        </w:rPr>
        <w:t>verzoeken</w:t>
      </w:r>
      <w:r w:rsidRPr="007A6FE8" w:rsidR="008542B1">
        <w:rPr>
          <w:rFonts w:ascii="Verdana" w:hAnsi="Verdana"/>
          <w:bCs/>
          <w:sz w:val="18"/>
          <w:szCs w:val="18"/>
        </w:rPr>
        <w:t xml:space="preserve"> deze</w:t>
      </w:r>
      <w:r w:rsidR="008542B1">
        <w:rPr>
          <w:rFonts w:ascii="Verdana" w:hAnsi="Verdana"/>
          <w:bCs/>
          <w:sz w:val="18"/>
          <w:szCs w:val="18"/>
        </w:rPr>
        <w:t xml:space="preserve"> </w:t>
      </w:r>
      <w:r w:rsidRPr="007A6FE8" w:rsidR="008542B1">
        <w:rPr>
          <w:rFonts w:ascii="Verdana" w:hAnsi="Verdana"/>
          <w:bCs/>
          <w:sz w:val="18"/>
          <w:szCs w:val="18"/>
        </w:rPr>
        <w:t>handelspraktijk onder alle omstandigheden aan te merken</w:t>
      </w:r>
      <w:r w:rsidR="008542B1">
        <w:rPr>
          <w:rFonts w:ascii="Verdana" w:hAnsi="Verdana"/>
          <w:bCs/>
          <w:sz w:val="18"/>
          <w:szCs w:val="18"/>
        </w:rPr>
        <w:t xml:space="preserve"> </w:t>
      </w:r>
      <w:r w:rsidRPr="007A6FE8" w:rsidR="008542B1">
        <w:rPr>
          <w:rFonts w:ascii="Verdana" w:hAnsi="Verdana"/>
          <w:bCs/>
          <w:sz w:val="18"/>
          <w:szCs w:val="18"/>
        </w:rPr>
        <w:t>als een oneerlijke handelspraktijk</w:t>
      </w:r>
      <w:r w:rsidR="008542B1">
        <w:rPr>
          <w:rFonts w:ascii="Verdana" w:hAnsi="Verdana"/>
          <w:bCs/>
          <w:sz w:val="18"/>
          <w:szCs w:val="18"/>
        </w:rPr>
        <w:t>.</w:t>
      </w:r>
      <w:r w:rsidR="008542B1">
        <w:rPr>
          <w:rStyle w:val="Voetnootmarkering"/>
          <w:rFonts w:ascii="Verdana" w:hAnsi="Verdana"/>
          <w:bCs/>
          <w:sz w:val="18"/>
          <w:szCs w:val="18"/>
        </w:rPr>
        <w:footnoteReference w:id="15"/>
      </w:r>
      <w:r w:rsidR="008542B1">
        <w:rPr>
          <w:rFonts w:ascii="Verdana" w:hAnsi="Verdana"/>
          <w:bCs/>
          <w:sz w:val="18"/>
          <w:szCs w:val="18"/>
        </w:rPr>
        <w:t xml:space="preserve"> </w:t>
      </w:r>
      <w:r w:rsidRPr="008542B1" w:rsidR="008542B1">
        <w:rPr>
          <w:rFonts w:ascii="Verdana" w:hAnsi="Verdana"/>
          <w:bCs/>
          <w:sz w:val="18"/>
          <w:szCs w:val="18"/>
        </w:rPr>
        <w:t xml:space="preserve">Deze voorgestelde wijziging beoogt het eenvoudiger te maken om op te treden tegen </w:t>
      </w:r>
      <w:proofErr w:type="spellStart"/>
      <w:r w:rsidRPr="008542B1" w:rsidR="008542B1">
        <w:rPr>
          <w:rFonts w:ascii="Verdana" w:hAnsi="Verdana"/>
          <w:bCs/>
          <w:sz w:val="18"/>
          <w:szCs w:val="18"/>
        </w:rPr>
        <w:t>finfluencers</w:t>
      </w:r>
      <w:proofErr w:type="spellEnd"/>
      <w:r w:rsidRPr="008542B1" w:rsidR="008542B1">
        <w:rPr>
          <w:rFonts w:ascii="Verdana" w:hAnsi="Verdana"/>
          <w:bCs/>
          <w:sz w:val="18"/>
          <w:szCs w:val="18"/>
        </w:rPr>
        <w:t xml:space="preserve"> wanneer zij de grens overschrijden</w:t>
      </w:r>
      <w:r w:rsidR="008542B1">
        <w:rPr>
          <w:rFonts w:ascii="Verdana" w:hAnsi="Verdana"/>
          <w:bCs/>
          <w:sz w:val="18"/>
          <w:szCs w:val="18"/>
        </w:rPr>
        <w:t>.</w:t>
      </w:r>
      <w:r w:rsidR="00F21232">
        <w:rPr>
          <w:rFonts w:ascii="Verdana" w:hAnsi="Verdana"/>
          <w:bCs/>
          <w:sz w:val="18"/>
          <w:szCs w:val="18"/>
        </w:rPr>
        <w:t xml:space="preserve"> </w:t>
      </w:r>
      <w:r w:rsidRPr="00E54253" w:rsidR="00E54253">
        <w:rPr>
          <w:rFonts w:ascii="Verdana" w:hAnsi="Verdana"/>
          <w:bCs/>
          <w:sz w:val="18"/>
          <w:szCs w:val="18"/>
        </w:rPr>
        <w:t xml:space="preserve">Tot slot heb ik – eveneens naar aanleiding van een toezegging uit dezelfde </w:t>
      </w:r>
      <w:r>
        <w:rPr>
          <w:rFonts w:ascii="Verdana" w:hAnsi="Verdana"/>
          <w:bCs/>
          <w:sz w:val="18"/>
          <w:szCs w:val="18"/>
        </w:rPr>
        <w:t>K</w:t>
      </w:r>
      <w:r w:rsidRPr="00E54253" w:rsidR="00E54253">
        <w:rPr>
          <w:rFonts w:ascii="Verdana" w:hAnsi="Verdana"/>
          <w:bCs/>
          <w:sz w:val="18"/>
          <w:szCs w:val="18"/>
        </w:rPr>
        <w:t>amerbrief – samen met de AFM input gegeven op de verdiepingsmodules van de e-</w:t>
      </w:r>
      <w:proofErr w:type="spellStart"/>
      <w:r w:rsidRPr="00E54253" w:rsidR="00E54253">
        <w:rPr>
          <w:rFonts w:ascii="Verdana" w:hAnsi="Verdana"/>
          <w:bCs/>
          <w:sz w:val="18"/>
          <w:szCs w:val="18"/>
        </w:rPr>
        <w:t>learning</w:t>
      </w:r>
      <w:proofErr w:type="spellEnd"/>
      <w:r w:rsidRPr="00E54253" w:rsidR="00E54253">
        <w:rPr>
          <w:rFonts w:ascii="Verdana" w:hAnsi="Verdana"/>
          <w:bCs/>
          <w:sz w:val="18"/>
          <w:szCs w:val="18"/>
        </w:rPr>
        <w:t xml:space="preserve"> voor het ‘</w:t>
      </w:r>
      <w:proofErr w:type="spellStart"/>
      <w:r w:rsidRPr="00E54253" w:rsidR="00E54253">
        <w:rPr>
          <w:rFonts w:ascii="Verdana" w:hAnsi="Verdana"/>
          <w:bCs/>
          <w:sz w:val="18"/>
          <w:szCs w:val="18"/>
        </w:rPr>
        <w:t>influencer</w:t>
      </w:r>
      <w:proofErr w:type="spellEnd"/>
      <w:r w:rsidRPr="00E54253" w:rsidR="00E54253">
        <w:rPr>
          <w:rFonts w:ascii="Verdana" w:hAnsi="Verdana"/>
          <w:bCs/>
          <w:sz w:val="18"/>
          <w:szCs w:val="18"/>
        </w:rPr>
        <w:t xml:space="preserve">-certificaat’ die de belangrijkste regels uitleggen die gelden voor </w:t>
      </w:r>
      <w:proofErr w:type="spellStart"/>
      <w:r w:rsidRPr="00E54253" w:rsidR="00E54253">
        <w:rPr>
          <w:rFonts w:ascii="Verdana" w:hAnsi="Verdana"/>
          <w:bCs/>
          <w:sz w:val="18"/>
          <w:szCs w:val="18"/>
        </w:rPr>
        <w:t>finfluencers</w:t>
      </w:r>
      <w:proofErr w:type="spellEnd"/>
      <w:r w:rsidRPr="00E54253" w:rsidR="00E54253">
        <w:rPr>
          <w:rFonts w:ascii="Verdana" w:hAnsi="Verdana"/>
          <w:bCs/>
          <w:sz w:val="18"/>
          <w:szCs w:val="18"/>
        </w:rPr>
        <w:t xml:space="preserve"> (zoals het verbod om zonder vergunning persoonlijk beleggingsadvies te geven).</w:t>
      </w:r>
      <w:r w:rsidR="00E54253">
        <w:rPr>
          <w:rStyle w:val="Voetnootmarkering"/>
          <w:rFonts w:ascii="Verdana" w:hAnsi="Verdana"/>
          <w:bCs/>
          <w:sz w:val="18"/>
          <w:szCs w:val="18"/>
        </w:rPr>
        <w:footnoteReference w:id="16"/>
      </w:r>
      <w:r w:rsidRPr="00E54253" w:rsidR="00E54253">
        <w:rPr>
          <w:rFonts w:ascii="Verdana" w:hAnsi="Verdana"/>
          <w:bCs/>
          <w:sz w:val="18"/>
          <w:szCs w:val="18"/>
        </w:rPr>
        <w:t xml:space="preserve"> Gecertificeerde </w:t>
      </w:r>
      <w:proofErr w:type="spellStart"/>
      <w:r w:rsidRPr="00E54253" w:rsidR="00E54253">
        <w:rPr>
          <w:rFonts w:ascii="Verdana" w:hAnsi="Verdana"/>
          <w:bCs/>
          <w:sz w:val="18"/>
          <w:szCs w:val="18"/>
        </w:rPr>
        <w:t>influencers</w:t>
      </w:r>
      <w:proofErr w:type="spellEnd"/>
      <w:r w:rsidRPr="00E54253" w:rsidR="00E54253">
        <w:rPr>
          <w:rFonts w:ascii="Verdana" w:hAnsi="Verdana"/>
          <w:bCs/>
          <w:sz w:val="18"/>
          <w:szCs w:val="18"/>
        </w:rPr>
        <w:t xml:space="preserve"> zijn zo op de hoogte van de regels die gelden voor marketing voor beleggingsdienstverlening, wat verantwoorde </w:t>
      </w:r>
      <w:proofErr w:type="spellStart"/>
      <w:r w:rsidRPr="00E54253" w:rsidR="00E54253">
        <w:rPr>
          <w:rFonts w:ascii="Verdana" w:hAnsi="Verdana"/>
          <w:bCs/>
          <w:sz w:val="18"/>
          <w:szCs w:val="18"/>
        </w:rPr>
        <w:t>finfluencer</w:t>
      </w:r>
      <w:proofErr w:type="spellEnd"/>
      <w:r w:rsidRPr="00E54253" w:rsidR="00E54253">
        <w:rPr>
          <w:rFonts w:ascii="Verdana" w:hAnsi="Verdana"/>
          <w:bCs/>
          <w:sz w:val="18"/>
          <w:szCs w:val="18"/>
        </w:rPr>
        <w:t xml:space="preserve">-marketing moet bevorderen. </w:t>
      </w:r>
    </w:p>
    <w:p w:rsidRPr="0008148B" w:rsidR="00E16CB9" w:rsidP="008542B1" w:rsidRDefault="00E16CB9" w14:paraId="0E07863E" w14:textId="77777777">
      <w:pPr>
        <w:pStyle w:val="Geenafstand"/>
        <w:rPr>
          <w:rFonts w:ascii="Verdana" w:hAnsi="Verdana"/>
          <w:bCs/>
          <w:sz w:val="18"/>
          <w:szCs w:val="18"/>
        </w:rPr>
      </w:pPr>
    </w:p>
    <w:p w:rsidR="00847536" w:rsidP="005E13C5" w:rsidRDefault="005E13C5" w14:paraId="3CE2A860" w14:textId="77777777">
      <w:pPr>
        <w:pStyle w:val="Geenafstand"/>
        <w:rPr>
          <w:rFonts w:ascii="Verdana" w:hAnsi="Verdana" w:eastAsia="Times New Roman"/>
          <w:bCs/>
          <w:i/>
          <w:iCs/>
          <w:sz w:val="18"/>
          <w:szCs w:val="18"/>
          <w:lang w:eastAsia="nl-NL"/>
        </w:rPr>
      </w:pPr>
      <w:r w:rsidRPr="0016329B">
        <w:rPr>
          <w:rFonts w:ascii="Verdana" w:hAnsi="Verdana" w:eastAsia="Times New Roman"/>
          <w:bCs/>
          <w:i/>
          <w:iCs/>
          <w:sz w:val="18"/>
          <w:szCs w:val="18"/>
          <w:lang w:eastAsia="nl-NL"/>
        </w:rPr>
        <w:t xml:space="preserve">De leden van de CDA-fractie lezen dat de eerste pijler gaat over uitwisselen van best </w:t>
      </w:r>
      <w:proofErr w:type="spellStart"/>
      <w:r w:rsidRPr="0016329B">
        <w:rPr>
          <w:rFonts w:ascii="Verdana" w:hAnsi="Verdana" w:eastAsia="Times New Roman"/>
          <w:bCs/>
          <w:i/>
          <w:iCs/>
          <w:sz w:val="18"/>
          <w:szCs w:val="18"/>
          <w:lang w:eastAsia="nl-NL"/>
        </w:rPr>
        <w:t>practices</w:t>
      </w:r>
      <w:proofErr w:type="spellEnd"/>
      <w:r w:rsidRPr="0016329B">
        <w:rPr>
          <w:rFonts w:ascii="Verdana" w:hAnsi="Verdana" w:eastAsia="Times New Roman"/>
          <w:bCs/>
          <w:i/>
          <w:iCs/>
          <w:sz w:val="18"/>
          <w:szCs w:val="18"/>
          <w:lang w:eastAsia="nl-NL"/>
        </w:rPr>
        <w:t>. Naast de recente berichten van de Europese Commissie over de Zweedse overheidsbeleggingsspaarrekening als goed voorbeeld, vragen deze leden of het kabinet nog meer voorbeelden kan noemen van succesvolle initiatieven van lidstaten om financiële weerbaarheid te vergroten en de kansen hiervan te benutten voor de samenleving en/of economie.</w:t>
      </w:r>
    </w:p>
    <w:p w:rsidRPr="0016329B" w:rsidR="005E13C5" w:rsidP="005E13C5" w:rsidRDefault="005E13C5" w14:paraId="314459B5" w14:textId="3ED2ED34">
      <w:pPr>
        <w:pStyle w:val="Geenafstand"/>
        <w:rPr>
          <w:rFonts w:ascii="Verdana" w:hAnsi="Verdana" w:eastAsia="Times New Roman"/>
          <w:bCs/>
          <w:i/>
          <w:iCs/>
          <w:sz w:val="18"/>
          <w:szCs w:val="18"/>
          <w:lang w:eastAsia="nl-NL"/>
        </w:rPr>
      </w:pPr>
      <w:r w:rsidRPr="0016329B">
        <w:rPr>
          <w:rFonts w:ascii="Verdana" w:hAnsi="Verdana" w:eastAsia="Times New Roman"/>
          <w:bCs/>
          <w:i/>
          <w:iCs/>
          <w:sz w:val="18"/>
          <w:szCs w:val="18"/>
          <w:lang w:eastAsia="nl-NL"/>
        </w:rPr>
        <w:t xml:space="preserve"> </w:t>
      </w:r>
    </w:p>
    <w:p w:rsidR="005E13C5" w:rsidP="005E13C5" w:rsidRDefault="005F50C8" w14:paraId="79CAAB2C" w14:textId="0369AC7F">
      <w:pPr>
        <w:pStyle w:val="Geenafstand"/>
        <w:rPr>
          <w:rFonts w:ascii="Verdana" w:hAnsi="Verdana" w:eastAsia="Times New Roman"/>
          <w:bCs/>
          <w:sz w:val="18"/>
          <w:szCs w:val="18"/>
          <w:lang w:eastAsia="nl-NL"/>
        </w:rPr>
      </w:pPr>
      <w:r w:rsidRPr="0016329B">
        <w:rPr>
          <w:rFonts w:ascii="Verdana" w:hAnsi="Verdana" w:eastAsia="Times New Roman"/>
          <w:bCs/>
          <w:sz w:val="18"/>
          <w:szCs w:val="18"/>
          <w:lang w:eastAsia="nl-NL"/>
        </w:rPr>
        <w:t>Eerder is in Europees verband verkend welke initiatieven lidstaten nemen om de financiële geletterdheid</w:t>
      </w:r>
      <w:r w:rsidR="00606D52">
        <w:rPr>
          <w:rFonts w:ascii="Verdana" w:hAnsi="Verdana" w:eastAsia="Times New Roman"/>
          <w:bCs/>
          <w:sz w:val="18"/>
          <w:szCs w:val="18"/>
          <w:lang w:eastAsia="nl-NL"/>
        </w:rPr>
        <w:t xml:space="preserve"> </w:t>
      </w:r>
      <w:r w:rsidRPr="0016329B">
        <w:rPr>
          <w:rFonts w:ascii="Verdana" w:hAnsi="Verdana" w:eastAsia="Times New Roman"/>
          <w:bCs/>
          <w:sz w:val="18"/>
          <w:szCs w:val="18"/>
          <w:lang w:eastAsia="nl-NL"/>
        </w:rPr>
        <w:t xml:space="preserve">van burgers te verbeteren en om de belangstelling voor vermogensopbouw op de lange termijn via beleggen te vergroten. De door de Commissie aangekondigde acties op het terrein van financiële geletterdheid bieden handvatten om deze verkenning verder uit te werken en best </w:t>
      </w:r>
      <w:proofErr w:type="spellStart"/>
      <w:r w:rsidRPr="0016329B">
        <w:rPr>
          <w:rFonts w:ascii="Verdana" w:hAnsi="Verdana" w:eastAsia="Times New Roman"/>
          <w:bCs/>
          <w:sz w:val="18"/>
          <w:szCs w:val="18"/>
          <w:lang w:eastAsia="nl-NL"/>
        </w:rPr>
        <w:t>practices</w:t>
      </w:r>
      <w:proofErr w:type="spellEnd"/>
      <w:r w:rsidRPr="0016329B">
        <w:rPr>
          <w:rFonts w:ascii="Verdana" w:hAnsi="Verdana" w:eastAsia="Times New Roman"/>
          <w:bCs/>
          <w:sz w:val="18"/>
          <w:szCs w:val="18"/>
          <w:lang w:eastAsia="nl-NL"/>
        </w:rPr>
        <w:t xml:space="preserve"> te delen. </w:t>
      </w:r>
      <w:r w:rsidR="00C6369D">
        <w:rPr>
          <w:rFonts w:ascii="Verdana" w:hAnsi="Verdana" w:eastAsia="Times New Roman"/>
          <w:bCs/>
          <w:sz w:val="18"/>
          <w:szCs w:val="18"/>
          <w:lang w:eastAsia="nl-NL"/>
        </w:rPr>
        <w:t xml:space="preserve">Momenteel beschik ik niet over </w:t>
      </w:r>
      <w:r w:rsidR="008C5779">
        <w:rPr>
          <w:rFonts w:ascii="Verdana" w:hAnsi="Verdana" w:eastAsia="Times New Roman"/>
          <w:bCs/>
          <w:sz w:val="18"/>
          <w:szCs w:val="18"/>
          <w:lang w:eastAsia="nl-NL"/>
        </w:rPr>
        <w:t>concrete voorbeeld</w:t>
      </w:r>
      <w:r w:rsidR="00C6369D">
        <w:rPr>
          <w:rFonts w:ascii="Verdana" w:hAnsi="Verdana" w:eastAsia="Times New Roman"/>
          <w:bCs/>
          <w:sz w:val="18"/>
          <w:szCs w:val="18"/>
          <w:lang w:eastAsia="nl-NL"/>
        </w:rPr>
        <w:t>en</w:t>
      </w:r>
      <w:r w:rsidR="008C5779">
        <w:rPr>
          <w:rFonts w:ascii="Verdana" w:hAnsi="Verdana" w:eastAsia="Times New Roman"/>
          <w:bCs/>
          <w:sz w:val="18"/>
          <w:szCs w:val="18"/>
          <w:lang w:eastAsia="nl-NL"/>
        </w:rPr>
        <w:t xml:space="preserve"> van succesvolle initiatieven van</w:t>
      </w:r>
      <w:r w:rsidR="00C6369D">
        <w:rPr>
          <w:rFonts w:ascii="Verdana" w:hAnsi="Verdana" w:eastAsia="Times New Roman"/>
          <w:bCs/>
          <w:sz w:val="18"/>
          <w:szCs w:val="18"/>
          <w:lang w:eastAsia="nl-NL"/>
        </w:rPr>
        <w:t xml:space="preserve"> andere</w:t>
      </w:r>
      <w:r w:rsidR="008C5779">
        <w:rPr>
          <w:rFonts w:ascii="Verdana" w:hAnsi="Verdana" w:eastAsia="Times New Roman"/>
          <w:bCs/>
          <w:sz w:val="18"/>
          <w:szCs w:val="18"/>
          <w:lang w:eastAsia="nl-NL"/>
        </w:rPr>
        <w:t xml:space="preserve"> lidstaten</w:t>
      </w:r>
      <w:r w:rsidR="00C6369D">
        <w:rPr>
          <w:rFonts w:ascii="Verdana" w:hAnsi="Verdana" w:eastAsia="Times New Roman"/>
          <w:bCs/>
          <w:sz w:val="18"/>
          <w:szCs w:val="18"/>
          <w:lang w:eastAsia="nl-NL"/>
        </w:rPr>
        <w:t xml:space="preserve">. Ik </w:t>
      </w:r>
      <w:r w:rsidRPr="0016329B">
        <w:rPr>
          <w:rFonts w:ascii="Verdana" w:hAnsi="Verdana" w:eastAsia="Times New Roman"/>
          <w:bCs/>
          <w:sz w:val="18"/>
          <w:szCs w:val="18"/>
          <w:lang w:eastAsia="nl-NL"/>
        </w:rPr>
        <w:t xml:space="preserve">beschouw de strategie van de Commissie juist als </w:t>
      </w:r>
      <w:r w:rsidR="00C6369D">
        <w:rPr>
          <w:rFonts w:ascii="Verdana" w:hAnsi="Verdana" w:eastAsia="Times New Roman"/>
          <w:bCs/>
          <w:sz w:val="18"/>
          <w:szCs w:val="18"/>
          <w:lang w:eastAsia="nl-NL"/>
        </w:rPr>
        <w:t xml:space="preserve">een kans om dergelijke best </w:t>
      </w:r>
      <w:proofErr w:type="spellStart"/>
      <w:r w:rsidR="00C6369D">
        <w:rPr>
          <w:rFonts w:ascii="Verdana" w:hAnsi="Verdana" w:eastAsia="Times New Roman"/>
          <w:bCs/>
          <w:sz w:val="18"/>
          <w:szCs w:val="18"/>
          <w:lang w:eastAsia="nl-NL"/>
        </w:rPr>
        <w:t>practices</w:t>
      </w:r>
      <w:proofErr w:type="spellEnd"/>
      <w:r w:rsidR="00C6369D">
        <w:rPr>
          <w:rFonts w:ascii="Verdana" w:hAnsi="Verdana" w:eastAsia="Times New Roman"/>
          <w:bCs/>
          <w:sz w:val="18"/>
          <w:szCs w:val="18"/>
          <w:lang w:eastAsia="nl-NL"/>
        </w:rPr>
        <w:t xml:space="preserve"> </w:t>
      </w:r>
      <w:r w:rsidRPr="0016329B">
        <w:rPr>
          <w:rFonts w:ascii="Verdana" w:hAnsi="Verdana" w:eastAsia="Times New Roman"/>
          <w:bCs/>
          <w:sz w:val="18"/>
          <w:szCs w:val="18"/>
          <w:lang w:eastAsia="nl-NL"/>
        </w:rPr>
        <w:t>nader te</w:t>
      </w:r>
      <w:r w:rsidR="00C6369D">
        <w:rPr>
          <w:rFonts w:ascii="Verdana" w:hAnsi="Verdana" w:eastAsia="Times New Roman"/>
          <w:bCs/>
          <w:sz w:val="18"/>
          <w:szCs w:val="18"/>
          <w:lang w:eastAsia="nl-NL"/>
        </w:rPr>
        <w:t xml:space="preserve"> inventariseren en</w:t>
      </w:r>
      <w:r w:rsidRPr="0016329B">
        <w:rPr>
          <w:rFonts w:ascii="Verdana" w:hAnsi="Verdana" w:eastAsia="Times New Roman"/>
          <w:bCs/>
          <w:sz w:val="18"/>
          <w:szCs w:val="18"/>
          <w:lang w:eastAsia="nl-NL"/>
        </w:rPr>
        <w:t xml:space="preserve"> </w:t>
      </w:r>
      <w:r w:rsidR="00C6369D">
        <w:rPr>
          <w:rFonts w:ascii="Verdana" w:hAnsi="Verdana" w:eastAsia="Times New Roman"/>
          <w:bCs/>
          <w:sz w:val="18"/>
          <w:szCs w:val="18"/>
          <w:lang w:eastAsia="nl-NL"/>
        </w:rPr>
        <w:t xml:space="preserve">te </w:t>
      </w:r>
      <w:r w:rsidRPr="0016329B">
        <w:rPr>
          <w:rFonts w:ascii="Verdana" w:hAnsi="Verdana" w:eastAsia="Times New Roman"/>
          <w:bCs/>
          <w:sz w:val="18"/>
          <w:szCs w:val="18"/>
          <w:lang w:eastAsia="nl-NL"/>
        </w:rPr>
        <w:t xml:space="preserve">beoordelen welke </w:t>
      </w:r>
      <w:r w:rsidR="00C6369D">
        <w:rPr>
          <w:rFonts w:ascii="Verdana" w:hAnsi="Verdana" w:eastAsia="Times New Roman"/>
          <w:bCs/>
          <w:sz w:val="18"/>
          <w:szCs w:val="18"/>
          <w:lang w:eastAsia="nl-NL"/>
        </w:rPr>
        <w:t xml:space="preserve">hiervan </w:t>
      </w:r>
      <w:r w:rsidRPr="0016329B">
        <w:rPr>
          <w:rFonts w:ascii="Verdana" w:hAnsi="Verdana" w:eastAsia="Times New Roman"/>
          <w:bCs/>
          <w:sz w:val="18"/>
          <w:szCs w:val="18"/>
          <w:lang w:eastAsia="nl-NL"/>
        </w:rPr>
        <w:t xml:space="preserve">het meest </w:t>
      </w:r>
      <w:r w:rsidR="00C6369D">
        <w:rPr>
          <w:rFonts w:ascii="Verdana" w:hAnsi="Verdana" w:eastAsia="Times New Roman"/>
          <w:bCs/>
          <w:sz w:val="18"/>
          <w:szCs w:val="18"/>
          <w:lang w:eastAsia="nl-NL"/>
        </w:rPr>
        <w:t xml:space="preserve">relevant en toepasbaar </w:t>
      </w:r>
      <w:r w:rsidRPr="0016329B">
        <w:rPr>
          <w:rFonts w:ascii="Verdana" w:hAnsi="Verdana" w:eastAsia="Times New Roman"/>
          <w:bCs/>
          <w:sz w:val="18"/>
          <w:szCs w:val="18"/>
          <w:lang w:eastAsia="nl-NL"/>
        </w:rPr>
        <w:t>zijn in de Nederlandse context.</w:t>
      </w:r>
    </w:p>
    <w:p w:rsidRPr="005E13C5" w:rsidR="005F50C8" w:rsidP="005E13C5" w:rsidRDefault="005F50C8" w14:paraId="074EA994" w14:textId="77777777">
      <w:pPr>
        <w:pStyle w:val="Geenafstand"/>
        <w:rPr>
          <w:rFonts w:ascii="Verdana" w:hAnsi="Verdana" w:eastAsia="Times New Roman"/>
          <w:bCs/>
          <w:sz w:val="18"/>
          <w:szCs w:val="18"/>
          <w:lang w:eastAsia="nl-NL"/>
        </w:rPr>
      </w:pPr>
    </w:p>
    <w:p w:rsidR="005E13C5" w:rsidP="005E13C5" w:rsidRDefault="005E13C5" w14:paraId="6F15A01B" w14:textId="77777777">
      <w:pPr>
        <w:pStyle w:val="Geenafstand"/>
        <w:rPr>
          <w:rFonts w:ascii="Verdana" w:hAnsi="Verdana" w:eastAsia="Times New Roman"/>
          <w:bCs/>
          <w:i/>
          <w:iCs/>
          <w:sz w:val="18"/>
          <w:szCs w:val="18"/>
          <w:lang w:eastAsia="nl-NL"/>
        </w:rPr>
      </w:pPr>
      <w:r w:rsidRPr="0096385F">
        <w:rPr>
          <w:rFonts w:ascii="Verdana" w:hAnsi="Verdana" w:eastAsia="Times New Roman"/>
          <w:bCs/>
          <w:i/>
          <w:iCs/>
          <w:sz w:val="18"/>
          <w:szCs w:val="18"/>
          <w:lang w:eastAsia="nl-NL"/>
        </w:rPr>
        <w:t xml:space="preserve">Het kabinet verwijst ook naar de samenwerking in het OESO-INFE netwerk. Dit netwerk heeft </w:t>
      </w:r>
      <w:proofErr w:type="gramStart"/>
      <w:r w:rsidRPr="0096385F">
        <w:rPr>
          <w:rFonts w:ascii="Verdana" w:hAnsi="Verdana" w:eastAsia="Times New Roman"/>
          <w:bCs/>
          <w:i/>
          <w:iCs/>
          <w:sz w:val="18"/>
          <w:szCs w:val="18"/>
          <w:lang w:eastAsia="nl-NL"/>
        </w:rPr>
        <w:t>reeds</w:t>
      </w:r>
      <w:proofErr w:type="gramEnd"/>
      <w:r w:rsidRPr="0096385F">
        <w:rPr>
          <w:rFonts w:ascii="Verdana" w:hAnsi="Verdana" w:eastAsia="Times New Roman"/>
          <w:bCs/>
          <w:i/>
          <w:iCs/>
          <w:sz w:val="18"/>
          <w:szCs w:val="18"/>
          <w:lang w:eastAsia="nl-NL"/>
        </w:rPr>
        <w:t xml:space="preserve"> eerder geadviseerd om financiële educatie in het onderwijs te verwerken, maar de leden van de CDA-fractie merken op dat dit nog op incidentele basis gebeurt, en vooral in het kader van projecten zoals de week van het geld. Deze leden vragen welke acties nog meer kunnen worden genomen om financiële praktijken structureel in bijvoorbeeld reken- en economielessen te verwerken.</w:t>
      </w:r>
      <w:r w:rsidRPr="005E13C5">
        <w:rPr>
          <w:rFonts w:ascii="Verdana" w:hAnsi="Verdana" w:eastAsia="Times New Roman"/>
          <w:bCs/>
          <w:i/>
          <w:iCs/>
          <w:sz w:val="18"/>
          <w:szCs w:val="18"/>
          <w:lang w:eastAsia="nl-NL"/>
        </w:rPr>
        <w:t xml:space="preserve"> </w:t>
      </w:r>
    </w:p>
    <w:p w:rsidRPr="005E13C5" w:rsidR="00847536" w:rsidP="005E13C5" w:rsidRDefault="00847536" w14:paraId="2400BE77" w14:textId="77777777">
      <w:pPr>
        <w:pStyle w:val="Geenafstand"/>
        <w:rPr>
          <w:rFonts w:ascii="Verdana" w:hAnsi="Verdana" w:eastAsia="Times New Roman"/>
          <w:bCs/>
          <w:i/>
          <w:iCs/>
          <w:sz w:val="18"/>
          <w:szCs w:val="18"/>
          <w:lang w:eastAsia="nl-NL"/>
        </w:rPr>
      </w:pPr>
    </w:p>
    <w:p w:rsidRPr="005E13C5" w:rsidR="005E13C5" w:rsidP="005E13C5" w:rsidRDefault="005E13C5" w14:paraId="2BC01AD9" w14:textId="659C30CB">
      <w:pPr>
        <w:pStyle w:val="Geenafstand"/>
        <w:rPr>
          <w:rFonts w:ascii="Verdana" w:hAnsi="Verdana" w:eastAsia="Times New Roman"/>
          <w:bCs/>
          <w:sz w:val="18"/>
          <w:szCs w:val="18"/>
          <w:lang w:eastAsia="nl-NL"/>
        </w:rPr>
      </w:pPr>
      <w:r w:rsidRPr="005E13C5">
        <w:rPr>
          <w:rFonts w:ascii="Verdana" w:hAnsi="Verdana" w:eastAsia="Times New Roman"/>
          <w:bCs/>
          <w:sz w:val="18"/>
          <w:szCs w:val="18"/>
          <w:lang w:eastAsia="nl-NL"/>
        </w:rPr>
        <w:t xml:space="preserve">Zoals in het BNC-fiche wordt </w:t>
      </w:r>
      <w:r w:rsidR="000734E6">
        <w:rPr>
          <w:rFonts w:ascii="Verdana" w:hAnsi="Verdana" w:eastAsia="Times New Roman"/>
          <w:bCs/>
          <w:sz w:val="18"/>
          <w:szCs w:val="18"/>
          <w:lang w:eastAsia="nl-NL"/>
        </w:rPr>
        <w:t>g</w:t>
      </w:r>
      <w:r w:rsidRPr="005E13C5">
        <w:rPr>
          <w:rFonts w:ascii="Verdana" w:hAnsi="Verdana" w:eastAsia="Times New Roman"/>
          <w:bCs/>
          <w:sz w:val="18"/>
          <w:szCs w:val="18"/>
          <w:lang w:eastAsia="nl-NL"/>
        </w:rPr>
        <w:t>enoemd</w:t>
      </w:r>
      <w:r w:rsidRPr="005E13C5">
        <w:rPr>
          <w:rFonts w:ascii="Verdana" w:hAnsi="Verdana" w:eastAsia="Times New Roman"/>
          <w:sz w:val="18"/>
          <w:szCs w:val="18"/>
          <w:lang w:eastAsia="nl-NL"/>
        </w:rPr>
        <w:t xml:space="preserve"> </w:t>
      </w:r>
      <w:r w:rsidRPr="005E13C5">
        <w:rPr>
          <w:rFonts w:ascii="Verdana" w:hAnsi="Verdana" w:eastAsia="Times New Roman"/>
          <w:bCs/>
          <w:sz w:val="18"/>
          <w:szCs w:val="18"/>
          <w:lang w:eastAsia="nl-NL"/>
        </w:rPr>
        <w:t xml:space="preserve">is en blijft de integratie van financiële geletterdheid in schoolcurricula een verantwoordelijkheid van de lidstaten zelf. Op 21 november jl. stuurde de staatssecretaris van Onderwijs, Cultuur en Wetenschap </w:t>
      </w:r>
      <w:r w:rsidR="003D0B9B">
        <w:rPr>
          <w:rFonts w:ascii="Verdana" w:hAnsi="Verdana" w:eastAsia="Times New Roman"/>
          <w:bCs/>
          <w:sz w:val="18"/>
          <w:szCs w:val="18"/>
          <w:lang w:eastAsia="nl-NL"/>
        </w:rPr>
        <w:t>de</w:t>
      </w:r>
      <w:r w:rsidR="00544A84">
        <w:rPr>
          <w:rFonts w:ascii="Verdana" w:hAnsi="Verdana" w:eastAsia="Times New Roman"/>
          <w:bCs/>
          <w:sz w:val="18"/>
          <w:szCs w:val="18"/>
          <w:lang w:eastAsia="nl-NL"/>
        </w:rPr>
        <w:t xml:space="preserve"> </w:t>
      </w:r>
      <w:r w:rsidR="00107610">
        <w:rPr>
          <w:rFonts w:ascii="Verdana" w:hAnsi="Verdana" w:eastAsia="Times New Roman"/>
          <w:bCs/>
          <w:sz w:val="18"/>
          <w:szCs w:val="18"/>
          <w:lang w:eastAsia="nl-NL"/>
        </w:rPr>
        <w:t>K</w:t>
      </w:r>
      <w:r w:rsidRPr="005E13C5">
        <w:rPr>
          <w:rFonts w:ascii="Verdana" w:hAnsi="Verdana" w:eastAsia="Times New Roman"/>
          <w:bCs/>
          <w:sz w:val="18"/>
          <w:szCs w:val="18"/>
          <w:lang w:eastAsia="nl-NL"/>
        </w:rPr>
        <w:t>amer een brief</w:t>
      </w:r>
      <w:r w:rsidR="001421E9">
        <w:rPr>
          <w:rStyle w:val="Voetnootmarkering"/>
          <w:rFonts w:ascii="Verdana" w:hAnsi="Verdana" w:eastAsia="Times New Roman"/>
          <w:bCs/>
          <w:sz w:val="18"/>
          <w:szCs w:val="18"/>
          <w:lang w:eastAsia="nl-NL"/>
        </w:rPr>
        <w:footnoteReference w:id="17"/>
      </w:r>
      <w:r w:rsidRPr="005E13C5">
        <w:rPr>
          <w:rFonts w:ascii="Verdana" w:hAnsi="Verdana" w:eastAsia="Times New Roman"/>
          <w:bCs/>
          <w:sz w:val="18"/>
          <w:szCs w:val="18"/>
          <w:lang w:eastAsia="nl-NL"/>
        </w:rPr>
        <w:t xml:space="preserve"> met de laatste sets kerndoelen, waarmee alle geactualiseerde kerndoelen voor het primair en voortgezet onderwijs zijn opgeleverd. Allereerst is er met de nieuwe kerndoelen (mens &amp; maatschappij) meer aandacht voor financiële vaardigheden die leerlingen nodig hebben om te leren omgaan met geld, bijvoorbeeld hoe keuzes worden beïnvloed door (social</w:t>
      </w:r>
      <w:r w:rsidR="000734E6">
        <w:rPr>
          <w:rFonts w:ascii="Verdana" w:hAnsi="Verdana" w:eastAsia="Times New Roman"/>
          <w:bCs/>
          <w:sz w:val="18"/>
          <w:szCs w:val="18"/>
          <w:lang w:eastAsia="nl-NL"/>
        </w:rPr>
        <w:t>e</w:t>
      </w:r>
      <w:r w:rsidRPr="005E13C5">
        <w:rPr>
          <w:rFonts w:ascii="Verdana" w:hAnsi="Verdana" w:eastAsia="Times New Roman"/>
          <w:bCs/>
          <w:sz w:val="18"/>
          <w:szCs w:val="18"/>
          <w:lang w:eastAsia="nl-NL"/>
        </w:rPr>
        <w:t>) media en bedrijven en thema’s als inkomen, uitgaven, sparen, schulden en financiële risico’s.</w:t>
      </w:r>
      <w:r w:rsidRPr="005E13C5">
        <w:rPr>
          <w:rStyle w:val="Voetnootmarkering"/>
          <w:rFonts w:ascii="Verdana" w:hAnsi="Verdana" w:eastAsia="Times New Roman"/>
          <w:bCs/>
          <w:sz w:val="18"/>
          <w:szCs w:val="18"/>
          <w:lang w:eastAsia="nl-NL"/>
        </w:rPr>
        <w:footnoteReference w:id="18"/>
      </w:r>
      <w:r w:rsidRPr="005E13C5">
        <w:rPr>
          <w:rFonts w:ascii="Verdana" w:hAnsi="Verdana" w:eastAsia="Times New Roman"/>
          <w:bCs/>
          <w:sz w:val="18"/>
          <w:szCs w:val="18"/>
          <w:lang w:eastAsia="nl-NL"/>
        </w:rPr>
        <w:t xml:space="preserve"> Met kennis over financiën, werk en inkomen, samenwerking, welzijn en welvaart, eigen gedrag en de impact van economische keuzes op de leefomgeving leren leerlingen betere afwegingen maken. Daarnaast is er in de kerndoelen meer aandacht voor samenhang tussen verschillende leergebieden. Zo leren leerlingen bij rekenen en wiskunde ook rekenen met geld. De doelen </w:t>
      </w:r>
      <w:r w:rsidRPr="005E13C5" w:rsidR="000734E6">
        <w:rPr>
          <w:rFonts w:ascii="Verdana" w:hAnsi="Verdana" w:eastAsia="Times New Roman"/>
          <w:bCs/>
          <w:sz w:val="18"/>
          <w:szCs w:val="18"/>
          <w:lang w:eastAsia="nl-NL"/>
        </w:rPr>
        <w:t>over</w:t>
      </w:r>
      <w:r w:rsidRPr="005E13C5">
        <w:rPr>
          <w:rFonts w:ascii="Verdana" w:hAnsi="Verdana" w:eastAsia="Times New Roman"/>
          <w:bCs/>
          <w:sz w:val="18"/>
          <w:szCs w:val="18"/>
          <w:lang w:eastAsia="nl-NL"/>
        </w:rPr>
        <w:t xml:space="preserve"> financiële geletterdheid kunnen dus ook in wiskunde- of economielessen een plaats krijgen als een school daarvoor kiest. Scholen hebben de ruimte om zelf invulling te geven aan deze doelen en </w:t>
      </w:r>
      <w:r w:rsidR="000054F4">
        <w:rPr>
          <w:rFonts w:ascii="Verdana" w:hAnsi="Verdana" w:eastAsia="Times New Roman"/>
          <w:bCs/>
          <w:sz w:val="18"/>
          <w:szCs w:val="18"/>
          <w:lang w:eastAsia="nl-NL"/>
        </w:rPr>
        <w:t>kunnen</w:t>
      </w:r>
      <w:r w:rsidRPr="005E13C5" w:rsidR="000054F4">
        <w:rPr>
          <w:rFonts w:ascii="Verdana" w:hAnsi="Verdana" w:eastAsia="Times New Roman"/>
          <w:bCs/>
          <w:sz w:val="18"/>
          <w:szCs w:val="18"/>
          <w:lang w:eastAsia="nl-NL"/>
        </w:rPr>
        <w:t xml:space="preserve"> </w:t>
      </w:r>
      <w:r w:rsidRPr="005E13C5">
        <w:rPr>
          <w:rFonts w:ascii="Verdana" w:hAnsi="Verdana" w:eastAsia="Times New Roman"/>
          <w:bCs/>
          <w:sz w:val="18"/>
          <w:szCs w:val="18"/>
          <w:lang w:eastAsia="nl-NL"/>
        </w:rPr>
        <w:t>dat ondersteunen met bijvoorbeeld deelname aan de Week van het geld.</w:t>
      </w:r>
    </w:p>
    <w:p w:rsidRPr="005E13C5" w:rsidR="005E13C5" w:rsidP="005E13C5" w:rsidRDefault="005E13C5" w14:paraId="03D2C955" w14:textId="77777777">
      <w:pPr>
        <w:pStyle w:val="Geenafstand"/>
        <w:rPr>
          <w:rFonts w:ascii="Verdana" w:hAnsi="Verdana" w:eastAsia="Times New Roman"/>
          <w:bCs/>
          <w:sz w:val="18"/>
          <w:szCs w:val="18"/>
          <w:lang w:eastAsia="nl-NL"/>
        </w:rPr>
      </w:pPr>
    </w:p>
    <w:p w:rsidR="00847536" w:rsidP="005E13C5" w:rsidRDefault="005E13C5" w14:paraId="5672FD60" w14:textId="4AE455F4">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Het kabinet noemt ook de Subsidieregeling financiële educatie voor onderwijsinstellingen (voor het middelbaar beroepsonderwijs, voortgezet onderwijs en een afgebakende groep basisscholen). Deze leden vragen of het klopt dat de subsidie voor een beperkte periode loopt. Deze leden vragen of het kabinet kan rapporteren over de resultaten van de subsidieregeling tot zover.</w:t>
      </w:r>
    </w:p>
    <w:p w:rsidR="00847536" w:rsidP="005E13C5" w:rsidRDefault="00847536" w14:paraId="0AF1E205" w14:textId="77777777">
      <w:pPr>
        <w:pStyle w:val="Geenafstand"/>
        <w:rPr>
          <w:rFonts w:ascii="Verdana" w:hAnsi="Verdana" w:eastAsia="Times New Roman"/>
          <w:bCs/>
          <w:i/>
          <w:iCs/>
          <w:sz w:val="18"/>
          <w:szCs w:val="18"/>
          <w:lang w:eastAsia="nl-NL"/>
        </w:rPr>
      </w:pPr>
    </w:p>
    <w:p w:rsidRPr="00847536" w:rsidR="005E13C5" w:rsidP="005E13C5" w:rsidRDefault="002E1290" w14:paraId="0287D769" w14:textId="343D26DE">
      <w:pPr>
        <w:pStyle w:val="Geenafstand"/>
        <w:rPr>
          <w:rFonts w:ascii="Verdana" w:hAnsi="Verdana" w:eastAsia="Times New Roman"/>
          <w:bCs/>
          <w:i/>
          <w:iCs/>
          <w:sz w:val="18"/>
          <w:szCs w:val="18"/>
          <w:lang w:eastAsia="nl-NL"/>
        </w:rPr>
      </w:pPr>
      <w:r w:rsidRPr="002E1290">
        <w:rPr>
          <w:rFonts w:ascii="Verdana" w:hAnsi="Verdana" w:eastAsia="Times New Roman"/>
          <w:bCs/>
          <w:sz w:val="18"/>
          <w:szCs w:val="18"/>
          <w:lang w:eastAsia="nl-NL"/>
        </w:rPr>
        <w:t>De subsidie is toegekend voor een vooraf vastgestelde, beperkte periode. In februari 2026 zal het vierde tijdvak openen voor alle mbo</w:t>
      </w:r>
      <w:r w:rsidR="000734E6">
        <w:rPr>
          <w:rFonts w:ascii="Verdana" w:hAnsi="Verdana" w:eastAsia="Times New Roman"/>
          <w:bCs/>
          <w:sz w:val="18"/>
          <w:szCs w:val="18"/>
          <w:lang w:eastAsia="nl-NL"/>
        </w:rPr>
        <w:t>-</w:t>
      </w:r>
      <w:r w:rsidRPr="002E1290">
        <w:rPr>
          <w:rFonts w:ascii="Verdana" w:hAnsi="Verdana" w:eastAsia="Times New Roman"/>
          <w:bCs/>
          <w:sz w:val="18"/>
          <w:szCs w:val="18"/>
          <w:lang w:eastAsia="nl-NL"/>
        </w:rPr>
        <w:t xml:space="preserve">, middelbare scholen en basisscholen die in de eerdere tijdvakken geen subsidie hebben ontvangen. De projectperiode is drie jaar een loopt tot en met 2029. De Subsidieregeling financiële educatie voor onderwijsinstellingen is onderdeel van de aanpak Armoede en Schulden vanuit het ministerie van Sociale Zaken en Werkgelegenheid. Op 6 juni jl. stuurde de </w:t>
      </w:r>
      <w:r w:rsidR="000734E6">
        <w:rPr>
          <w:rFonts w:ascii="Verdana" w:hAnsi="Verdana" w:eastAsia="Times New Roman"/>
          <w:bCs/>
          <w:sz w:val="18"/>
          <w:szCs w:val="18"/>
          <w:lang w:eastAsia="nl-NL"/>
        </w:rPr>
        <w:t>s</w:t>
      </w:r>
      <w:r w:rsidRPr="002E1290">
        <w:rPr>
          <w:rFonts w:ascii="Verdana" w:hAnsi="Verdana" w:eastAsia="Times New Roman"/>
          <w:bCs/>
          <w:sz w:val="18"/>
          <w:szCs w:val="18"/>
          <w:lang w:eastAsia="nl-NL"/>
        </w:rPr>
        <w:t xml:space="preserve">taatssecretaris van Sociale Zaken en Werkgelegenheid de kamer een brief </w:t>
      </w:r>
      <w:r w:rsidRPr="005E13C5" w:rsidR="005E13C5">
        <w:rPr>
          <w:rStyle w:val="Voetnootmarkering"/>
          <w:rFonts w:ascii="Verdana" w:hAnsi="Verdana" w:eastAsia="Times New Roman"/>
          <w:bCs/>
          <w:sz w:val="18"/>
          <w:szCs w:val="18"/>
          <w:lang w:eastAsia="nl-NL"/>
        </w:rPr>
        <w:footnoteReference w:id="19"/>
      </w:r>
      <w:r w:rsidRPr="005E13C5" w:rsidR="005E13C5">
        <w:rPr>
          <w:rFonts w:ascii="Verdana" w:hAnsi="Verdana" w:eastAsia="Times New Roman"/>
          <w:bCs/>
          <w:sz w:val="18"/>
          <w:szCs w:val="18"/>
          <w:lang w:eastAsia="nl-NL"/>
        </w:rPr>
        <w:t xml:space="preserve"> over de aanpak. Daarin staat dat de evaluatie van deze regeling in de zomer 2025 </w:t>
      </w:r>
      <w:r w:rsidR="00ED16DF">
        <w:rPr>
          <w:rFonts w:ascii="Verdana" w:hAnsi="Verdana" w:eastAsia="Times New Roman"/>
          <w:bCs/>
          <w:sz w:val="18"/>
          <w:szCs w:val="18"/>
          <w:lang w:eastAsia="nl-NL"/>
        </w:rPr>
        <w:t xml:space="preserve">is </w:t>
      </w:r>
      <w:r w:rsidRPr="005E13C5" w:rsidR="005E13C5">
        <w:rPr>
          <w:rFonts w:ascii="Verdana" w:hAnsi="Verdana" w:eastAsia="Times New Roman"/>
          <w:bCs/>
          <w:sz w:val="18"/>
          <w:szCs w:val="18"/>
          <w:lang w:eastAsia="nl-NL"/>
        </w:rPr>
        <w:t xml:space="preserve">gestart, en zal worden afgerond in 2028. Eind 2025, 2026 en 2027 verschijnen tussentijdse monitorrapporten over de regeling, waarin wordt ingegaan op onder meer het bereik van de regeling (scholen, docenten/leerkrachten en leerlingen/studenten), realisatie en geleerde lessen. In 2028 wordt het eindrapport met de evaluatie van de subsidieregeling opgeleverd en zal </w:t>
      </w:r>
      <w:r w:rsidR="00ED16DF">
        <w:rPr>
          <w:rFonts w:ascii="Verdana" w:hAnsi="Verdana" w:eastAsia="Times New Roman"/>
          <w:bCs/>
          <w:sz w:val="18"/>
          <w:szCs w:val="18"/>
          <w:lang w:eastAsia="nl-NL"/>
        </w:rPr>
        <w:t xml:space="preserve">deze </w:t>
      </w:r>
      <w:r w:rsidRPr="005E13C5" w:rsidR="005E13C5">
        <w:rPr>
          <w:rFonts w:ascii="Verdana" w:hAnsi="Verdana" w:eastAsia="Times New Roman"/>
          <w:bCs/>
          <w:sz w:val="18"/>
          <w:szCs w:val="18"/>
          <w:lang w:eastAsia="nl-NL"/>
        </w:rPr>
        <w:t xml:space="preserve">naar </w:t>
      </w:r>
      <w:r w:rsidR="00811ED5">
        <w:rPr>
          <w:rFonts w:ascii="Verdana" w:hAnsi="Verdana" w:eastAsia="Times New Roman"/>
          <w:bCs/>
          <w:sz w:val="18"/>
          <w:szCs w:val="18"/>
          <w:lang w:eastAsia="nl-NL"/>
        </w:rPr>
        <w:t>de</w:t>
      </w:r>
      <w:r w:rsidR="005D20CE">
        <w:rPr>
          <w:rFonts w:ascii="Verdana" w:hAnsi="Verdana" w:eastAsia="Times New Roman"/>
          <w:bCs/>
          <w:sz w:val="18"/>
          <w:szCs w:val="18"/>
          <w:lang w:eastAsia="nl-NL"/>
        </w:rPr>
        <w:t xml:space="preserve"> </w:t>
      </w:r>
      <w:r w:rsidR="00107610">
        <w:rPr>
          <w:rFonts w:ascii="Verdana" w:hAnsi="Verdana" w:eastAsia="Times New Roman"/>
          <w:bCs/>
          <w:sz w:val="18"/>
          <w:szCs w:val="18"/>
          <w:lang w:eastAsia="nl-NL"/>
        </w:rPr>
        <w:t>K</w:t>
      </w:r>
      <w:r w:rsidRPr="005E13C5" w:rsidR="005E13C5">
        <w:rPr>
          <w:rFonts w:ascii="Verdana" w:hAnsi="Verdana" w:eastAsia="Times New Roman"/>
          <w:bCs/>
          <w:sz w:val="18"/>
          <w:szCs w:val="18"/>
          <w:lang w:eastAsia="nl-NL"/>
        </w:rPr>
        <w:t xml:space="preserve">amer worden verzonden. </w:t>
      </w:r>
    </w:p>
    <w:p w:rsidRPr="005E13C5" w:rsidR="005E13C5" w:rsidP="005E13C5" w:rsidRDefault="005E13C5" w14:paraId="305F99E8" w14:textId="77777777">
      <w:pPr>
        <w:pStyle w:val="Geenafstand"/>
        <w:rPr>
          <w:rFonts w:ascii="Verdana" w:hAnsi="Verdana" w:eastAsia="Times New Roman"/>
          <w:bCs/>
          <w:sz w:val="18"/>
          <w:szCs w:val="18"/>
          <w:lang w:eastAsia="nl-NL"/>
        </w:rPr>
      </w:pPr>
    </w:p>
    <w:p w:rsidR="005E13C5" w:rsidP="005E13C5" w:rsidRDefault="005E13C5" w14:paraId="5EA02D0D" w14:textId="77777777">
      <w:pPr>
        <w:pStyle w:val="Geenafstand"/>
        <w:rPr>
          <w:rFonts w:ascii="Verdana" w:hAnsi="Verdana" w:eastAsia="Times New Roman"/>
          <w:bCs/>
          <w:i/>
          <w:iCs/>
          <w:sz w:val="18"/>
          <w:szCs w:val="18"/>
          <w:lang w:eastAsia="nl-NL"/>
        </w:rPr>
      </w:pPr>
      <w:r w:rsidRPr="005E13C5">
        <w:rPr>
          <w:rFonts w:ascii="Verdana" w:hAnsi="Verdana" w:eastAsia="Times New Roman"/>
          <w:bCs/>
          <w:i/>
          <w:iCs/>
          <w:sz w:val="18"/>
          <w:szCs w:val="18"/>
          <w:lang w:eastAsia="nl-NL"/>
        </w:rPr>
        <w:t xml:space="preserve">De leden van de CDA-fractie merken op dat het kabinet een lijst acties vanuit het kabinet noemt. Deze leden vragen of deze acties regelmatig geëvalueerd worden en zo ja, of de minister de laatste evaluatie kan meesturen met de beantwoording van de vragen. </w:t>
      </w:r>
    </w:p>
    <w:p w:rsidR="00847536" w:rsidP="005E13C5" w:rsidRDefault="00847536" w14:paraId="55DCCCC8" w14:textId="77777777">
      <w:pPr>
        <w:pStyle w:val="Geenafstand"/>
        <w:rPr>
          <w:rFonts w:ascii="Verdana" w:hAnsi="Verdana" w:eastAsia="Times New Roman"/>
          <w:bCs/>
          <w:i/>
          <w:iCs/>
          <w:sz w:val="18"/>
          <w:szCs w:val="18"/>
          <w:lang w:eastAsia="nl-NL"/>
        </w:rPr>
      </w:pPr>
    </w:p>
    <w:p w:rsidRPr="005D2E59" w:rsidR="005D2E59" w:rsidP="005D2E59" w:rsidRDefault="005D2E59" w14:paraId="52C9BAC2" w14:textId="2908D32A">
      <w:pPr>
        <w:pStyle w:val="Geenafstand"/>
        <w:rPr>
          <w:rFonts w:ascii="Verdana" w:hAnsi="Verdana"/>
          <w:bCs/>
          <w:sz w:val="18"/>
          <w:szCs w:val="18"/>
        </w:rPr>
      </w:pPr>
      <w:r w:rsidRPr="005D2E59">
        <w:rPr>
          <w:rFonts w:ascii="Verdana" w:hAnsi="Verdana" w:eastAsia="Times New Roman"/>
          <w:bCs/>
          <w:sz w:val="18"/>
          <w:szCs w:val="18"/>
          <w:lang w:eastAsia="nl-NL"/>
        </w:rPr>
        <w:t>Het belang van evalueren wordt breed onderschreven</w:t>
      </w:r>
      <w:r w:rsidR="003F198A">
        <w:rPr>
          <w:rFonts w:ascii="Verdana" w:hAnsi="Verdana" w:eastAsia="Times New Roman"/>
          <w:bCs/>
          <w:sz w:val="18"/>
          <w:szCs w:val="18"/>
          <w:lang w:eastAsia="nl-NL"/>
        </w:rPr>
        <w:t xml:space="preserve"> om</w:t>
      </w:r>
      <w:r w:rsidR="00AD726F">
        <w:rPr>
          <w:rFonts w:ascii="Verdana" w:hAnsi="Verdana" w:eastAsia="Times New Roman"/>
          <w:bCs/>
          <w:sz w:val="18"/>
          <w:szCs w:val="18"/>
          <w:lang w:eastAsia="nl-NL"/>
        </w:rPr>
        <w:t xml:space="preserve"> </w:t>
      </w:r>
      <w:r w:rsidRPr="005D2E59">
        <w:rPr>
          <w:rFonts w:ascii="Verdana" w:hAnsi="Verdana" w:eastAsia="Times New Roman"/>
          <w:bCs/>
          <w:sz w:val="18"/>
          <w:szCs w:val="18"/>
          <w:lang w:eastAsia="nl-NL"/>
        </w:rPr>
        <w:t xml:space="preserve">zo de effectiviteit van beleid </w:t>
      </w:r>
      <w:r w:rsidR="003F198A">
        <w:rPr>
          <w:rFonts w:ascii="Verdana" w:hAnsi="Verdana" w:eastAsia="Times New Roman"/>
          <w:bCs/>
          <w:sz w:val="18"/>
          <w:szCs w:val="18"/>
          <w:lang w:eastAsia="nl-NL"/>
        </w:rPr>
        <w:t>vast te stellen</w:t>
      </w:r>
      <w:r w:rsidRPr="005D2E59">
        <w:rPr>
          <w:rFonts w:ascii="Verdana" w:hAnsi="Verdana" w:eastAsia="Times New Roman"/>
          <w:bCs/>
          <w:sz w:val="18"/>
          <w:szCs w:val="18"/>
          <w:lang w:eastAsia="nl-NL"/>
        </w:rPr>
        <w:t>,</w:t>
      </w:r>
      <w:r w:rsidR="003F198A">
        <w:rPr>
          <w:rFonts w:ascii="Verdana" w:hAnsi="Verdana" w:eastAsia="Times New Roman"/>
          <w:bCs/>
          <w:sz w:val="18"/>
          <w:szCs w:val="18"/>
          <w:lang w:eastAsia="nl-NL"/>
        </w:rPr>
        <w:t xml:space="preserve"> te verbeteren en verantwoording af te leggen over de inzet van publieke middelen</w:t>
      </w:r>
      <w:r w:rsidRPr="005D2E59">
        <w:rPr>
          <w:rFonts w:ascii="Verdana" w:hAnsi="Verdana" w:eastAsia="Times New Roman"/>
          <w:bCs/>
          <w:sz w:val="18"/>
          <w:szCs w:val="18"/>
          <w:lang w:eastAsia="nl-NL"/>
        </w:rPr>
        <w:t xml:space="preserve">. </w:t>
      </w:r>
      <w:r>
        <w:rPr>
          <w:rFonts w:ascii="Verdana" w:hAnsi="Verdana" w:eastAsia="Times New Roman"/>
          <w:bCs/>
          <w:sz w:val="18"/>
          <w:szCs w:val="18"/>
          <w:lang w:eastAsia="nl-NL"/>
        </w:rPr>
        <w:t xml:space="preserve">Ook </w:t>
      </w:r>
      <w:r>
        <w:rPr>
          <w:rFonts w:ascii="Verdana" w:hAnsi="Verdana"/>
          <w:bCs/>
          <w:sz w:val="18"/>
          <w:szCs w:val="18"/>
        </w:rPr>
        <w:t xml:space="preserve">het platform </w:t>
      </w:r>
      <w:r w:rsidRPr="005D2E59">
        <w:rPr>
          <w:rFonts w:ascii="Verdana" w:hAnsi="Verdana"/>
          <w:bCs/>
          <w:sz w:val="18"/>
          <w:szCs w:val="18"/>
        </w:rPr>
        <w:t xml:space="preserve">Wijzer in geldzaken vindt het belangrijk dat </w:t>
      </w:r>
      <w:r>
        <w:rPr>
          <w:rFonts w:ascii="Verdana" w:hAnsi="Verdana"/>
          <w:bCs/>
          <w:sz w:val="18"/>
          <w:szCs w:val="18"/>
        </w:rPr>
        <w:t>de activiteiten</w:t>
      </w:r>
      <w:r w:rsidRPr="005D2E59">
        <w:rPr>
          <w:rFonts w:ascii="Verdana" w:hAnsi="Verdana"/>
          <w:bCs/>
          <w:sz w:val="18"/>
          <w:szCs w:val="18"/>
        </w:rPr>
        <w:t xml:space="preserve"> regelmatig worden geëvalueerd</w:t>
      </w:r>
      <w:r w:rsidR="00AD726F">
        <w:rPr>
          <w:rFonts w:ascii="Verdana" w:hAnsi="Verdana"/>
          <w:bCs/>
          <w:sz w:val="18"/>
          <w:szCs w:val="18"/>
        </w:rPr>
        <w:t>. Ev</w:t>
      </w:r>
      <w:r w:rsidRPr="005D2E59">
        <w:rPr>
          <w:rFonts w:ascii="Verdana" w:hAnsi="Verdana"/>
          <w:bCs/>
          <w:sz w:val="18"/>
          <w:szCs w:val="18"/>
        </w:rPr>
        <w:t>aluaties en publiciteitsonderzoeken van de kernprojecten vormen een belangrijk fundament voor de activiteiten van Wijzer in geldzaken. Deze evaluaties, bijvoorbeeld naar de Pensioen3daagse of de Week van het geld, zijn van belang om de effectiviteit van de initiatieven te monitoren en waar nodig het beleid bij te sturen. In de jaarplannen</w:t>
      </w:r>
      <w:r>
        <w:rPr>
          <w:rStyle w:val="Voetnootmarkering"/>
          <w:rFonts w:ascii="Verdana" w:hAnsi="Verdana" w:eastAsia="Times New Roman"/>
          <w:bCs/>
          <w:sz w:val="18"/>
          <w:szCs w:val="18"/>
          <w:lang w:eastAsia="nl-NL"/>
        </w:rPr>
        <w:footnoteReference w:id="20"/>
      </w:r>
      <w:r w:rsidRPr="005D2E59">
        <w:rPr>
          <w:rFonts w:ascii="Verdana" w:hAnsi="Verdana"/>
          <w:bCs/>
          <w:sz w:val="18"/>
          <w:szCs w:val="18"/>
        </w:rPr>
        <w:t xml:space="preserve"> van het platform wordt teruggeblikt op de activiteiten, resultaten en ontwikkelingen van het afgelopen jaar, waarbij wordt ingegaan op de resultaten afkomstig uit de evaluaties.</w:t>
      </w:r>
    </w:p>
    <w:p w:rsidRPr="005E13C5" w:rsidR="005E13C5" w:rsidP="005E13C5" w:rsidRDefault="005E13C5" w14:paraId="45CF2790" w14:textId="77777777">
      <w:pPr>
        <w:pStyle w:val="Geenafstand"/>
        <w:rPr>
          <w:rFonts w:ascii="Verdana" w:hAnsi="Verdana" w:eastAsia="Times New Roman"/>
          <w:bCs/>
          <w:sz w:val="18"/>
          <w:szCs w:val="18"/>
          <w:lang w:eastAsia="nl-NL"/>
        </w:rPr>
      </w:pPr>
    </w:p>
    <w:p w:rsidR="005E13C5" w:rsidP="005E13C5" w:rsidRDefault="005E13C5" w14:paraId="372DA60A" w14:textId="77777777">
      <w:pPr>
        <w:pStyle w:val="Geenafstand"/>
        <w:rPr>
          <w:rFonts w:ascii="Verdana" w:hAnsi="Verdana" w:eastAsia="Times New Roman"/>
          <w:bCs/>
          <w:i/>
          <w:iCs/>
          <w:sz w:val="18"/>
          <w:szCs w:val="18"/>
          <w:lang w:eastAsia="nl-NL"/>
        </w:rPr>
      </w:pPr>
      <w:r w:rsidRPr="00E622FD">
        <w:rPr>
          <w:rFonts w:ascii="Verdana" w:hAnsi="Verdana" w:eastAsia="Times New Roman"/>
          <w:bCs/>
          <w:i/>
          <w:iCs/>
          <w:sz w:val="18"/>
          <w:szCs w:val="18"/>
          <w:lang w:eastAsia="nl-NL"/>
        </w:rPr>
        <w:t xml:space="preserve">De leden van de CDA-fractie lezen in de tweede pijler over bewustmakingscampagnes, vooral ook gericht op financieel kwetsbare mensen. Deze leden vragen of inzicht en overzicht voor deze groepen niet de eerste stap is naar meer financiële geletterdheid. In dat kader vragen deze leden hoe het staat met de uitvoering van de motie van de CDA-fractie om alle betalingen vanuit de overheid rond dezelfde datum plaats te laten vinden, zodat mensen hun vaste lasten daarop kunnen laten aansluiten. </w:t>
      </w:r>
    </w:p>
    <w:p w:rsidRPr="00E622FD" w:rsidR="003F198A" w:rsidP="005E13C5" w:rsidRDefault="003F198A" w14:paraId="2700E30B" w14:textId="77777777">
      <w:pPr>
        <w:pStyle w:val="Geenafstand"/>
        <w:rPr>
          <w:rFonts w:ascii="Verdana" w:hAnsi="Verdana" w:eastAsia="Times New Roman"/>
          <w:bCs/>
          <w:i/>
          <w:iCs/>
          <w:sz w:val="18"/>
          <w:szCs w:val="18"/>
          <w:lang w:eastAsia="nl-NL"/>
        </w:rPr>
      </w:pPr>
    </w:p>
    <w:p w:rsidRPr="002C2707" w:rsidR="005E13C5" w:rsidP="005E13C5" w:rsidRDefault="002C2707" w14:paraId="711BBCB0" w14:textId="37FE530E">
      <w:pPr>
        <w:pStyle w:val="Geenafstand"/>
        <w:rPr>
          <w:rFonts w:ascii="Verdana" w:hAnsi="Verdana"/>
          <w:bCs/>
          <w:sz w:val="18"/>
          <w:szCs w:val="18"/>
        </w:rPr>
      </w:pPr>
      <w:r w:rsidRPr="002C2707">
        <w:rPr>
          <w:rFonts w:ascii="Verdana" w:hAnsi="Verdana"/>
          <w:bCs/>
          <w:sz w:val="18"/>
          <w:szCs w:val="18"/>
        </w:rPr>
        <w:t xml:space="preserve">Het is bekend dat één vast betaalmoment bijdraagt aan het creëren van overzicht voor mensen met financiële stress en kan helpen bij het vergroten van grip op het eigen leven. De minister van </w:t>
      </w:r>
      <w:r w:rsidRPr="005E13C5">
        <w:rPr>
          <w:rFonts w:ascii="Verdana" w:hAnsi="Verdana" w:eastAsia="Times New Roman"/>
          <w:bCs/>
          <w:sz w:val="18"/>
          <w:szCs w:val="18"/>
          <w:lang w:eastAsia="nl-NL"/>
        </w:rPr>
        <w:t>Sociale Zaken en Werkgelegenheid</w:t>
      </w:r>
      <w:r>
        <w:rPr>
          <w:rFonts w:ascii="Verdana" w:hAnsi="Verdana" w:eastAsia="Times New Roman"/>
          <w:bCs/>
          <w:sz w:val="18"/>
          <w:szCs w:val="18"/>
          <w:lang w:eastAsia="nl-NL"/>
        </w:rPr>
        <w:t xml:space="preserve"> </w:t>
      </w:r>
      <w:r w:rsidRPr="002C2707">
        <w:rPr>
          <w:rFonts w:ascii="Verdana" w:hAnsi="Verdana"/>
          <w:bCs/>
          <w:sz w:val="18"/>
          <w:szCs w:val="18"/>
        </w:rPr>
        <w:t xml:space="preserve">wil bijdragen aan de financiële positie van mensen en onderzoekt daarom de praktische mogelijkheden om inkomensmomenten én uitgavenmomenten op elkaar af te stemmen. Hierbij </w:t>
      </w:r>
      <w:r w:rsidR="00DE5FBB">
        <w:rPr>
          <w:rFonts w:ascii="Verdana" w:hAnsi="Verdana"/>
          <w:bCs/>
          <w:sz w:val="18"/>
          <w:szCs w:val="18"/>
        </w:rPr>
        <w:t>zijn onder meer de</w:t>
      </w:r>
      <w:r w:rsidRPr="002C2707">
        <w:rPr>
          <w:rFonts w:ascii="Verdana" w:hAnsi="Verdana"/>
          <w:bCs/>
          <w:sz w:val="18"/>
          <w:szCs w:val="18"/>
        </w:rPr>
        <w:t xml:space="preserve"> uitvoeringsgevolgen voor zowel publieke dienstverleners als (semi)private partijen</w:t>
      </w:r>
      <w:r w:rsidR="00DE5FBB">
        <w:rPr>
          <w:rFonts w:ascii="Verdana" w:hAnsi="Verdana"/>
          <w:bCs/>
          <w:sz w:val="18"/>
          <w:szCs w:val="18"/>
        </w:rPr>
        <w:t xml:space="preserve"> van belang</w:t>
      </w:r>
      <w:r w:rsidRPr="002C2707">
        <w:rPr>
          <w:rFonts w:ascii="Verdana" w:hAnsi="Verdana"/>
          <w:bCs/>
          <w:sz w:val="18"/>
          <w:szCs w:val="18"/>
        </w:rPr>
        <w:t>. Zo wordt gekeken naar mogelijke risico’s voor bijvoorbeeld banken bij de invoering van één betaalmoment, wat dit betekent voor de bereikbaarheid van servicecentra indien veel mensen rond hetzelfde moment contact zoeken, en wat de financiële gevolgen zijn voor overheidsinstanties als het UWV, de Dienst Toeslagen en gemeenten. De uitkomsten van dit onderzoek zullen in de eerste helft van 2026 aan de Kamer worden aangeboden, waardoor besluitvorming</w:t>
      </w:r>
      <w:r w:rsidR="000734E6">
        <w:rPr>
          <w:rFonts w:ascii="Verdana" w:hAnsi="Verdana"/>
          <w:bCs/>
          <w:sz w:val="18"/>
          <w:szCs w:val="18"/>
        </w:rPr>
        <w:t xml:space="preserve"> over</w:t>
      </w:r>
      <w:r w:rsidRPr="002C2707">
        <w:rPr>
          <w:rFonts w:ascii="Verdana" w:hAnsi="Verdana"/>
          <w:bCs/>
          <w:sz w:val="18"/>
          <w:szCs w:val="18"/>
        </w:rPr>
        <w:t xml:space="preserve"> dit onderwerp in de loop van 2026 kan </w:t>
      </w:r>
      <w:r w:rsidRPr="00E622FD" w:rsidR="005E13C5">
        <w:rPr>
          <w:rFonts w:ascii="Verdana" w:hAnsi="Verdana" w:eastAsia="Times New Roman"/>
          <w:bCs/>
          <w:sz w:val="18"/>
          <w:szCs w:val="18"/>
          <w:lang w:eastAsia="nl-NL"/>
        </w:rPr>
        <w:t>plaatsvinden.</w:t>
      </w:r>
    </w:p>
    <w:p w:rsidRPr="005E13C5" w:rsidR="005E13C5" w:rsidP="005E13C5" w:rsidRDefault="005E13C5" w14:paraId="50229450" w14:textId="77777777">
      <w:pPr>
        <w:pStyle w:val="Geenafstand"/>
        <w:rPr>
          <w:rFonts w:ascii="Verdana" w:hAnsi="Verdana" w:eastAsia="Times New Roman"/>
          <w:bCs/>
          <w:sz w:val="18"/>
          <w:szCs w:val="18"/>
          <w:lang w:eastAsia="nl-NL"/>
        </w:rPr>
      </w:pPr>
    </w:p>
    <w:p w:rsidR="005E13C5" w:rsidP="005E13C5" w:rsidRDefault="005E13C5" w14:paraId="59A09BF3" w14:textId="77777777">
      <w:pPr>
        <w:pStyle w:val="Geenafstand"/>
        <w:rPr>
          <w:rFonts w:ascii="Verdana" w:hAnsi="Verdana" w:eastAsia="Times New Roman"/>
          <w:bCs/>
          <w:i/>
          <w:iCs/>
          <w:sz w:val="18"/>
          <w:szCs w:val="18"/>
          <w:lang w:eastAsia="nl-NL"/>
        </w:rPr>
      </w:pPr>
      <w:r w:rsidRPr="00E622FD">
        <w:rPr>
          <w:rFonts w:ascii="Verdana" w:hAnsi="Verdana" w:eastAsia="Times New Roman"/>
          <w:bCs/>
          <w:i/>
          <w:iCs/>
          <w:sz w:val="18"/>
          <w:szCs w:val="18"/>
          <w:lang w:eastAsia="nl-NL"/>
        </w:rPr>
        <w:t>Daarnaast heeft het kabinet in het bijzonder aandacht voor het thema pensioenen, gezien de complexiteit van het stelsel en de impact ervan op de (toekomstige) financiële positie van huishoudens. De leden van de CDA-fractie vragen hoe effectief de minister vindt dat hij hierin is, gezien het artikel van 1 december 2025 in de Telegraaf: “Pensioen-ellende dreigt voor werkende.”</w:t>
      </w:r>
    </w:p>
    <w:p w:rsidRPr="00E622FD" w:rsidR="003F198A" w:rsidP="005E13C5" w:rsidRDefault="003F198A" w14:paraId="36C2ED63" w14:textId="77777777">
      <w:pPr>
        <w:pStyle w:val="Geenafstand"/>
        <w:rPr>
          <w:rFonts w:ascii="Verdana" w:hAnsi="Verdana" w:eastAsia="Times New Roman"/>
          <w:bCs/>
          <w:i/>
          <w:iCs/>
          <w:sz w:val="18"/>
          <w:szCs w:val="18"/>
          <w:lang w:eastAsia="nl-NL"/>
        </w:rPr>
      </w:pPr>
    </w:p>
    <w:p w:rsidR="005E13C5" w:rsidP="005E13C5" w:rsidRDefault="00562658" w14:paraId="3DE61CF4" w14:textId="4C2503F3">
      <w:pPr>
        <w:pStyle w:val="Geenafstand"/>
        <w:rPr>
          <w:rFonts w:ascii="Verdana" w:hAnsi="Verdana" w:eastAsia="Times New Roman"/>
          <w:bCs/>
          <w:sz w:val="18"/>
          <w:szCs w:val="18"/>
          <w:lang w:eastAsia="nl-NL"/>
        </w:rPr>
      </w:pPr>
      <w:r>
        <w:rPr>
          <w:rFonts w:ascii="Verdana" w:hAnsi="Verdana" w:eastAsia="Times New Roman"/>
          <w:bCs/>
          <w:sz w:val="18"/>
          <w:szCs w:val="18"/>
          <w:lang w:eastAsia="nl-NL"/>
        </w:rPr>
        <w:t xml:space="preserve">De </w:t>
      </w:r>
      <w:r w:rsidRPr="00562658">
        <w:rPr>
          <w:rFonts w:ascii="Verdana" w:hAnsi="Verdana" w:eastAsia="Times New Roman"/>
          <w:bCs/>
          <w:sz w:val="18"/>
          <w:szCs w:val="18"/>
          <w:lang w:eastAsia="nl-NL"/>
        </w:rPr>
        <w:t xml:space="preserve">inzet op pensioenbewustheid via publiekscampagnes </w:t>
      </w:r>
      <w:r w:rsidRPr="00562658" w:rsidR="000734E6">
        <w:rPr>
          <w:rFonts w:ascii="Verdana" w:hAnsi="Verdana" w:eastAsia="Times New Roman"/>
          <w:bCs/>
          <w:sz w:val="18"/>
          <w:szCs w:val="18"/>
          <w:lang w:eastAsia="nl-NL"/>
        </w:rPr>
        <w:t xml:space="preserve">kan </w:t>
      </w:r>
      <w:r w:rsidRPr="00562658">
        <w:rPr>
          <w:rFonts w:ascii="Verdana" w:hAnsi="Verdana" w:eastAsia="Times New Roman"/>
          <w:bCs/>
          <w:sz w:val="18"/>
          <w:szCs w:val="18"/>
          <w:lang w:eastAsia="nl-NL"/>
        </w:rPr>
        <w:t xml:space="preserve">effectief zijn. In het genoemde artikel wordt verwezen naar de groep werknemers zonder pensioenopbouw en regelingen met beperkte </w:t>
      </w:r>
      <w:r w:rsidRPr="00562658">
        <w:rPr>
          <w:rFonts w:ascii="Verdana" w:hAnsi="Verdana" w:eastAsia="Times New Roman"/>
          <w:bCs/>
          <w:sz w:val="18"/>
          <w:szCs w:val="18"/>
          <w:lang w:eastAsia="nl-NL"/>
        </w:rPr>
        <w:lastRenderedPageBreak/>
        <w:t xml:space="preserve">premie-inleg. Om de groep werknemers zonder pensioen te laten afnemen heeft </w:t>
      </w:r>
      <w:r>
        <w:rPr>
          <w:rFonts w:ascii="Verdana" w:hAnsi="Verdana" w:eastAsia="Times New Roman"/>
          <w:bCs/>
          <w:sz w:val="18"/>
          <w:szCs w:val="18"/>
          <w:lang w:eastAsia="nl-NL"/>
        </w:rPr>
        <w:t>het kabinet de</w:t>
      </w:r>
      <w:r w:rsidRPr="00562658">
        <w:rPr>
          <w:rFonts w:ascii="Verdana" w:hAnsi="Verdana" w:eastAsia="Times New Roman"/>
          <w:bCs/>
          <w:sz w:val="18"/>
          <w:szCs w:val="18"/>
          <w:lang w:eastAsia="nl-NL"/>
        </w:rPr>
        <w:t xml:space="preserve"> afgelopen jaren verschillende maatregelen getroffen, waaronder maatregelen die zich richten op het vergroten van het pensioenbewustzijn. Deze maatregelen hebben bijgedragen aan het afnemen van het aantal werknemers zonder pensioenopbouw. In 2019 bouwden 936.000 werknemers geen pensioen op. Eind 2023 was dat nog 680.000</w:t>
      </w:r>
      <w:r w:rsidR="002C2707">
        <w:rPr>
          <w:rStyle w:val="Voetnootmarkering"/>
          <w:rFonts w:ascii="Verdana" w:hAnsi="Verdana" w:eastAsia="Times New Roman"/>
          <w:bCs/>
          <w:sz w:val="18"/>
          <w:szCs w:val="18"/>
          <w:lang w:eastAsia="nl-NL"/>
        </w:rPr>
        <w:footnoteReference w:id="21"/>
      </w:r>
      <w:r w:rsidRPr="00562658">
        <w:rPr>
          <w:rFonts w:ascii="Verdana" w:hAnsi="Verdana" w:eastAsia="Times New Roman"/>
          <w:bCs/>
          <w:sz w:val="18"/>
          <w:szCs w:val="18"/>
          <w:lang w:eastAsia="nl-NL"/>
        </w:rPr>
        <w:t xml:space="preserve">. Daarnaast heeft </w:t>
      </w:r>
      <w:r>
        <w:rPr>
          <w:rFonts w:ascii="Verdana" w:hAnsi="Verdana" w:eastAsia="Times New Roman"/>
          <w:bCs/>
          <w:sz w:val="18"/>
          <w:szCs w:val="18"/>
          <w:lang w:eastAsia="nl-NL"/>
        </w:rPr>
        <w:t xml:space="preserve">het kabinet </w:t>
      </w:r>
      <w:r w:rsidRPr="00562658">
        <w:rPr>
          <w:rFonts w:ascii="Verdana" w:hAnsi="Verdana" w:eastAsia="Times New Roman"/>
          <w:bCs/>
          <w:sz w:val="18"/>
          <w:szCs w:val="18"/>
          <w:lang w:eastAsia="nl-NL"/>
        </w:rPr>
        <w:t>vanwege de transitie naar het nieuwe stelsel ook een brede publiekscampagne gehouden om mensen bewust te maken van de regels van het nieuwe pensioenstelsel en het pensioenbewustzijn te vergroten. De financiële positie na pensionering van huishouden</w:t>
      </w:r>
      <w:r>
        <w:rPr>
          <w:rFonts w:ascii="Verdana" w:hAnsi="Verdana" w:eastAsia="Times New Roman"/>
          <w:bCs/>
          <w:sz w:val="18"/>
          <w:szCs w:val="18"/>
          <w:lang w:eastAsia="nl-NL"/>
        </w:rPr>
        <w:t>s</w:t>
      </w:r>
      <w:r w:rsidRPr="00562658">
        <w:rPr>
          <w:rFonts w:ascii="Verdana" w:hAnsi="Verdana" w:eastAsia="Times New Roman"/>
          <w:bCs/>
          <w:sz w:val="18"/>
          <w:szCs w:val="18"/>
          <w:lang w:eastAsia="nl-NL"/>
        </w:rPr>
        <w:t xml:space="preserve"> wordt ook beïnvloed door de geldende pensioenregeling die met de werkgever is afgesproken. Daarom heeft </w:t>
      </w:r>
      <w:r>
        <w:rPr>
          <w:rFonts w:ascii="Verdana" w:hAnsi="Verdana" w:eastAsia="Times New Roman"/>
          <w:bCs/>
          <w:sz w:val="18"/>
          <w:szCs w:val="18"/>
          <w:lang w:eastAsia="nl-NL"/>
        </w:rPr>
        <w:t>het kabinet</w:t>
      </w:r>
      <w:r w:rsidRPr="00562658">
        <w:rPr>
          <w:rFonts w:ascii="Verdana" w:hAnsi="Verdana" w:eastAsia="Times New Roman"/>
          <w:bCs/>
          <w:sz w:val="18"/>
          <w:szCs w:val="18"/>
          <w:lang w:eastAsia="nl-NL"/>
        </w:rPr>
        <w:t xml:space="preserve"> in 2024 en 2025 publiekscampagnes georganiseerd die zich richtten op werkgevers zonder pensioenregeling</w:t>
      </w:r>
      <w:r w:rsidR="002C2707">
        <w:rPr>
          <w:rStyle w:val="Voetnootmarkering"/>
          <w:rFonts w:ascii="Verdana" w:hAnsi="Verdana" w:eastAsia="Times New Roman"/>
          <w:bCs/>
          <w:sz w:val="18"/>
          <w:szCs w:val="18"/>
          <w:lang w:eastAsia="nl-NL"/>
        </w:rPr>
        <w:footnoteReference w:id="22"/>
      </w:r>
      <w:r w:rsidRPr="00562658">
        <w:rPr>
          <w:rFonts w:ascii="Verdana" w:hAnsi="Verdana" w:eastAsia="Times New Roman"/>
          <w:bCs/>
          <w:sz w:val="18"/>
          <w:szCs w:val="18"/>
          <w:lang w:eastAsia="nl-NL"/>
        </w:rPr>
        <w:t>. In de evaluatie na</w:t>
      </w:r>
      <w:r w:rsidR="00D20BD9">
        <w:rPr>
          <w:rFonts w:ascii="Verdana" w:hAnsi="Verdana" w:eastAsia="Times New Roman"/>
          <w:bCs/>
          <w:sz w:val="18"/>
          <w:szCs w:val="18"/>
          <w:lang w:eastAsia="nl-NL"/>
        </w:rPr>
        <w:t>ar</w:t>
      </w:r>
      <w:r w:rsidRPr="00562658">
        <w:rPr>
          <w:rFonts w:ascii="Verdana" w:hAnsi="Verdana" w:eastAsia="Times New Roman"/>
          <w:bCs/>
          <w:sz w:val="18"/>
          <w:szCs w:val="18"/>
          <w:lang w:eastAsia="nl-NL"/>
        </w:rPr>
        <w:t xml:space="preserve"> aanleiding van de cijfers over het aantal werknemers zonder pensioenopbouw in 2024 zal onder andere worden stilgestaan bij de effectiviteit van deze campagnes</w:t>
      </w:r>
      <w:r>
        <w:rPr>
          <w:rFonts w:ascii="Verdana" w:hAnsi="Verdana" w:eastAsia="Times New Roman"/>
          <w:bCs/>
          <w:sz w:val="18"/>
          <w:szCs w:val="18"/>
          <w:lang w:eastAsia="nl-NL"/>
        </w:rPr>
        <w:t xml:space="preserve">. </w:t>
      </w:r>
    </w:p>
    <w:p w:rsidRPr="005E13C5" w:rsidR="00562658" w:rsidP="005E13C5" w:rsidRDefault="00562658" w14:paraId="1E06F994" w14:textId="77777777">
      <w:pPr>
        <w:pStyle w:val="Geenafstand"/>
        <w:rPr>
          <w:rFonts w:ascii="Verdana" w:hAnsi="Verdana" w:eastAsia="Times New Roman"/>
          <w:bCs/>
          <w:sz w:val="18"/>
          <w:szCs w:val="18"/>
          <w:lang w:eastAsia="nl-NL"/>
        </w:rPr>
      </w:pPr>
    </w:p>
    <w:p w:rsidR="00D20BD9" w:rsidP="005E13C5" w:rsidRDefault="005E13C5" w14:paraId="51A40269" w14:textId="77777777">
      <w:pPr>
        <w:pStyle w:val="Geenafstand"/>
        <w:rPr>
          <w:rFonts w:ascii="Verdana" w:hAnsi="Verdana" w:eastAsia="Times New Roman"/>
          <w:bCs/>
          <w:i/>
          <w:iCs/>
          <w:sz w:val="18"/>
          <w:szCs w:val="18"/>
          <w:lang w:eastAsia="nl-NL"/>
        </w:rPr>
      </w:pPr>
      <w:r w:rsidRPr="00E622FD">
        <w:rPr>
          <w:rFonts w:ascii="Verdana" w:hAnsi="Verdana" w:eastAsia="Times New Roman"/>
          <w:bCs/>
          <w:i/>
          <w:iCs/>
          <w:sz w:val="18"/>
          <w:szCs w:val="18"/>
          <w:lang w:eastAsia="nl-NL"/>
        </w:rPr>
        <w:t>Deze leden lezen de pijlers met name als publiekcampagnes, maar vragen het kabinet of ook praktische tools kunnen worden ontwikkeld, zoals beleggingswijzers vanuit de overheid. Bijvoorbeeld een praktische handleiding of lijst van beleggingen naar risicoprofiel. Deze leden merken op dat financiële zaken voor veel mensen spannend zijn en dat specifieke overheidsinformatie over bijvoorbeeld verstandig beleggen of sparen meer vertrouwen kan geven.</w:t>
      </w:r>
    </w:p>
    <w:p w:rsidRPr="00E622FD" w:rsidR="005E13C5" w:rsidP="005E13C5" w:rsidRDefault="005E13C5" w14:paraId="3FF188EB" w14:textId="05957487">
      <w:pPr>
        <w:pStyle w:val="Geenafstand"/>
        <w:rPr>
          <w:rFonts w:ascii="Verdana" w:hAnsi="Verdana" w:eastAsia="Times New Roman"/>
          <w:bCs/>
          <w:i/>
          <w:iCs/>
          <w:sz w:val="18"/>
          <w:szCs w:val="18"/>
          <w:lang w:eastAsia="nl-NL"/>
        </w:rPr>
      </w:pPr>
      <w:r w:rsidRPr="00E622FD">
        <w:rPr>
          <w:rFonts w:ascii="Verdana" w:hAnsi="Verdana" w:eastAsia="Times New Roman"/>
          <w:bCs/>
          <w:i/>
          <w:iCs/>
          <w:sz w:val="18"/>
          <w:szCs w:val="18"/>
          <w:lang w:eastAsia="nl-NL"/>
        </w:rPr>
        <w:t xml:space="preserve"> </w:t>
      </w:r>
    </w:p>
    <w:p w:rsidRPr="00E622FD" w:rsidR="005E13C5" w:rsidP="005E13C5" w:rsidRDefault="005E13C5" w14:paraId="4CD34ACF" w14:textId="774E4519">
      <w:pPr>
        <w:pStyle w:val="Geenafstand"/>
        <w:rPr>
          <w:rFonts w:ascii="Verdana" w:hAnsi="Verdana" w:eastAsia="Times New Roman"/>
          <w:bCs/>
          <w:sz w:val="18"/>
          <w:szCs w:val="18"/>
          <w:lang w:eastAsia="nl-NL"/>
        </w:rPr>
      </w:pPr>
      <w:r w:rsidRPr="00E622FD">
        <w:rPr>
          <w:rFonts w:ascii="Verdana" w:hAnsi="Verdana" w:eastAsia="Times New Roman"/>
          <w:bCs/>
          <w:sz w:val="18"/>
          <w:szCs w:val="18"/>
          <w:lang w:eastAsia="nl-NL"/>
        </w:rPr>
        <w:t xml:space="preserve">Het kabinet herkent dat voor veel mensen financiële zaken spannend kunnen zijn en specifieke overheidsinformatie helpt meer vertrouwen te geven. Zoals in het BNC-fiche beschreven helpt de website www.wijzeringeldzaken.nl om betrouwbare informatie te vinden bij het maken van geldkeuzes. Op deze website zijn ook </w:t>
      </w:r>
      <w:r w:rsidR="000734E6">
        <w:rPr>
          <w:rFonts w:ascii="Verdana" w:hAnsi="Verdana" w:eastAsia="Times New Roman"/>
          <w:bCs/>
          <w:sz w:val="18"/>
          <w:szCs w:val="18"/>
          <w:lang w:eastAsia="nl-NL"/>
        </w:rPr>
        <w:t>handvatten</w:t>
      </w:r>
      <w:r w:rsidRPr="00E622FD">
        <w:rPr>
          <w:rFonts w:ascii="Verdana" w:hAnsi="Verdana" w:eastAsia="Times New Roman"/>
          <w:bCs/>
          <w:sz w:val="18"/>
          <w:szCs w:val="18"/>
          <w:lang w:eastAsia="nl-NL"/>
        </w:rPr>
        <w:t xml:space="preserve"> te vinden</w:t>
      </w:r>
      <w:r w:rsidR="000734E6">
        <w:rPr>
          <w:rFonts w:ascii="Verdana" w:hAnsi="Verdana" w:eastAsia="Times New Roman"/>
          <w:bCs/>
          <w:sz w:val="18"/>
          <w:szCs w:val="18"/>
          <w:lang w:eastAsia="nl-NL"/>
        </w:rPr>
        <w:t>,</w:t>
      </w:r>
      <w:r w:rsidRPr="00E622FD">
        <w:rPr>
          <w:rFonts w:ascii="Verdana" w:hAnsi="Verdana" w:eastAsia="Times New Roman"/>
          <w:bCs/>
          <w:sz w:val="18"/>
          <w:szCs w:val="18"/>
          <w:lang w:eastAsia="nl-NL"/>
        </w:rPr>
        <w:t xml:space="preserve"> zoals de checklist beleggen. </w:t>
      </w:r>
      <w:r w:rsidR="000734E6">
        <w:rPr>
          <w:rFonts w:ascii="Verdana" w:hAnsi="Verdana" w:eastAsia="Times New Roman"/>
          <w:bCs/>
          <w:sz w:val="18"/>
          <w:szCs w:val="18"/>
          <w:lang w:eastAsia="nl-NL"/>
        </w:rPr>
        <w:t>Ook zijn er</w:t>
      </w:r>
      <w:r w:rsidRPr="00E622FD">
        <w:rPr>
          <w:rFonts w:ascii="Verdana" w:hAnsi="Verdana" w:eastAsia="Times New Roman"/>
          <w:bCs/>
          <w:sz w:val="18"/>
          <w:szCs w:val="18"/>
          <w:lang w:eastAsia="nl-NL"/>
        </w:rPr>
        <w:t xml:space="preserve"> links naar andere websites met betrouwbare informatie, zoals van de </w:t>
      </w:r>
      <w:r w:rsidR="00F21546">
        <w:rPr>
          <w:rFonts w:ascii="Verdana" w:hAnsi="Verdana" w:eastAsia="Times New Roman"/>
          <w:bCs/>
          <w:sz w:val="18"/>
          <w:szCs w:val="18"/>
          <w:lang w:eastAsia="nl-NL"/>
        </w:rPr>
        <w:t>AFM</w:t>
      </w:r>
      <w:r w:rsidRPr="00E622FD">
        <w:rPr>
          <w:rFonts w:ascii="Verdana" w:hAnsi="Verdana" w:eastAsia="Times New Roman"/>
          <w:bCs/>
          <w:sz w:val="18"/>
          <w:szCs w:val="18"/>
          <w:lang w:eastAsia="nl-NL"/>
        </w:rPr>
        <w:t xml:space="preserve"> en de Vereniging voor Effectenbezitters (VEB).</w:t>
      </w:r>
      <w:r w:rsidR="00D20BD9">
        <w:rPr>
          <w:rFonts w:ascii="Verdana" w:hAnsi="Verdana" w:eastAsia="Times New Roman"/>
          <w:bCs/>
          <w:sz w:val="18"/>
          <w:szCs w:val="18"/>
          <w:lang w:eastAsia="nl-NL"/>
        </w:rPr>
        <w:t xml:space="preserve"> </w:t>
      </w:r>
      <w:r w:rsidR="00D82609">
        <w:rPr>
          <w:rFonts w:ascii="Verdana" w:hAnsi="Verdana" w:eastAsia="Times New Roman"/>
          <w:bCs/>
          <w:sz w:val="18"/>
          <w:szCs w:val="18"/>
          <w:lang w:eastAsia="nl-NL"/>
        </w:rPr>
        <w:t xml:space="preserve">Daarnaast stelt het platform </w:t>
      </w:r>
      <w:r w:rsidRPr="00E622FD">
        <w:rPr>
          <w:rFonts w:ascii="Verdana" w:hAnsi="Verdana" w:eastAsia="Times New Roman"/>
          <w:bCs/>
          <w:sz w:val="18"/>
          <w:szCs w:val="18"/>
          <w:lang w:eastAsia="nl-NL"/>
        </w:rPr>
        <w:t xml:space="preserve">Wijzer in geldzaken jaarlijks </w:t>
      </w:r>
      <w:r w:rsidR="000734E6">
        <w:rPr>
          <w:rFonts w:ascii="Verdana" w:hAnsi="Verdana" w:eastAsia="Times New Roman"/>
          <w:bCs/>
          <w:sz w:val="18"/>
          <w:szCs w:val="18"/>
          <w:lang w:eastAsia="nl-NL"/>
        </w:rPr>
        <w:t>het</w:t>
      </w:r>
      <w:r w:rsidRPr="00E622FD">
        <w:rPr>
          <w:rFonts w:ascii="Verdana" w:hAnsi="Verdana" w:eastAsia="Times New Roman"/>
          <w:bCs/>
          <w:sz w:val="18"/>
          <w:szCs w:val="18"/>
          <w:lang w:eastAsia="nl-NL"/>
        </w:rPr>
        <w:t xml:space="preserve"> </w:t>
      </w:r>
      <w:r w:rsidR="00D82609">
        <w:rPr>
          <w:rFonts w:ascii="Verdana" w:hAnsi="Verdana" w:eastAsia="Times New Roman"/>
          <w:bCs/>
          <w:sz w:val="18"/>
          <w:szCs w:val="18"/>
          <w:lang w:eastAsia="nl-NL"/>
        </w:rPr>
        <w:t>“</w:t>
      </w:r>
      <w:r w:rsidRPr="00E622FD">
        <w:rPr>
          <w:rFonts w:ascii="Verdana" w:hAnsi="Verdana" w:eastAsia="Times New Roman"/>
          <w:bCs/>
          <w:sz w:val="18"/>
          <w:szCs w:val="18"/>
          <w:lang w:eastAsia="nl-NL"/>
        </w:rPr>
        <w:t>Wat betekent dit voor mij</w:t>
      </w:r>
      <w:r w:rsidR="006E4FCD">
        <w:rPr>
          <w:rFonts w:ascii="Verdana" w:hAnsi="Verdana" w:eastAsia="Times New Roman"/>
          <w:bCs/>
          <w:sz w:val="18"/>
          <w:szCs w:val="18"/>
          <w:lang w:eastAsia="nl-NL"/>
        </w:rPr>
        <w:t>”</w:t>
      </w:r>
      <w:r w:rsidRPr="00E622FD">
        <w:rPr>
          <w:rFonts w:ascii="Verdana" w:hAnsi="Verdana" w:eastAsia="Times New Roman"/>
          <w:bCs/>
          <w:sz w:val="18"/>
          <w:szCs w:val="18"/>
          <w:lang w:eastAsia="nl-NL"/>
        </w:rPr>
        <w:t>-</w:t>
      </w:r>
      <w:r w:rsidR="000734E6">
        <w:rPr>
          <w:rFonts w:ascii="Verdana" w:hAnsi="Verdana" w:eastAsia="Times New Roman"/>
          <w:bCs/>
          <w:sz w:val="18"/>
          <w:szCs w:val="18"/>
          <w:lang w:eastAsia="nl-NL"/>
        </w:rPr>
        <w:t>instrument</w:t>
      </w:r>
      <w:r w:rsidRPr="00E622FD">
        <w:rPr>
          <w:rFonts w:ascii="Verdana" w:hAnsi="Verdana" w:eastAsia="Times New Roman"/>
          <w:bCs/>
          <w:sz w:val="18"/>
          <w:szCs w:val="18"/>
          <w:lang w:eastAsia="nl-NL"/>
        </w:rPr>
        <w:t xml:space="preserve"> beschikbaar. </w:t>
      </w:r>
      <w:r w:rsidR="000734E6">
        <w:rPr>
          <w:rFonts w:ascii="Verdana" w:hAnsi="Verdana" w:eastAsia="Times New Roman"/>
          <w:bCs/>
          <w:sz w:val="18"/>
          <w:szCs w:val="18"/>
          <w:lang w:eastAsia="nl-NL"/>
        </w:rPr>
        <w:t>Deze</w:t>
      </w:r>
      <w:r w:rsidRPr="00E622FD">
        <w:rPr>
          <w:rFonts w:ascii="Verdana" w:hAnsi="Verdana" w:eastAsia="Times New Roman"/>
          <w:bCs/>
          <w:sz w:val="18"/>
          <w:szCs w:val="18"/>
          <w:lang w:eastAsia="nl-NL"/>
        </w:rPr>
        <w:t xml:space="preserve"> geeft inzicht in wat de gevolgen in de portemonnee zijn van nieuwe wetten en regelingen per 1 januari van het nieuwe jaar. </w:t>
      </w:r>
    </w:p>
    <w:p w:rsidR="00F375C5" w:rsidP="005E13C5" w:rsidRDefault="00F375C5" w14:paraId="54C85623" w14:textId="77777777">
      <w:pPr>
        <w:pStyle w:val="Geenafstand"/>
        <w:rPr>
          <w:rFonts w:ascii="Verdana" w:hAnsi="Verdana" w:eastAsia="Times New Roman"/>
          <w:bCs/>
          <w:sz w:val="18"/>
          <w:szCs w:val="18"/>
          <w:lang w:eastAsia="nl-NL"/>
        </w:rPr>
      </w:pPr>
    </w:p>
    <w:p w:rsidR="005E13C5" w:rsidP="005E13C5" w:rsidRDefault="005E13C5" w14:paraId="049F174A" w14:textId="791925B4">
      <w:pPr>
        <w:pStyle w:val="Geenafstand"/>
        <w:rPr>
          <w:rFonts w:ascii="Verdana" w:hAnsi="Verdana" w:eastAsia="Times New Roman"/>
          <w:bCs/>
          <w:i/>
          <w:iCs/>
          <w:color w:val="4472C4" w:themeColor="accent1"/>
          <w:sz w:val="18"/>
          <w:szCs w:val="18"/>
          <w:lang w:eastAsia="nl-NL"/>
        </w:rPr>
      </w:pPr>
      <w:r w:rsidRPr="00E622FD">
        <w:rPr>
          <w:rFonts w:ascii="Verdana" w:hAnsi="Verdana" w:eastAsia="Times New Roman"/>
          <w:bCs/>
          <w:i/>
          <w:iCs/>
          <w:sz w:val="18"/>
          <w:szCs w:val="18"/>
          <w:lang w:eastAsia="nl-NL"/>
        </w:rPr>
        <w:t>De leden van de CDA-fractie lezen bij de vierde pijler dat het kabinet aanbeveelt om in het kader van het stimuleren van aanvullend onderzoek, systemisch kennis en resultaten te delen over methoden die aantoonbaar effectief zijn bij het vergroten van financiële geletterdheid. Deze leden vragen of het kabinet hier alleen een rol voor Wijzer in geldzaken ziet, of ook breder kijkt naar inzichten van bijvoorbeeld afdelingen financiële gezondheid bij banken, kennis van psychologennetwerken en andere maatschappelijke initiatieven.</w:t>
      </w:r>
      <w:r w:rsidRPr="00E622FD">
        <w:rPr>
          <w:rFonts w:ascii="Verdana" w:hAnsi="Verdana" w:eastAsia="Times New Roman"/>
          <w:bCs/>
          <w:i/>
          <w:iCs/>
          <w:color w:val="4472C4" w:themeColor="accent1"/>
          <w:sz w:val="18"/>
          <w:szCs w:val="18"/>
          <w:lang w:eastAsia="nl-NL"/>
        </w:rPr>
        <w:t xml:space="preserve"> </w:t>
      </w:r>
    </w:p>
    <w:p w:rsidRPr="00E622FD" w:rsidR="00D20BD9" w:rsidP="005E13C5" w:rsidRDefault="00D20BD9" w14:paraId="4B186347" w14:textId="77777777">
      <w:pPr>
        <w:pStyle w:val="Geenafstand"/>
        <w:rPr>
          <w:rFonts w:ascii="Verdana" w:hAnsi="Verdana" w:eastAsia="Times New Roman"/>
          <w:bCs/>
          <w:i/>
          <w:iCs/>
          <w:sz w:val="18"/>
          <w:szCs w:val="18"/>
          <w:lang w:eastAsia="nl-NL"/>
        </w:rPr>
      </w:pPr>
    </w:p>
    <w:p w:rsidRPr="00E622FD" w:rsidR="005E13C5" w:rsidP="005E13C5" w:rsidRDefault="005E13C5" w14:paraId="37DB94E4" w14:textId="4DC5EC14">
      <w:pPr>
        <w:rPr>
          <w:rFonts w:ascii="Verdana" w:hAnsi="Verdana"/>
          <w:bCs/>
          <w:sz w:val="18"/>
          <w:szCs w:val="18"/>
        </w:rPr>
      </w:pPr>
      <w:r w:rsidRPr="00E622FD">
        <w:rPr>
          <w:rFonts w:ascii="Verdana" w:hAnsi="Verdana"/>
          <w:bCs/>
          <w:sz w:val="18"/>
          <w:szCs w:val="18"/>
        </w:rPr>
        <w:t xml:space="preserve">Het kabinet kijkt breder dan alleen naar </w:t>
      </w:r>
      <w:r w:rsidR="00A75565">
        <w:rPr>
          <w:rFonts w:ascii="Verdana" w:hAnsi="Verdana"/>
          <w:bCs/>
          <w:sz w:val="18"/>
          <w:szCs w:val="18"/>
        </w:rPr>
        <w:t xml:space="preserve">platform </w:t>
      </w:r>
      <w:r w:rsidRPr="00E622FD">
        <w:rPr>
          <w:rFonts w:ascii="Verdana" w:hAnsi="Verdana"/>
          <w:bCs/>
          <w:sz w:val="18"/>
          <w:szCs w:val="18"/>
        </w:rPr>
        <w:t xml:space="preserve">Wijzer in geldzaken, </w:t>
      </w:r>
      <w:r w:rsidR="006E4FCD">
        <w:rPr>
          <w:rFonts w:ascii="Verdana" w:hAnsi="Verdana"/>
          <w:bCs/>
          <w:sz w:val="18"/>
          <w:szCs w:val="18"/>
        </w:rPr>
        <w:t xml:space="preserve">maar merkt hierbij op </w:t>
      </w:r>
      <w:r w:rsidRPr="00E622FD">
        <w:rPr>
          <w:rFonts w:ascii="Verdana" w:hAnsi="Verdana"/>
          <w:bCs/>
          <w:sz w:val="18"/>
          <w:szCs w:val="18"/>
        </w:rPr>
        <w:t>dat</w:t>
      </w:r>
      <w:r w:rsidR="00D20BD9">
        <w:rPr>
          <w:rFonts w:ascii="Verdana" w:hAnsi="Verdana"/>
          <w:bCs/>
          <w:sz w:val="18"/>
          <w:szCs w:val="18"/>
        </w:rPr>
        <w:t xml:space="preserve"> ook</w:t>
      </w:r>
      <w:r w:rsidRPr="00E622FD">
        <w:rPr>
          <w:rFonts w:ascii="Verdana" w:hAnsi="Verdana"/>
          <w:bCs/>
          <w:sz w:val="18"/>
          <w:szCs w:val="18"/>
        </w:rPr>
        <w:t xml:space="preserve"> vanuit dit platform partners uit de financiële sector, de wetenschap, de overheid en onderwijs-, voorlichtings- en consumentenorganisaties </w:t>
      </w:r>
      <w:r w:rsidR="000734E6">
        <w:rPr>
          <w:rFonts w:ascii="Verdana" w:hAnsi="Verdana"/>
          <w:bCs/>
          <w:sz w:val="18"/>
          <w:szCs w:val="18"/>
        </w:rPr>
        <w:t>al</w:t>
      </w:r>
      <w:r w:rsidR="00D20BD9">
        <w:rPr>
          <w:rFonts w:ascii="Verdana" w:hAnsi="Verdana"/>
          <w:bCs/>
          <w:sz w:val="18"/>
          <w:szCs w:val="18"/>
        </w:rPr>
        <w:t xml:space="preserve"> </w:t>
      </w:r>
      <w:r w:rsidRPr="00E622FD">
        <w:rPr>
          <w:rFonts w:ascii="Verdana" w:hAnsi="Verdana"/>
          <w:bCs/>
          <w:sz w:val="18"/>
          <w:szCs w:val="18"/>
        </w:rPr>
        <w:t>hun krachten bundelen om mensen in Nederland voor te bereiden op het maken van financiële keuzes.</w:t>
      </w:r>
      <w:r w:rsidR="00EF2549">
        <w:rPr>
          <w:rFonts w:ascii="Verdana" w:hAnsi="Verdana"/>
          <w:bCs/>
          <w:sz w:val="18"/>
          <w:szCs w:val="18"/>
        </w:rPr>
        <w:t xml:space="preserve"> Binnen het platform wordt k</w:t>
      </w:r>
      <w:r w:rsidRPr="00EF2549" w:rsidR="00EF2549">
        <w:rPr>
          <w:rFonts w:ascii="Verdana" w:hAnsi="Verdana"/>
          <w:bCs/>
          <w:sz w:val="18"/>
          <w:szCs w:val="18"/>
        </w:rPr>
        <w:t xml:space="preserve">ennisdeling </w:t>
      </w:r>
      <w:r w:rsidR="00EF2549">
        <w:rPr>
          <w:rFonts w:ascii="Verdana" w:hAnsi="Verdana"/>
          <w:bCs/>
          <w:sz w:val="18"/>
          <w:szCs w:val="18"/>
        </w:rPr>
        <w:t>als</w:t>
      </w:r>
      <w:r w:rsidRPr="00EF2549" w:rsidR="00EF2549">
        <w:rPr>
          <w:rFonts w:ascii="Verdana" w:hAnsi="Verdana"/>
          <w:bCs/>
          <w:sz w:val="18"/>
          <w:szCs w:val="18"/>
        </w:rPr>
        <w:t xml:space="preserve"> </w:t>
      </w:r>
      <w:r w:rsidR="00A75565">
        <w:rPr>
          <w:rFonts w:ascii="Verdana" w:hAnsi="Verdana"/>
          <w:bCs/>
          <w:sz w:val="18"/>
          <w:szCs w:val="18"/>
        </w:rPr>
        <w:t xml:space="preserve">hoeksteen </w:t>
      </w:r>
      <w:r w:rsidR="00EF2549">
        <w:rPr>
          <w:rFonts w:ascii="Verdana" w:hAnsi="Verdana"/>
          <w:bCs/>
          <w:sz w:val="18"/>
          <w:szCs w:val="18"/>
        </w:rPr>
        <w:t xml:space="preserve">gezien; </w:t>
      </w:r>
      <w:r w:rsidRPr="00EF2549" w:rsidR="00EF2549">
        <w:rPr>
          <w:rFonts w:ascii="Verdana" w:hAnsi="Verdana"/>
          <w:bCs/>
          <w:sz w:val="18"/>
          <w:szCs w:val="18"/>
        </w:rPr>
        <w:t>partners</w:t>
      </w:r>
      <w:r w:rsidR="00EF2549">
        <w:rPr>
          <w:rFonts w:ascii="Verdana" w:hAnsi="Verdana"/>
          <w:bCs/>
          <w:sz w:val="18"/>
          <w:szCs w:val="18"/>
        </w:rPr>
        <w:t xml:space="preserve"> komen</w:t>
      </w:r>
      <w:r w:rsidRPr="00EF2549" w:rsidR="00EF2549">
        <w:rPr>
          <w:rFonts w:ascii="Verdana" w:hAnsi="Verdana"/>
          <w:bCs/>
          <w:sz w:val="18"/>
          <w:szCs w:val="18"/>
        </w:rPr>
        <w:t xml:space="preserve"> regelmatig samen om kennis, gedragsinzichten en ervaringen te delen. Partners brengen hun expertise in, variërend van financiële planning tot gedragspsychologie en consumentengedrag.</w:t>
      </w:r>
      <w:r w:rsidR="00EF2549">
        <w:rPr>
          <w:rStyle w:val="Voetnootmarkering"/>
          <w:rFonts w:ascii="Verdana" w:hAnsi="Verdana"/>
          <w:bCs/>
          <w:sz w:val="18"/>
          <w:szCs w:val="18"/>
        </w:rPr>
        <w:footnoteReference w:id="23"/>
      </w:r>
      <w:r w:rsidRPr="00EF2549" w:rsidR="00EF2549">
        <w:rPr>
          <w:rFonts w:ascii="Verdana" w:hAnsi="Verdana"/>
          <w:bCs/>
          <w:sz w:val="18"/>
          <w:szCs w:val="18"/>
        </w:rPr>
        <w:t xml:space="preserve"> </w:t>
      </w:r>
      <w:r w:rsidRPr="00E622FD">
        <w:rPr>
          <w:rFonts w:ascii="Verdana" w:hAnsi="Verdana"/>
          <w:bCs/>
          <w:sz w:val="18"/>
          <w:szCs w:val="18"/>
        </w:rPr>
        <w:t>Daarnaast wordt er samengewerkt met bijvoorbeeld Stichting Financieel Gezond Nederland</w:t>
      </w:r>
      <w:r w:rsidR="000734E6">
        <w:rPr>
          <w:rFonts w:ascii="Verdana" w:hAnsi="Verdana"/>
          <w:bCs/>
          <w:sz w:val="18"/>
          <w:szCs w:val="18"/>
        </w:rPr>
        <w:t>,</w:t>
      </w:r>
      <w:r w:rsidRPr="00E622FD">
        <w:rPr>
          <w:rFonts w:ascii="Verdana" w:hAnsi="Verdana"/>
          <w:bCs/>
          <w:sz w:val="18"/>
          <w:szCs w:val="18"/>
        </w:rPr>
        <w:t xml:space="preserve"> waarin organisaties uit de publieke, private en semipublieke sector zich actief inzetten om financiële kwetsbaarheid in Nederland terug te dringen. </w:t>
      </w:r>
    </w:p>
    <w:p w:rsidRPr="005E13C5" w:rsidR="005E13C5" w:rsidP="005E13C5" w:rsidRDefault="005E13C5" w14:paraId="661E9DB7" w14:textId="77777777">
      <w:pPr>
        <w:pStyle w:val="Geenafstand"/>
        <w:rPr>
          <w:rFonts w:ascii="Verdana" w:hAnsi="Verdana" w:eastAsia="Times New Roman"/>
          <w:b/>
          <w:sz w:val="18"/>
          <w:szCs w:val="18"/>
          <w:lang w:eastAsia="nl-NL"/>
        </w:rPr>
      </w:pPr>
    </w:p>
    <w:p w:rsidRPr="005E13C5" w:rsidR="005E13C5" w:rsidP="005E13C5" w:rsidRDefault="005E13C5" w14:paraId="3F95558A" w14:textId="77777777">
      <w:pPr>
        <w:pStyle w:val="Geenafstand"/>
        <w:rPr>
          <w:rFonts w:ascii="Verdana" w:hAnsi="Verdana" w:eastAsia="Times New Roman"/>
          <w:sz w:val="18"/>
          <w:szCs w:val="18"/>
          <w:lang w:eastAsia="nl-NL"/>
        </w:rPr>
      </w:pPr>
      <w:r w:rsidRPr="005E13C5">
        <w:rPr>
          <w:rFonts w:ascii="Verdana" w:hAnsi="Verdana" w:eastAsia="Times New Roman"/>
          <w:b/>
          <w:sz w:val="18"/>
          <w:szCs w:val="18"/>
          <w:lang w:eastAsia="nl-NL"/>
        </w:rPr>
        <w:t>Vragen en opmerkingen van de leden van de BBB-fractie</w:t>
      </w:r>
    </w:p>
    <w:p w:rsidR="005E13C5" w:rsidP="005E13C5" w:rsidRDefault="005E13C5" w14:paraId="06A1B32F" w14:textId="77777777">
      <w:pPr>
        <w:pStyle w:val="Geenafstand"/>
        <w:rPr>
          <w:rFonts w:ascii="Verdana" w:hAnsi="Verdana"/>
          <w:bCs/>
          <w:i/>
          <w:iCs/>
          <w:sz w:val="18"/>
          <w:szCs w:val="18"/>
        </w:rPr>
      </w:pPr>
      <w:r w:rsidRPr="00E622FD">
        <w:rPr>
          <w:rFonts w:ascii="Verdana" w:hAnsi="Verdana"/>
          <w:bCs/>
          <w:i/>
          <w:iCs/>
          <w:sz w:val="18"/>
          <w:szCs w:val="18"/>
        </w:rPr>
        <w:t>De leden van de BBB-fractie verwelkomen de inzet van het kabinet om financiële geletterdheid van (kwetsbare) burgers te verbeteren maar zijn van mening dat dit hoofdzakelijk een nationale aangelegenheid is.</w:t>
      </w:r>
    </w:p>
    <w:p w:rsidRPr="00E622FD" w:rsidR="00D20BD9" w:rsidP="005E13C5" w:rsidRDefault="00D20BD9" w14:paraId="0850ED5B" w14:textId="77777777">
      <w:pPr>
        <w:pStyle w:val="Geenafstand"/>
        <w:rPr>
          <w:rFonts w:ascii="Verdana" w:hAnsi="Verdana" w:eastAsia="Times New Roman"/>
          <w:bCs/>
          <w:i/>
          <w:iCs/>
          <w:sz w:val="18"/>
          <w:szCs w:val="18"/>
          <w:lang w:eastAsia="nl-NL"/>
        </w:rPr>
      </w:pPr>
    </w:p>
    <w:p w:rsidR="005E13C5" w:rsidP="005E13C5" w:rsidRDefault="005E13C5" w14:paraId="0589E246" w14:textId="77777777">
      <w:pPr>
        <w:pStyle w:val="Geenafstand"/>
        <w:rPr>
          <w:rFonts w:ascii="Verdana" w:hAnsi="Verdana"/>
          <w:bCs/>
          <w:i/>
          <w:iCs/>
          <w:sz w:val="18"/>
          <w:szCs w:val="18"/>
        </w:rPr>
      </w:pPr>
      <w:r w:rsidRPr="00E622FD">
        <w:rPr>
          <w:rFonts w:ascii="Verdana" w:hAnsi="Verdana"/>
          <w:bCs/>
          <w:i/>
          <w:iCs/>
          <w:sz w:val="18"/>
          <w:szCs w:val="18"/>
        </w:rPr>
        <w:t>Deze leden lezen dat de strategie, geïnitieerd door de Europese Commissie, zich primair richt op het bevorderen van financiële inclusie door bewustwording te vergroten, toegang en effectief gebruik van financiële diensten te stimuleren, de economische weerbaarheid van burgers te versterken en beleid te ontwikkelen dat kwetsbare groepen ondersteunt. Daarnaast beoogt de strategie de beleggingsvaardigheden en het inzicht in financiële producten te verdiepen, met nadruk op een realistische afweging tussen risico en rendement.</w:t>
      </w:r>
    </w:p>
    <w:p w:rsidRPr="00E622FD" w:rsidR="00D20BD9" w:rsidP="005E13C5" w:rsidRDefault="00D20BD9" w14:paraId="17B62121" w14:textId="77777777">
      <w:pPr>
        <w:pStyle w:val="Geenafstand"/>
        <w:rPr>
          <w:rFonts w:ascii="Verdana" w:hAnsi="Verdana" w:eastAsia="Times New Roman"/>
          <w:bCs/>
          <w:i/>
          <w:iCs/>
          <w:sz w:val="18"/>
          <w:szCs w:val="18"/>
          <w:lang w:eastAsia="nl-NL"/>
        </w:rPr>
      </w:pPr>
    </w:p>
    <w:p w:rsidRPr="00E622FD" w:rsidR="005E13C5" w:rsidP="005E13C5" w:rsidRDefault="005E13C5" w14:paraId="15BA4D28" w14:textId="249D5E59">
      <w:pPr>
        <w:pStyle w:val="Geenafstand"/>
        <w:rPr>
          <w:rFonts w:ascii="Verdana" w:hAnsi="Verdana"/>
          <w:bCs/>
          <w:i/>
          <w:iCs/>
          <w:sz w:val="18"/>
          <w:szCs w:val="18"/>
        </w:rPr>
      </w:pPr>
      <w:r w:rsidRPr="00E622FD">
        <w:rPr>
          <w:rFonts w:ascii="Verdana" w:hAnsi="Verdana"/>
          <w:bCs/>
          <w:i/>
          <w:iCs/>
          <w:sz w:val="18"/>
          <w:szCs w:val="18"/>
        </w:rPr>
        <w:t xml:space="preserve">Deze leden vragen op welke concrete manieren het kabinet de economische weerbaarheid van kwetsbare groepen wil ondersteunen. Het kabinet geeft aan gebruik te willen maken van best </w:t>
      </w:r>
      <w:proofErr w:type="spellStart"/>
      <w:r w:rsidRPr="00E622FD">
        <w:rPr>
          <w:rFonts w:ascii="Verdana" w:hAnsi="Verdana"/>
          <w:bCs/>
          <w:i/>
          <w:iCs/>
          <w:sz w:val="18"/>
          <w:szCs w:val="18"/>
        </w:rPr>
        <w:t>practices</w:t>
      </w:r>
      <w:proofErr w:type="spellEnd"/>
      <w:r w:rsidRPr="00E622FD">
        <w:rPr>
          <w:rFonts w:ascii="Verdana" w:hAnsi="Verdana"/>
          <w:bCs/>
          <w:i/>
          <w:iCs/>
          <w:sz w:val="18"/>
          <w:szCs w:val="18"/>
        </w:rPr>
        <w:t xml:space="preserve">, welke best </w:t>
      </w:r>
      <w:proofErr w:type="spellStart"/>
      <w:r w:rsidRPr="00E622FD">
        <w:rPr>
          <w:rFonts w:ascii="Verdana" w:hAnsi="Verdana"/>
          <w:bCs/>
          <w:i/>
          <w:iCs/>
          <w:sz w:val="18"/>
          <w:szCs w:val="18"/>
        </w:rPr>
        <w:t>practices</w:t>
      </w:r>
      <w:proofErr w:type="spellEnd"/>
      <w:r w:rsidRPr="00E622FD">
        <w:rPr>
          <w:rFonts w:ascii="Verdana" w:hAnsi="Verdana"/>
          <w:bCs/>
          <w:i/>
          <w:iCs/>
          <w:sz w:val="18"/>
          <w:szCs w:val="18"/>
        </w:rPr>
        <w:t xml:space="preserve"> zijn dit concreet? In hoeverre is het gebrek aan financiële </w:t>
      </w:r>
      <w:r w:rsidRPr="00E622FD">
        <w:rPr>
          <w:rFonts w:ascii="Verdana" w:hAnsi="Verdana"/>
          <w:bCs/>
          <w:i/>
          <w:iCs/>
          <w:sz w:val="18"/>
          <w:szCs w:val="18"/>
        </w:rPr>
        <w:lastRenderedPageBreak/>
        <w:t>geletterdheid vooral een probleem onder jongeren wat wordt gevoed door sociale media? Welke andere kwetsbare groepen heeft het kabinet in scope?</w:t>
      </w:r>
    </w:p>
    <w:p w:rsidR="00D20BD9" w:rsidP="00A07AD8" w:rsidRDefault="00D20BD9" w14:paraId="607454E8" w14:textId="77777777">
      <w:pPr>
        <w:pStyle w:val="Geenafstand"/>
        <w:rPr>
          <w:rFonts w:ascii="Verdana" w:hAnsi="Verdana"/>
          <w:bCs/>
          <w:sz w:val="18"/>
          <w:szCs w:val="18"/>
        </w:rPr>
      </w:pPr>
    </w:p>
    <w:p w:rsidRPr="00A07AD8" w:rsidR="00A07AD8" w:rsidP="00A07AD8" w:rsidRDefault="00A07AD8" w14:paraId="1048FF96" w14:textId="25879CCF">
      <w:pPr>
        <w:pStyle w:val="Geenafstand"/>
        <w:rPr>
          <w:rFonts w:ascii="Verdana" w:hAnsi="Verdana"/>
          <w:bCs/>
          <w:sz w:val="18"/>
          <w:szCs w:val="18"/>
        </w:rPr>
      </w:pPr>
      <w:r>
        <w:rPr>
          <w:rFonts w:ascii="Verdana" w:hAnsi="Verdana"/>
          <w:bCs/>
          <w:sz w:val="18"/>
          <w:szCs w:val="18"/>
        </w:rPr>
        <w:t>Jongeren</w:t>
      </w:r>
      <w:r w:rsidRPr="00A07AD8">
        <w:rPr>
          <w:rFonts w:ascii="Verdana" w:hAnsi="Verdana"/>
          <w:bCs/>
          <w:sz w:val="18"/>
          <w:szCs w:val="18"/>
        </w:rPr>
        <w:t xml:space="preserve"> van nu worden geconfronteerd met financiële uitdagingen in de digitaliserende wereld</w:t>
      </w:r>
      <w:r>
        <w:rPr>
          <w:rFonts w:ascii="Verdana" w:hAnsi="Verdana"/>
          <w:bCs/>
          <w:sz w:val="18"/>
          <w:szCs w:val="18"/>
        </w:rPr>
        <w:t xml:space="preserve"> </w:t>
      </w:r>
      <w:r w:rsidRPr="00A07AD8">
        <w:rPr>
          <w:rFonts w:ascii="Verdana" w:hAnsi="Verdana"/>
          <w:bCs/>
          <w:sz w:val="18"/>
          <w:szCs w:val="18"/>
        </w:rPr>
        <w:t xml:space="preserve">en </w:t>
      </w:r>
      <w:r>
        <w:rPr>
          <w:rFonts w:ascii="Verdana" w:hAnsi="Verdana"/>
          <w:bCs/>
          <w:sz w:val="18"/>
          <w:szCs w:val="18"/>
        </w:rPr>
        <w:t xml:space="preserve">kunnen </w:t>
      </w:r>
      <w:r w:rsidR="00E05EC6">
        <w:rPr>
          <w:rFonts w:ascii="Verdana" w:hAnsi="Verdana"/>
          <w:bCs/>
          <w:sz w:val="18"/>
          <w:szCs w:val="18"/>
        </w:rPr>
        <w:t>daardoor</w:t>
      </w:r>
      <w:r>
        <w:rPr>
          <w:rFonts w:ascii="Verdana" w:hAnsi="Verdana"/>
          <w:bCs/>
          <w:sz w:val="18"/>
          <w:szCs w:val="18"/>
        </w:rPr>
        <w:t xml:space="preserve"> kwetsbaar zijn.</w:t>
      </w:r>
      <w:r w:rsidRPr="00A07AD8">
        <w:rPr>
          <w:rFonts w:ascii="Verdana" w:hAnsi="Verdana"/>
          <w:bCs/>
          <w:sz w:val="18"/>
          <w:szCs w:val="18"/>
        </w:rPr>
        <w:t xml:space="preserve"> </w:t>
      </w:r>
      <w:r>
        <w:rPr>
          <w:rFonts w:ascii="Verdana" w:hAnsi="Verdana"/>
          <w:bCs/>
          <w:sz w:val="18"/>
          <w:szCs w:val="18"/>
        </w:rPr>
        <w:t xml:space="preserve">Onderzoek van de AFM </w:t>
      </w:r>
      <w:r w:rsidR="00A9525A">
        <w:rPr>
          <w:rStyle w:val="Voetnootmarkering"/>
          <w:rFonts w:ascii="Verdana" w:hAnsi="Verdana"/>
          <w:bCs/>
          <w:sz w:val="18"/>
          <w:szCs w:val="18"/>
        </w:rPr>
        <w:footnoteReference w:id="24"/>
      </w:r>
      <w:r w:rsidR="00A9525A">
        <w:rPr>
          <w:rFonts w:ascii="Verdana" w:hAnsi="Verdana"/>
          <w:bCs/>
          <w:sz w:val="18"/>
          <w:szCs w:val="18"/>
        </w:rPr>
        <w:t xml:space="preserve"> </w:t>
      </w:r>
      <w:r>
        <w:rPr>
          <w:rFonts w:ascii="Verdana" w:hAnsi="Verdana"/>
          <w:bCs/>
          <w:sz w:val="18"/>
          <w:szCs w:val="18"/>
        </w:rPr>
        <w:t xml:space="preserve">toont bijvoorbeeld aan </w:t>
      </w:r>
      <w:r w:rsidRPr="00A07AD8">
        <w:rPr>
          <w:rFonts w:ascii="Verdana" w:hAnsi="Verdana"/>
          <w:bCs/>
          <w:sz w:val="18"/>
          <w:szCs w:val="18"/>
        </w:rPr>
        <w:t xml:space="preserve">dat jongeren gemiddeld 6,5 uur per dag besteden op hun smartphone waarvan ruim de helft op sociale media. De constante stroom aan online verleidingen zorgt voor veel uitdagingen voor jongeren, die van nature impulsgevoeliger zijn. De AFM stelt dat </w:t>
      </w:r>
      <w:r w:rsidR="00A9525A">
        <w:rPr>
          <w:rFonts w:ascii="Verdana" w:hAnsi="Verdana"/>
          <w:bCs/>
          <w:sz w:val="18"/>
          <w:szCs w:val="18"/>
        </w:rPr>
        <w:t>de huidige generatie jongeren</w:t>
      </w:r>
      <w:r w:rsidRPr="00A07AD8">
        <w:rPr>
          <w:rFonts w:ascii="Verdana" w:hAnsi="Verdana"/>
          <w:bCs/>
          <w:sz w:val="18"/>
          <w:szCs w:val="18"/>
        </w:rPr>
        <w:t xml:space="preserve"> </w:t>
      </w:r>
      <w:r w:rsidR="00A9525A">
        <w:rPr>
          <w:rFonts w:ascii="Verdana" w:hAnsi="Verdana"/>
          <w:bCs/>
          <w:sz w:val="18"/>
          <w:szCs w:val="18"/>
        </w:rPr>
        <w:t xml:space="preserve">zich wezenlijk anders </w:t>
      </w:r>
      <w:r w:rsidR="000734E6">
        <w:rPr>
          <w:rFonts w:ascii="Verdana" w:hAnsi="Verdana"/>
          <w:bCs/>
          <w:sz w:val="18"/>
          <w:szCs w:val="18"/>
        </w:rPr>
        <w:t>oriënteert</w:t>
      </w:r>
      <w:r w:rsidRPr="00A9525A" w:rsidR="00A9525A">
        <w:rPr>
          <w:rFonts w:ascii="Verdana" w:hAnsi="Verdana"/>
          <w:bCs/>
          <w:sz w:val="18"/>
          <w:szCs w:val="18"/>
        </w:rPr>
        <w:t xml:space="preserve"> en </w:t>
      </w:r>
      <w:r w:rsidR="000734E6">
        <w:rPr>
          <w:rFonts w:ascii="Verdana" w:hAnsi="Verdana"/>
          <w:bCs/>
          <w:sz w:val="18"/>
          <w:szCs w:val="18"/>
        </w:rPr>
        <w:t>informeert</w:t>
      </w:r>
      <w:r w:rsidRPr="00A9525A" w:rsidR="00A9525A">
        <w:rPr>
          <w:rFonts w:ascii="Verdana" w:hAnsi="Verdana"/>
          <w:bCs/>
          <w:sz w:val="18"/>
          <w:szCs w:val="18"/>
        </w:rPr>
        <w:t xml:space="preserve"> op de financiële markt dan eerdere generaties</w:t>
      </w:r>
      <w:r w:rsidR="00A9525A">
        <w:rPr>
          <w:rFonts w:ascii="Verdana" w:hAnsi="Verdana"/>
          <w:bCs/>
          <w:sz w:val="18"/>
          <w:szCs w:val="18"/>
        </w:rPr>
        <w:t>. I</w:t>
      </w:r>
      <w:r w:rsidRPr="00A07AD8">
        <w:rPr>
          <w:rFonts w:ascii="Verdana" w:hAnsi="Verdana"/>
          <w:bCs/>
          <w:sz w:val="18"/>
          <w:szCs w:val="18"/>
        </w:rPr>
        <w:t xml:space="preserve">n </w:t>
      </w:r>
      <w:r w:rsidR="00A9525A">
        <w:rPr>
          <w:rFonts w:ascii="Verdana" w:hAnsi="Verdana"/>
          <w:bCs/>
          <w:sz w:val="18"/>
          <w:szCs w:val="18"/>
        </w:rPr>
        <w:t>de</w:t>
      </w:r>
      <w:r w:rsidRPr="00A07AD8">
        <w:rPr>
          <w:rFonts w:ascii="Verdana" w:hAnsi="Verdana"/>
          <w:bCs/>
          <w:sz w:val="18"/>
          <w:szCs w:val="18"/>
        </w:rPr>
        <w:t xml:space="preserve"> online</w:t>
      </w:r>
      <w:r w:rsidR="00E05EC6">
        <w:rPr>
          <w:rFonts w:ascii="Verdana" w:hAnsi="Verdana"/>
          <w:bCs/>
          <w:sz w:val="18"/>
          <w:szCs w:val="18"/>
        </w:rPr>
        <w:t xml:space="preserve"> </w:t>
      </w:r>
      <w:r w:rsidRPr="00A07AD8">
        <w:rPr>
          <w:rFonts w:ascii="Verdana" w:hAnsi="Verdana"/>
          <w:bCs/>
          <w:sz w:val="18"/>
          <w:szCs w:val="18"/>
        </w:rPr>
        <w:t xml:space="preserve">belevingswereld </w:t>
      </w:r>
      <w:r w:rsidR="00A9525A">
        <w:rPr>
          <w:rFonts w:ascii="Verdana" w:hAnsi="Verdana"/>
          <w:bCs/>
          <w:sz w:val="18"/>
          <w:szCs w:val="18"/>
        </w:rPr>
        <w:t xml:space="preserve">zijn jongeren extra </w:t>
      </w:r>
      <w:r w:rsidRPr="00A07AD8">
        <w:rPr>
          <w:rFonts w:ascii="Verdana" w:hAnsi="Verdana"/>
          <w:bCs/>
          <w:sz w:val="18"/>
          <w:szCs w:val="18"/>
        </w:rPr>
        <w:t>gevoelig voor de sociale context waarin informatie circuleert.</w:t>
      </w:r>
    </w:p>
    <w:p w:rsidRPr="00A07AD8" w:rsidR="00A07AD8" w:rsidP="00A07AD8" w:rsidRDefault="00A07AD8" w14:paraId="4C321E40" w14:textId="5E977F6C">
      <w:pPr>
        <w:pStyle w:val="Geenafstand"/>
        <w:rPr>
          <w:rFonts w:ascii="Verdana" w:hAnsi="Verdana"/>
          <w:bCs/>
          <w:sz w:val="18"/>
          <w:szCs w:val="18"/>
        </w:rPr>
      </w:pPr>
      <w:r w:rsidRPr="00A07AD8">
        <w:rPr>
          <w:rFonts w:ascii="Verdana" w:hAnsi="Verdana"/>
          <w:bCs/>
          <w:sz w:val="18"/>
          <w:szCs w:val="18"/>
        </w:rPr>
        <w:t>Iedereen te maken kan krijgen met financiële problemen. Er zijn echter groepen die vanwege een kwetsbare positie meer risico lopen</w:t>
      </w:r>
      <w:r>
        <w:rPr>
          <w:rFonts w:ascii="Verdana" w:hAnsi="Verdana"/>
          <w:bCs/>
          <w:sz w:val="18"/>
          <w:szCs w:val="18"/>
        </w:rPr>
        <w:t xml:space="preserve">, </w:t>
      </w:r>
      <w:r w:rsidRPr="00A07AD8">
        <w:rPr>
          <w:rFonts w:ascii="Verdana" w:hAnsi="Verdana"/>
          <w:bCs/>
          <w:sz w:val="18"/>
          <w:szCs w:val="18"/>
        </w:rPr>
        <w:t>zoals mensen met laag betaald en onzeker werk, statushouders en laaggeletterden.</w:t>
      </w:r>
      <w:r>
        <w:rPr>
          <w:rStyle w:val="Voetnootmarkering"/>
          <w:rFonts w:ascii="Verdana" w:hAnsi="Verdana"/>
          <w:bCs/>
          <w:sz w:val="18"/>
          <w:szCs w:val="18"/>
        </w:rPr>
        <w:footnoteReference w:id="25"/>
      </w:r>
      <w:r w:rsidRPr="00A07AD8">
        <w:rPr>
          <w:rFonts w:ascii="Verdana" w:hAnsi="Verdana"/>
          <w:bCs/>
          <w:sz w:val="18"/>
          <w:szCs w:val="18"/>
        </w:rPr>
        <w:t xml:space="preserve"> </w:t>
      </w:r>
      <w:r>
        <w:rPr>
          <w:rFonts w:ascii="Verdana" w:hAnsi="Verdana"/>
          <w:bCs/>
          <w:sz w:val="18"/>
          <w:szCs w:val="18"/>
        </w:rPr>
        <w:t>O</w:t>
      </w:r>
      <w:r w:rsidRPr="00A07AD8">
        <w:rPr>
          <w:rFonts w:ascii="Verdana" w:hAnsi="Verdana"/>
          <w:bCs/>
          <w:sz w:val="18"/>
          <w:szCs w:val="18"/>
        </w:rPr>
        <w:t xml:space="preserve">ok zzp’ers kunnen kwetsbaar zijn, bijvoorbeeld als het gaat om hun pensioenvoorziening. </w:t>
      </w:r>
      <w:r w:rsidR="000054F4">
        <w:rPr>
          <w:rFonts w:ascii="Verdana" w:hAnsi="Verdana"/>
          <w:bCs/>
          <w:sz w:val="18"/>
          <w:szCs w:val="18"/>
        </w:rPr>
        <w:t>Bij de projecten die door Wijzer in geldzaken worden uitgevoerd, wordt per project bepaald w</w:t>
      </w:r>
      <w:r w:rsidRPr="00A07AD8">
        <w:rPr>
          <w:rFonts w:ascii="Verdana" w:hAnsi="Verdana"/>
          <w:bCs/>
          <w:sz w:val="18"/>
          <w:szCs w:val="18"/>
        </w:rPr>
        <w:t xml:space="preserve">elke kwetsbare groepen </w:t>
      </w:r>
      <w:r w:rsidR="000054F4">
        <w:rPr>
          <w:rFonts w:ascii="Verdana" w:hAnsi="Verdana"/>
          <w:bCs/>
          <w:sz w:val="18"/>
          <w:szCs w:val="18"/>
        </w:rPr>
        <w:t>tot de doelgroep zouden moeten behoren</w:t>
      </w:r>
      <w:r w:rsidRPr="00A07AD8">
        <w:rPr>
          <w:rFonts w:ascii="Verdana" w:hAnsi="Verdana"/>
          <w:bCs/>
          <w:sz w:val="18"/>
          <w:szCs w:val="18"/>
        </w:rPr>
        <w:t xml:space="preserve">. Zo stond </w:t>
      </w:r>
      <w:r w:rsidR="000054F4">
        <w:rPr>
          <w:rFonts w:ascii="Verdana" w:hAnsi="Verdana"/>
          <w:bCs/>
          <w:sz w:val="18"/>
          <w:szCs w:val="18"/>
        </w:rPr>
        <w:t xml:space="preserve">de </w:t>
      </w:r>
      <w:r w:rsidRPr="00A07AD8">
        <w:rPr>
          <w:rFonts w:ascii="Verdana" w:hAnsi="Verdana"/>
          <w:bCs/>
          <w:sz w:val="18"/>
          <w:szCs w:val="18"/>
        </w:rPr>
        <w:t xml:space="preserve">afgelopen Pensioen3daagse </w:t>
      </w:r>
      <w:r w:rsidR="000054F4">
        <w:rPr>
          <w:rFonts w:ascii="Verdana" w:hAnsi="Verdana"/>
          <w:bCs/>
          <w:sz w:val="18"/>
          <w:szCs w:val="18"/>
        </w:rPr>
        <w:t>deels in</w:t>
      </w:r>
      <w:r w:rsidRPr="00A07AD8">
        <w:rPr>
          <w:rFonts w:ascii="Verdana" w:hAnsi="Verdana"/>
          <w:bCs/>
          <w:sz w:val="18"/>
          <w:szCs w:val="18"/>
        </w:rPr>
        <w:t xml:space="preserve"> het teken van zelfstandige ondernemers. Het kabinet heeft nog geen zicht op welke concrete </w:t>
      </w:r>
      <w:r w:rsidRPr="000734E6">
        <w:rPr>
          <w:rFonts w:ascii="Verdana" w:hAnsi="Verdana"/>
          <w:bCs/>
          <w:i/>
          <w:iCs/>
          <w:sz w:val="18"/>
          <w:szCs w:val="18"/>
        </w:rPr>
        <w:t xml:space="preserve">best </w:t>
      </w:r>
      <w:proofErr w:type="spellStart"/>
      <w:r w:rsidRPr="000734E6">
        <w:rPr>
          <w:rFonts w:ascii="Verdana" w:hAnsi="Verdana"/>
          <w:bCs/>
          <w:i/>
          <w:iCs/>
          <w:sz w:val="18"/>
          <w:szCs w:val="18"/>
        </w:rPr>
        <w:t>practises</w:t>
      </w:r>
      <w:proofErr w:type="spellEnd"/>
      <w:r w:rsidR="00E05EC6">
        <w:rPr>
          <w:rFonts w:ascii="Verdana" w:hAnsi="Verdana"/>
          <w:bCs/>
          <w:sz w:val="18"/>
          <w:szCs w:val="18"/>
        </w:rPr>
        <w:t xml:space="preserve"> uit andere lidstaten nuttig zijn om </w:t>
      </w:r>
      <w:r w:rsidRPr="00A07AD8">
        <w:rPr>
          <w:rFonts w:ascii="Verdana" w:hAnsi="Verdana"/>
          <w:bCs/>
          <w:sz w:val="18"/>
          <w:szCs w:val="18"/>
        </w:rPr>
        <w:t>gebruik</w:t>
      </w:r>
      <w:r w:rsidR="00E05EC6">
        <w:rPr>
          <w:rFonts w:ascii="Verdana" w:hAnsi="Verdana"/>
          <w:bCs/>
          <w:sz w:val="18"/>
          <w:szCs w:val="18"/>
        </w:rPr>
        <w:t xml:space="preserve"> van</w:t>
      </w:r>
      <w:r w:rsidRPr="00A07AD8">
        <w:rPr>
          <w:rFonts w:ascii="Verdana" w:hAnsi="Verdana"/>
          <w:bCs/>
          <w:sz w:val="18"/>
          <w:szCs w:val="18"/>
        </w:rPr>
        <w:t xml:space="preserve"> te maken, maar ziet de strategie juist als mogelijkheid verder kennis te nemen van de best </w:t>
      </w:r>
      <w:proofErr w:type="spellStart"/>
      <w:r w:rsidRPr="00A07AD8">
        <w:rPr>
          <w:rFonts w:ascii="Verdana" w:hAnsi="Verdana"/>
          <w:bCs/>
          <w:sz w:val="18"/>
          <w:szCs w:val="18"/>
        </w:rPr>
        <w:t>practises</w:t>
      </w:r>
      <w:proofErr w:type="spellEnd"/>
      <w:r w:rsidRPr="00A07AD8">
        <w:rPr>
          <w:rFonts w:ascii="Verdana" w:hAnsi="Verdana"/>
          <w:bCs/>
          <w:sz w:val="18"/>
          <w:szCs w:val="18"/>
        </w:rPr>
        <w:t xml:space="preserve"> en zo te kunnen bepalen welke voor de Nederlandse context het best toepasbaar zijn. </w:t>
      </w:r>
    </w:p>
    <w:p w:rsidRPr="005E13C5" w:rsidR="005E13C5" w:rsidP="005E13C5" w:rsidRDefault="005E13C5" w14:paraId="4D7F5837" w14:textId="77777777">
      <w:pPr>
        <w:pStyle w:val="Geenafstand"/>
        <w:rPr>
          <w:rFonts w:ascii="Verdana" w:hAnsi="Verdana"/>
          <w:bCs/>
          <w:sz w:val="18"/>
          <w:szCs w:val="18"/>
        </w:rPr>
      </w:pPr>
    </w:p>
    <w:p w:rsidR="005E13C5" w:rsidP="005E13C5" w:rsidRDefault="005E13C5" w14:paraId="29680B2D" w14:textId="7AD543A7">
      <w:pPr>
        <w:pStyle w:val="Geenafstand"/>
        <w:rPr>
          <w:rFonts w:ascii="Verdana" w:hAnsi="Verdana"/>
          <w:bCs/>
          <w:i/>
          <w:iCs/>
          <w:sz w:val="18"/>
          <w:szCs w:val="18"/>
        </w:rPr>
      </w:pPr>
      <w:bookmarkStart w:name="_Hlk218699626" w:id="10"/>
      <w:r w:rsidRPr="00E622FD">
        <w:rPr>
          <w:rFonts w:ascii="Verdana" w:hAnsi="Verdana"/>
          <w:bCs/>
          <w:i/>
          <w:iCs/>
          <w:sz w:val="18"/>
          <w:szCs w:val="18"/>
        </w:rPr>
        <w:t xml:space="preserve">In de strategie heeft de Europese Commissie in het bijzonder aandacht voor het vergroten van kennis over </w:t>
      </w:r>
      <w:proofErr w:type="spellStart"/>
      <w:r w:rsidRPr="00E622FD">
        <w:rPr>
          <w:rFonts w:ascii="Verdana" w:hAnsi="Verdana"/>
          <w:bCs/>
          <w:i/>
          <w:iCs/>
          <w:sz w:val="18"/>
          <w:szCs w:val="18"/>
        </w:rPr>
        <w:t>retailbeleggen</w:t>
      </w:r>
      <w:proofErr w:type="spellEnd"/>
      <w:r w:rsidRPr="00E622FD">
        <w:rPr>
          <w:rFonts w:ascii="Verdana" w:hAnsi="Verdana"/>
          <w:bCs/>
          <w:i/>
          <w:iCs/>
          <w:sz w:val="18"/>
          <w:szCs w:val="18"/>
        </w:rPr>
        <w:t xml:space="preserve"> en financiële producten. Het kabinet onderschrijft het standpunt van de Europese Commissie dat, </w:t>
      </w:r>
      <w:proofErr w:type="gramStart"/>
      <w:r w:rsidRPr="00E622FD">
        <w:rPr>
          <w:rFonts w:ascii="Verdana" w:hAnsi="Verdana"/>
          <w:bCs/>
          <w:i/>
          <w:iCs/>
          <w:sz w:val="18"/>
          <w:szCs w:val="18"/>
        </w:rPr>
        <w:t>indien</w:t>
      </w:r>
      <w:proofErr w:type="gramEnd"/>
      <w:r w:rsidRPr="00E622FD">
        <w:rPr>
          <w:rFonts w:ascii="Verdana" w:hAnsi="Verdana"/>
          <w:bCs/>
          <w:i/>
          <w:iCs/>
          <w:sz w:val="18"/>
          <w:szCs w:val="18"/>
        </w:rPr>
        <w:t xml:space="preserve"> een individu ervoor kiest te participeren op de kapitaalmarkten, hij of zij toegerust moet zijn om weloverwogen en geïnformeerde beslissingen te nemen. In dat kader vragen de leden van de BBB-fractie of het kabinet ook oog heeft voor de verkooptechnieken en het creëren van schaarste, wat vaak onderdeel is van het adverteren door </w:t>
      </w:r>
      <w:proofErr w:type="spellStart"/>
      <w:r w:rsidRPr="00E622FD">
        <w:rPr>
          <w:rFonts w:ascii="Verdana" w:hAnsi="Verdana"/>
          <w:bCs/>
          <w:i/>
          <w:iCs/>
          <w:sz w:val="18"/>
          <w:szCs w:val="18"/>
        </w:rPr>
        <w:t>goeroe’s</w:t>
      </w:r>
      <w:proofErr w:type="spellEnd"/>
      <w:r w:rsidRPr="00E622FD">
        <w:rPr>
          <w:rFonts w:ascii="Verdana" w:hAnsi="Verdana"/>
          <w:bCs/>
          <w:i/>
          <w:iCs/>
          <w:sz w:val="18"/>
          <w:szCs w:val="18"/>
        </w:rPr>
        <w:t xml:space="preserve"> op sociale media?</w:t>
      </w:r>
      <w:r w:rsidRPr="00320A2A" w:rsidR="00320A2A">
        <w:rPr>
          <w:rFonts w:ascii="Verdana" w:hAnsi="Verdana"/>
          <w:bCs/>
          <w:i/>
          <w:iCs/>
          <w:sz w:val="18"/>
          <w:szCs w:val="18"/>
        </w:rPr>
        <w:t xml:space="preserve"> </w:t>
      </w:r>
      <w:r w:rsidRPr="00E622FD" w:rsidR="00320A2A">
        <w:rPr>
          <w:rFonts w:ascii="Verdana" w:hAnsi="Verdana"/>
          <w:bCs/>
          <w:i/>
          <w:iCs/>
          <w:sz w:val="18"/>
          <w:szCs w:val="18"/>
        </w:rPr>
        <w:t xml:space="preserve">Deze leden vragen daarnaast of het kabinet van mening is dat kennis van een beleggingsproduct </w:t>
      </w:r>
      <w:proofErr w:type="spellStart"/>
      <w:r w:rsidRPr="00E622FD" w:rsidR="00320A2A">
        <w:rPr>
          <w:rFonts w:ascii="Verdana" w:hAnsi="Verdana"/>
          <w:bCs/>
          <w:i/>
          <w:iCs/>
          <w:sz w:val="18"/>
          <w:szCs w:val="18"/>
        </w:rPr>
        <w:t>an</w:t>
      </w:r>
      <w:proofErr w:type="spellEnd"/>
      <w:r w:rsidRPr="00E622FD" w:rsidR="00320A2A">
        <w:rPr>
          <w:rFonts w:ascii="Verdana" w:hAnsi="Verdana"/>
          <w:bCs/>
          <w:i/>
          <w:iCs/>
          <w:sz w:val="18"/>
          <w:szCs w:val="18"/>
        </w:rPr>
        <w:t xml:space="preserve"> </w:t>
      </w:r>
      <w:proofErr w:type="spellStart"/>
      <w:r w:rsidRPr="00E622FD" w:rsidR="00320A2A">
        <w:rPr>
          <w:rFonts w:ascii="Verdana" w:hAnsi="Verdana"/>
          <w:bCs/>
          <w:i/>
          <w:iCs/>
          <w:sz w:val="18"/>
          <w:szCs w:val="18"/>
        </w:rPr>
        <w:t>sich</w:t>
      </w:r>
      <w:proofErr w:type="spellEnd"/>
      <w:r w:rsidRPr="00E622FD" w:rsidR="00320A2A">
        <w:rPr>
          <w:rFonts w:ascii="Verdana" w:hAnsi="Verdana"/>
          <w:bCs/>
          <w:i/>
          <w:iCs/>
          <w:sz w:val="18"/>
          <w:szCs w:val="18"/>
        </w:rPr>
        <w:t xml:space="preserve"> onvoldoende weerbaarheid met zich meebrengt om niet in verkooptechnieken van “get </w:t>
      </w:r>
      <w:proofErr w:type="spellStart"/>
      <w:r w:rsidRPr="00E622FD" w:rsidR="00320A2A">
        <w:rPr>
          <w:rFonts w:ascii="Verdana" w:hAnsi="Verdana"/>
          <w:bCs/>
          <w:i/>
          <w:iCs/>
          <w:sz w:val="18"/>
          <w:szCs w:val="18"/>
        </w:rPr>
        <w:t>rich</w:t>
      </w:r>
      <w:proofErr w:type="spellEnd"/>
      <w:r w:rsidRPr="00E622FD" w:rsidR="00320A2A">
        <w:rPr>
          <w:rFonts w:ascii="Verdana" w:hAnsi="Verdana"/>
          <w:bCs/>
          <w:i/>
          <w:iCs/>
          <w:sz w:val="18"/>
          <w:szCs w:val="18"/>
        </w:rPr>
        <w:t xml:space="preserve"> </w:t>
      </w:r>
      <w:proofErr w:type="spellStart"/>
      <w:r w:rsidRPr="00E622FD" w:rsidR="00320A2A">
        <w:rPr>
          <w:rFonts w:ascii="Verdana" w:hAnsi="Verdana"/>
          <w:bCs/>
          <w:i/>
          <w:iCs/>
          <w:sz w:val="18"/>
          <w:szCs w:val="18"/>
        </w:rPr>
        <w:t>quick</w:t>
      </w:r>
      <w:proofErr w:type="spellEnd"/>
      <w:r w:rsidRPr="00E622FD" w:rsidR="00320A2A">
        <w:rPr>
          <w:rFonts w:ascii="Verdana" w:hAnsi="Verdana"/>
          <w:bCs/>
          <w:i/>
          <w:iCs/>
          <w:sz w:val="18"/>
          <w:szCs w:val="18"/>
        </w:rPr>
        <w:t xml:space="preserve"> </w:t>
      </w:r>
      <w:proofErr w:type="spellStart"/>
      <w:r w:rsidRPr="00E622FD" w:rsidR="00320A2A">
        <w:rPr>
          <w:rFonts w:ascii="Verdana" w:hAnsi="Verdana"/>
          <w:bCs/>
          <w:i/>
          <w:iCs/>
          <w:sz w:val="18"/>
          <w:szCs w:val="18"/>
        </w:rPr>
        <w:t>schemes</w:t>
      </w:r>
      <w:proofErr w:type="spellEnd"/>
      <w:r w:rsidRPr="00E622FD" w:rsidR="00320A2A">
        <w:rPr>
          <w:rFonts w:ascii="Verdana" w:hAnsi="Verdana"/>
          <w:bCs/>
          <w:i/>
          <w:iCs/>
          <w:sz w:val="18"/>
          <w:szCs w:val="18"/>
        </w:rPr>
        <w:t xml:space="preserve">” te trappen? Deze leden vragen ook wat kan het kabinet nog meer kan doen om oplichtende praktijken online met “get </w:t>
      </w:r>
      <w:proofErr w:type="spellStart"/>
      <w:r w:rsidRPr="00E622FD" w:rsidR="00320A2A">
        <w:rPr>
          <w:rFonts w:ascii="Verdana" w:hAnsi="Verdana"/>
          <w:bCs/>
          <w:i/>
          <w:iCs/>
          <w:sz w:val="18"/>
          <w:szCs w:val="18"/>
        </w:rPr>
        <w:t>rich</w:t>
      </w:r>
      <w:proofErr w:type="spellEnd"/>
      <w:r w:rsidRPr="00E622FD" w:rsidR="00320A2A">
        <w:rPr>
          <w:rFonts w:ascii="Verdana" w:hAnsi="Verdana"/>
          <w:bCs/>
          <w:i/>
          <w:iCs/>
          <w:sz w:val="18"/>
          <w:szCs w:val="18"/>
        </w:rPr>
        <w:t xml:space="preserve"> </w:t>
      </w:r>
      <w:proofErr w:type="spellStart"/>
      <w:r w:rsidRPr="00E622FD" w:rsidR="00320A2A">
        <w:rPr>
          <w:rFonts w:ascii="Verdana" w:hAnsi="Verdana"/>
          <w:bCs/>
          <w:i/>
          <w:iCs/>
          <w:sz w:val="18"/>
          <w:szCs w:val="18"/>
        </w:rPr>
        <w:t>quick</w:t>
      </w:r>
      <w:proofErr w:type="spellEnd"/>
      <w:r w:rsidRPr="00E622FD" w:rsidR="00320A2A">
        <w:rPr>
          <w:rFonts w:ascii="Verdana" w:hAnsi="Verdana"/>
          <w:bCs/>
          <w:i/>
          <w:iCs/>
          <w:sz w:val="18"/>
          <w:szCs w:val="18"/>
        </w:rPr>
        <w:t xml:space="preserve"> </w:t>
      </w:r>
      <w:proofErr w:type="spellStart"/>
      <w:r w:rsidRPr="00E622FD" w:rsidR="00320A2A">
        <w:rPr>
          <w:rFonts w:ascii="Verdana" w:hAnsi="Verdana"/>
          <w:bCs/>
          <w:i/>
          <w:iCs/>
          <w:sz w:val="18"/>
          <w:szCs w:val="18"/>
        </w:rPr>
        <w:t>schemes</w:t>
      </w:r>
      <w:proofErr w:type="spellEnd"/>
      <w:r w:rsidRPr="00E622FD" w:rsidR="00320A2A">
        <w:rPr>
          <w:rFonts w:ascii="Verdana" w:hAnsi="Verdana"/>
          <w:bCs/>
          <w:i/>
          <w:iCs/>
          <w:sz w:val="18"/>
          <w:szCs w:val="18"/>
        </w:rPr>
        <w:t>” (die juridisch gezien geen oplichting hoeven te zijn) tegen te gaan?</w:t>
      </w:r>
    </w:p>
    <w:p w:rsidRPr="00E622FD" w:rsidR="00E05EC6" w:rsidP="005E13C5" w:rsidRDefault="00E05EC6" w14:paraId="538DB852" w14:textId="77777777">
      <w:pPr>
        <w:pStyle w:val="Geenafstand"/>
        <w:rPr>
          <w:rFonts w:ascii="Verdana" w:hAnsi="Verdana"/>
          <w:bCs/>
          <w:i/>
          <w:iCs/>
          <w:sz w:val="18"/>
          <w:szCs w:val="18"/>
        </w:rPr>
      </w:pPr>
    </w:p>
    <w:p w:rsidRPr="005E13C5" w:rsidR="005E13C5" w:rsidP="005E13C5" w:rsidRDefault="005C164B" w14:paraId="04EAAA2E" w14:textId="264AFCAD">
      <w:pPr>
        <w:pStyle w:val="Geenafstand"/>
        <w:rPr>
          <w:rFonts w:ascii="Verdana" w:hAnsi="Verdana"/>
          <w:bCs/>
          <w:sz w:val="18"/>
          <w:szCs w:val="18"/>
        </w:rPr>
      </w:pPr>
      <w:r w:rsidRPr="005B247C">
        <w:rPr>
          <w:rFonts w:ascii="Verdana" w:hAnsi="Verdana" w:eastAsia="Times New Roman"/>
          <w:bCs/>
          <w:sz w:val="18"/>
          <w:szCs w:val="18"/>
          <w:lang w:eastAsia="nl-NL"/>
        </w:rPr>
        <w:t xml:space="preserve">Het kabinet deelt de door de </w:t>
      </w:r>
      <w:r w:rsidR="00C7134F">
        <w:rPr>
          <w:rFonts w:ascii="Verdana" w:hAnsi="Verdana" w:eastAsia="Times New Roman"/>
          <w:bCs/>
          <w:sz w:val="18"/>
          <w:szCs w:val="18"/>
          <w:lang w:eastAsia="nl-NL"/>
        </w:rPr>
        <w:t>BBB-factie</w:t>
      </w:r>
      <w:r w:rsidRPr="005B247C">
        <w:rPr>
          <w:rFonts w:ascii="Verdana" w:hAnsi="Verdana" w:eastAsia="Times New Roman"/>
          <w:bCs/>
          <w:sz w:val="18"/>
          <w:szCs w:val="18"/>
          <w:lang w:eastAsia="nl-NL"/>
        </w:rPr>
        <w:t xml:space="preserve"> geuite zorgen over de uitdagingen op het gebied van consumentenbescherming in de digitale </w:t>
      </w:r>
      <w:r w:rsidR="00B844CA">
        <w:rPr>
          <w:rFonts w:ascii="Verdana" w:hAnsi="Verdana" w:eastAsia="Times New Roman"/>
          <w:bCs/>
          <w:sz w:val="18"/>
          <w:szCs w:val="18"/>
          <w:lang w:eastAsia="nl-NL"/>
        </w:rPr>
        <w:t xml:space="preserve">(financiële) </w:t>
      </w:r>
      <w:r w:rsidRPr="005B247C">
        <w:rPr>
          <w:rFonts w:ascii="Verdana" w:hAnsi="Verdana" w:eastAsia="Times New Roman"/>
          <w:bCs/>
          <w:sz w:val="18"/>
          <w:szCs w:val="18"/>
          <w:lang w:eastAsia="nl-NL"/>
        </w:rPr>
        <w:t xml:space="preserve">omgeving. </w:t>
      </w:r>
      <w:r w:rsidR="005D20CE">
        <w:rPr>
          <w:rFonts w:ascii="Verdana" w:hAnsi="Verdana" w:eastAsia="Times New Roman"/>
          <w:bCs/>
          <w:sz w:val="18"/>
          <w:szCs w:val="18"/>
          <w:lang w:eastAsia="nl-NL"/>
        </w:rPr>
        <w:t xml:space="preserve">In dat kader verwijs ik graag opnieuw naar </w:t>
      </w:r>
      <w:r w:rsidR="00527D70">
        <w:rPr>
          <w:rFonts w:ascii="Verdana" w:hAnsi="Verdana" w:eastAsia="Times New Roman"/>
          <w:bCs/>
          <w:sz w:val="18"/>
          <w:szCs w:val="18"/>
          <w:lang w:eastAsia="nl-NL"/>
        </w:rPr>
        <w:t>de k</w:t>
      </w:r>
      <w:r w:rsidR="005D20CE">
        <w:rPr>
          <w:rFonts w:ascii="Verdana" w:hAnsi="Verdana" w:eastAsia="Times New Roman"/>
          <w:bCs/>
          <w:sz w:val="18"/>
          <w:szCs w:val="18"/>
          <w:lang w:eastAsia="nl-NL"/>
        </w:rPr>
        <w:t>amerbrief</w:t>
      </w:r>
      <w:r w:rsidR="00527D70">
        <w:rPr>
          <w:rStyle w:val="Voetnootmarkering"/>
          <w:rFonts w:ascii="Verdana" w:hAnsi="Verdana" w:eastAsia="Times New Roman"/>
          <w:bCs/>
          <w:sz w:val="18"/>
          <w:szCs w:val="18"/>
          <w:lang w:eastAsia="nl-NL"/>
        </w:rPr>
        <w:footnoteReference w:id="26"/>
      </w:r>
      <w:r w:rsidRPr="005B247C">
        <w:rPr>
          <w:rFonts w:ascii="Verdana" w:hAnsi="Verdana" w:eastAsia="Times New Roman"/>
          <w:bCs/>
          <w:sz w:val="18"/>
          <w:szCs w:val="18"/>
          <w:lang w:eastAsia="nl-NL"/>
        </w:rPr>
        <w:t xml:space="preserve"> over ongewenste beïnvloeding van </w:t>
      </w:r>
      <w:r w:rsidR="00B844CA">
        <w:rPr>
          <w:rFonts w:ascii="Verdana" w:hAnsi="Verdana" w:eastAsia="Times New Roman"/>
          <w:bCs/>
          <w:sz w:val="18"/>
          <w:szCs w:val="18"/>
          <w:lang w:eastAsia="nl-NL"/>
        </w:rPr>
        <w:t>(j</w:t>
      </w:r>
      <w:r w:rsidRPr="005B247C">
        <w:rPr>
          <w:rFonts w:ascii="Verdana" w:hAnsi="Verdana" w:eastAsia="Times New Roman"/>
          <w:bCs/>
          <w:sz w:val="18"/>
          <w:szCs w:val="18"/>
          <w:lang w:eastAsia="nl-NL"/>
        </w:rPr>
        <w:t>ongere</w:t>
      </w:r>
      <w:r w:rsidR="00B844CA">
        <w:rPr>
          <w:rFonts w:ascii="Verdana" w:hAnsi="Verdana" w:eastAsia="Times New Roman"/>
          <w:bCs/>
          <w:sz w:val="18"/>
          <w:szCs w:val="18"/>
          <w:lang w:eastAsia="nl-NL"/>
        </w:rPr>
        <w:t>) consumenten</w:t>
      </w:r>
      <w:r w:rsidR="005D20CE">
        <w:rPr>
          <w:rFonts w:ascii="Verdana" w:hAnsi="Verdana" w:eastAsia="Times New Roman"/>
          <w:bCs/>
          <w:sz w:val="18"/>
          <w:szCs w:val="18"/>
          <w:lang w:eastAsia="nl-NL"/>
        </w:rPr>
        <w:t xml:space="preserve"> bij het maken van financiële keuzes</w:t>
      </w:r>
      <w:r w:rsidR="00C7134F">
        <w:rPr>
          <w:rFonts w:ascii="Verdana" w:hAnsi="Verdana" w:eastAsia="Times New Roman"/>
          <w:bCs/>
          <w:sz w:val="18"/>
          <w:szCs w:val="18"/>
          <w:lang w:eastAsia="nl-NL"/>
        </w:rPr>
        <w:t xml:space="preserve">, waarin </w:t>
      </w:r>
      <w:r w:rsidRPr="005B247C">
        <w:rPr>
          <w:rFonts w:ascii="Verdana" w:hAnsi="Verdana" w:eastAsia="Times New Roman"/>
          <w:bCs/>
          <w:sz w:val="18"/>
          <w:szCs w:val="18"/>
          <w:lang w:eastAsia="nl-NL"/>
        </w:rPr>
        <w:t xml:space="preserve">de </w:t>
      </w:r>
      <w:r w:rsidR="00107610">
        <w:rPr>
          <w:rFonts w:ascii="Verdana" w:hAnsi="Verdana" w:eastAsia="Times New Roman"/>
          <w:bCs/>
          <w:sz w:val="18"/>
          <w:szCs w:val="18"/>
          <w:lang w:eastAsia="nl-NL"/>
        </w:rPr>
        <w:t>K</w:t>
      </w:r>
      <w:r w:rsidRPr="005B247C">
        <w:rPr>
          <w:rFonts w:ascii="Verdana" w:hAnsi="Verdana" w:eastAsia="Times New Roman"/>
          <w:bCs/>
          <w:sz w:val="18"/>
          <w:szCs w:val="18"/>
          <w:lang w:eastAsia="nl-NL"/>
        </w:rPr>
        <w:t xml:space="preserve">amer </w:t>
      </w:r>
      <w:r w:rsidR="00C7134F">
        <w:rPr>
          <w:rFonts w:ascii="Verdana" w:hAnsi="Verdana" w:eastAsia="Times New Roman"/>
          <w:bCs/>
          <w:sz w:val="18"/>
          <w:szCs w:val="18"/>
          <w:lang w:eastAsia="nl-NL"/>
        </w:rPr>
        <w:t xml:space="preserve">wordt </w:t>
      </w:r>
      <w:r w:rsidRPr="005B247C">
        <w:rPr>
          <w:rFonts w:ascii="Verdana" w:hAnsi="Verdana" w:eastAsia="Times New Roman"/>
          <w:bCs/>
          <w:sz w:val="18"/>
          <w:szCs w:val="18"/>
          <w:lang w:eastAsia="nl-NL"/>
        </w:rPr>
        <w:t xml:space="preserve">geïnformeerd over de bestaande wet- en regelgeving, </w:t>
      </w:r>
      <w:proofErr w:type="gramStart"/>
      <w:r w:rsidRPr="005B247C">
        <w:rPr>
          <w:rFonts w:ascii="Verdana" w:hAnsi="Verdana" w:eastAsia="Times New Roman"/>
          <w:bCs/>
          <w:sz w:val="18"/>
          <w:szCs w:val="18"/>
          <w:lang w:eastAsia="nl-NL"/>
        </w:rPr>
        <w:t>alsmede</w:t>
      </w:r>
      <w:proofErr w:type="gramEnd"/>
      <w:r w:rsidRPr="005B247C">
        <w:rPr>
          <w:rFonts w:ascii="Verdana" w:hAnsi="Verdana" w:eastAsia="Times New Roman"/>
          <w:bCs/>
          <w:sz w:val="18"/>
          <w:szCs w:val="18"/>
          <w:lang w:eastAsia="nl-NL"/>
        </w:rPr>
        <w:t xml:space="preserve"> over de lopende en voorgenomen acties gericht op bescherming van consumenten.</w:t>
      </w:r>
      <w:r w:rsidR="00111681">
        <w:rPr>
          <w:rFonts w:ascii="Verdana" w:hAnsi="Verdana" w:eastAsia="Times New Roman"/>
          <w:bCs/>
          <w:sz w:val="18"/>
          <w:szCs w:val="18"/>
          <w:lang w:eastAsia="nl-NL"/>
        </w:rPr>
        <w:t xml:space="preserve"> </w:t>
      </w:r>
      <w:r w:rsidRPr="00EC45A2" w:rsidR="00EC45A2">
        <w:rPr>
          <w:rFonts w:ascii="Verdana" w:hAnsi="Verdana" w:eastAsia="Times New Roman"/>
          <w:bCs/>
          <w:sz w:val="18"/>
          <w:szCs w:val="18"/>
          <w:lang w:eastAsia="nl-NL"/>
        </w:rPr>
        <w:t>Door innovatie zal de beïnvloeding van consumenten telkens nieuwe vormen</w:t>
      </w:r>
      <w:r w:rsidR="00EC45A2">
        <w:rPr>
          <w:rFonts w:ascii="Verdana" w:hAnsi="Verdana" w:eastAsia="Times New Roman"/>
          <w:bCs/>
          <w:sz w:val="18"/>
          <w:szCs w:val="18"/>
          <w:lang w:eastAsia="nl-NL"/>
        </w:rPr>
        <w:t xml:space="preserve"> </w:t>
      </w:r>
      <w:r w:rsidRPr="00EC45A2" w:rsidR="00EC45A2">
        <w:rPr>
          <w:rFonts w:ascii="Verdana" w:hAnsi="Verdana" w:eastAsia="Times New Roman"/>
          <w:bCs/>
          <w:sz w:val="18"/>
          <w:szCs w:val="18"/>
          <w:lang w:eastAsia="nl-NL"/>
        </w:rPr>
        <w:t>aannemen. Beleid en wetgeving, en het toezicht hierop, kunnen ongewenste</w:t>
      </w:r>
      <w:r w:rsidR="00EC45A2">
        <w:rPr>
          <w:rFonts w:ascii="Verdana" w:hAnsi="Verdana" w:eastAsia="Times New Roman"/>
          <w:bCs/>
          <w:sz w:val="18"/>
          <w:szCs w:val="18"/>
          <w:lang w:eastAsia="nl-NL"/>
        </w:rPr>
        <w:t xml:space="preserve"> </w:t>
      </w:r>
      <w:r w:rsidRPr="00EC45A2" w:rsidR="00EC45A2">
        <w:rPr>
          <w:rFonts w:ascii="Verdana" w:hAnsi="Verdana" w:eastAsia="Times New Roman"/>
          <w:bCs/>
          <w:sz w:val="18"/>
          <w:szCs w:val="18"/>
          <w:lang w:eastAsia="nl-NL"/>
        </w:rPr>
        <w:t>beïnvloeding en de schade hiervan beperken, maar nooit volledig voorkomen.</w:t>
      </w:r>
      <w:r w:rsidR="00EC45A2">
        <w:rPr>
          <w:rFonts w:ascii="Verdana" w:hAnsi="Verdana" w:eastAsia="Times New Roman"/>
          <w:bCs/>
          <w:sz w:val="18"/>
          <w:szCs w:val="18"/>
          <w:lang w:eastAsia="nl-NL"/>
        </w:rPr>
        <w:t xml:space="preserve"> Daarom is f</w:t>
      </w:r>
      <w:r w:rsidRPr="00EC45A2" w:rsidR="00EC45A2">
        <w:rPr>
          <w:rFonts w:ascii="Verdana" w:hAnsi="Verdana" w:eastAsia="Times New Roman"/>
          <w:bCs/>
          <w:sz w:val="18"/>
          <w:szCs w:val="18"/>
          <w:lang w:eastAsia="nl-NL"/>
        </w:rPr>
        <w:t>inanciële geletterdheid en bewustwording van (ongewenste) beïnvloeding hiertegen een zeer belangrijk afweermechanisme.</w:t>
      </w:r>
      <w:r w:rsidR="00EC45A2">
        <w:rPr>
          <w:rFonts w:ascii="Verdana" w:hAnsi="Verdana" w:eastAsia="Times New Roman"/>
          <w:bCs/>
          <w:sz w:val="18"/>
          <w:szCs w:val="18"/>
          <w:lang w:eastAsia="nl-NL"/>
        </w:rPr>
        <w:t xml:space="preserve"> </w:t>
      </w:r>
    </w:p>
    <w:p w:rsidRPr="005E13C5" w:rsidR="005E13C5" w:rsidP="005E13C5" w:rsidRDefault="005E13C5" w14:paraId="620F6108" w14:textId="77777777">
      <w:pPr>
        <w:pStyle w:val="Geenafstand"/>
        <w:rPr>
          <w:rFonts w:ascii="Verdana" w:hAnsi="Verdana" w:eastAsia="Times New Roman"/>
          <w:bCs/>
          <w:color w:val="4472C4" w:themeColor="accent1"/>
          <w:sz w:val="18"/>
          <w:szCs w:val="18"/>
          <w:lang w:eastAsia="nl-NL"/>
        </w:rPr>
      </w:pPr>
    </w:p>
    <w:bookmarkEnd w:id="10"/>
    <w:p w:rsidRPr="005E13C5" w:rsidR="009B3498" w:rsidP="00843853" w:rsidRDefault="001006C9" w14:paraId="19778DA9" w14:textId="636D105E">
      <w:pPr>
        <w:rPr>
          <w:rFonts w:ascii="Verdana" w:hAnsi="Verdana"/>
          <w:sz w:val="18"/>
          <w:szCs w:val="18"/>
        </w:rPr>
      </w:pPr>
      <w:r>
        <w:rPr>
          <w:rFonts w:ascii="Verdana" w:hAnsi="Verdana"/>
          <w:sz w:val="18"/>
          <w:szCs w:val="18"/>
        </w:rPr>
        <w:tab/>
      </w:r>
    </w:p>
    <w:sectPr w:rsidRPr="005E13C5" w:rsidR="009B3498">
      <w:footerReference w:type="even" r:id="rId7"/>
      <w:footerReference w:type="default" r:id="rId8"/>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D38A" w14:textId="77777777" w:rsidR="00345312" w:rsidRDefault="00345312">
      <w:r>
        <w:separator/>
      </w:r>
    </w:p>
  </w:endnote>
  <w:endnote w:type="continuationSeparator" w:id="0">
    <w:p w14:paraId="4B32CBA8" w14:textId="77777777" w:rsidR="00345312" w:rsidRDefault="0034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6835A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A" w14:textId="77777777" w:rsidR="00BD00AB" w:rsidRPr="00E622FD" w:rsidRDefault="00BD00AB" w:rsidP="007F2292">
    <w:pPr>
      <w:pStyle w:val="Voettekst"/>
      <w:framePr w:wrap="around" w:vAnchor="text" w:hAnchor="margin" w:xAlign="right" w:y="1"/>
      <w:rPr>
        <w:rStyle w:val="Paginanummer"/>
        <w:rFonts w:ascii="Verdana" w:hAnsi="Verdana"/>
        <w:sz w:val="18"/>
        <w:szCs w:val="18"/>
      </w:rPr>
    </w:pPr>
    <w:r w:rsidRPr="00E622FD">
      <w:rPr>
        <w:rStyle w:val="Paginanummer"/>
        <w:rFonts w:ascii="Verdana" w:hAnsi="Verdana"/>
        <w:sz w:val="18"/>
        <w:szCs w:val="18"/>
      </w:rPr>
      <w:fldChar w:fldCharType="begin"/>
    </w:r>
    <w:r w:rsidRPr="00E622FD">
      <w:rPr>
        <w:rStyle w:val="Paginanummer"/>
        <w:rFonts w:ascii="Verdana" w:hAnsi="Verdana"/>
        <w:sz w:val="18"/>
        <w:szCs w:val="18"/>
      </w:rPr>
      <w:instrText xml:space="preserve">PAGE  </w:instrText>
    </w:r>
    <w:r w:rsidRPr="00E622FD">
      <w:rPr>
        <w:rStyle w:val="Paginanummer"/>
        <w:rFonts w:ascii="Verdana" w:hAnsi="Verdana"/>
        <w:sz w:val="18"/>
        <w:szCs w:val="18"/>
      </w:rPr>
      <w:fldChar w:fldCharType="separate"/>
    </w:r>
    <w:r w:rsidR="0090642E" w:rsidRPr="00E622FD">
      <w:rPr>
        <w:rStyle w:val="Paginanummer"/>
        <w:rFonts w:ascii="Verdana" w:hAnsi="Verdana"/>
        <w:noProof/>
        <w:sz w:val="18"/>
        <w:szCs w:val="18"/>
      </w:rPr>
      <w:t>1</w:t>
    </w:r>
    <w:r w:rsidRPr="00E622FD">
      <w:rPr>
        <w:rStyle w:val="Paginanummer"/>
        <w:rFonts w:ascii="Verdana" w:hAnsi="Verdana"/>
        <w:sz w:val="18"/>
        <w:szCs w:val="18"/>
      </w:rPr>
      <w:fldChar w:fldCharType="end"/>
    </w:r>
  </w:p>
  <w:p w14:paraId="306835A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1AC8B" w14:textId="77777777" w:rsidR="00345312" w:rsidRDefault="00345312">
      <w:r>
        <w:separator/>
      </w:r>
    </w:p>
  </w:footnote>
  <w:footnote w:type="continuationSeparator" w:id="0">
    <w:p w14:paraId="48925433" w14:textId="77777777" w:rsidR="00345312" w:rsidRDefault="00345312">
      <w:r>
        <w:continuationSeparator/>
      </w:r>
    </w:p>
  </w:footnote>
  <w:footnote w:id="1">
    <w:p w14:paraId="3C06FA0E" w14:textId="5DA0C156" w:rsidR="002D3A29" w:rsidRPr="00E54253" w:rsidRDefault="002D3A29">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r w:rsidR="00BE2F84" w:rsidRPr="00E54253">
        <w:rPr>
          <w:rFonts w:ascii="Verdana" w:hAnsi="Verdana"/>
          <w:sz w:val="16"/>
          <w:szCs w:val="16"/>
        </w:rPr>
        <w:t>Kamerstuk II, 2025/2026, 22 112, nr. 4201</w:t>
      </w:r>
      <w:r w:rsidR="000D3E4A" w:rsidRPr="00E54253">
        <w:rPr>
          <w:rFonts w:ascii="Verdana" w:hAnsi="Verdana"/>
          <w:sz w:val="16"/>
          <w:szCs w:val="16"/>
        </w:rPr>
        <w:t>.</w:t>
      </w:r>
    </w:p>
  </w:footnote>
  <w:footnote w:id="2">
    <w:p w14:paraId="2A5A0302" w14:textId="77777777" w:rsidR="005E13C5" w:rsidRPr="00E54253" w:rsidRDefault="005E13C5" w:rsidP="005E13C5">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hyperlink r:id="rId1" w:history="1">
        <w:r w:rsidRPr="00E54253">
          <w:rPr>
            <w:rStyle w:val="Hyperlink"/>
            <w:rFonts w:ascii="Verdana" w:hAnsi="Verdana"/>
            <w:color w:val="auto"/>
            <w:sz w:val="16"/>
            <w:szCs w:val="16"/>
            <w:u w:val="none"/>
          </w:rPr>
          <w:t>https://www.pisa-nederland.nl/wp-content/uploads/2024/09/PISA-2022-De-Verdieping-De-financiele-geletterdheid-van-15-jarigen.pdf</w:t>
        </w:r>
      </w:hyperlink>
      <w:r w:rsidRPr="00E54253">
        <w:rPr>
          <w:rFonts w:ascii="Verdana" w:hAnsi="Verdana"/>
          <w:sz w:val="16"/>
          <w:szCs w:val="16"/>
        </w:rPr>
        <w:t xml:space="preserve"> </w:t>
      </w:r>
    </w:p>
  </w:footnote>
  <w:footnote w:id="3">
    <w:p w14:paraId="5AC81E5F" w14:textId="1AB51F56" w:rsidR="006A58E3" w:rsidRPr="00E54253" w:rsidRDefault="006A58E3">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r w:rsidRPr="00E54253">
        <w:rPr>
          <w:rFonts w:ascii="Verdana" w:hAnsi="Verdana"/>
          <w:bCs/>
          <w:sz w:val="16"/>
          <w:szCs w:val="16"/>
        </w:rPr>
        <w:t>België (Vlaanderen), Denemarken, Canada en de Verenigde Staten.</w:t>
      </w:r>
    </w:p>
  </w:footnote>
  <w:footnote w:id="4">
    <w:p w14:paraId="73158477" w14:textId="5E9DFF4E" w:rsidR="00750F53" w:rsidRPr="00E54253" w:rsidRDefault="00750F53" w:rsidP="00750F53">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r w:rsidR="00DD50BC" w:rsidRPr="00E54253">
        <w:rPr>
          <w:rFonts w:ascii="Verdana" w:hAnsi="Verdana"/>
          <w:sz w:val="16"/>
          <w:szCs w:val="16"/>
        </w:rPr>
        <w:t xml:space="preserve">Uit het rapport </w:t>
      </w:r>
      <w:r w:rsidR="00DD50BC" w:rsidRPr="00E54253">
        <w:rPr>
          <w:rFonts w:ascii="Verdana" w:hAnsi="Verdana"/>
          <w:i/>
          <w:iCs/>
          <w:sz w:val="16"/>
          <w:szCs w:val="16"/>
        </w:rPr>
        <w:t>Financiële opvoeding in een digitaal tijdperk</w:t>
      </w:r>
      <w:r w:rsidR="00DD50BC" w:rsidRPr="00E54253">
        <w:rPr>
          <w:rFonts w:ascii="Verdana" w:hAnsi="Verdana"/>
          <w:sz w:val="16"/>
          <w:szCs w:val="16"/>
        </w:rPr>
        <w:t xml:space="preserve"> van het Nibud (2023) blijkt dat 91% van de Nederlandse scholieren van 6 tot 14 jaar spaart.</w:t>
      </w:r>
    </w:p>
  </w:footnote>
  <w:footnote w:id="5">
    <w:p w14:paraId="62A26CA4" w14:textId="621551EC" w:rsidR="002B2E97" w:rsidRPr="00E54253" w:rsidRDefault="002B2E97">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Kamerstuk II, 2023/2024, 36 410</w:t>
      </w:r>
      <w:r w:rsidR="002E5C02" w:rsidRPr="00E54253">
        <w:rPr>
          <w:rFonts w:ascii="Verdana" w:hAnsi="Verdana"/>
          <w:sz w:val="16"/>
          <w:szCs w:val="16"/>
        </w:rPr>
        <w:t>-</w:t>
      </w:r>
      <w:r w:rsidR="00D27948" w:rsidRPr="00E54253">
        <w:rPr>
          <w:rFonts w:ascii="Verdana" w:hAnsi="Verdana"/>
          <w:sz w:val="16"/>
          <w:szCs w:val="16"/>
        </w:rPr>
        <w:t>IX</w:t>
      </w:r>
      <w:r w:rsidRPr="00E54253">
        <w:rPr>
          <w:rFonts w:ascii="Verdana" w:hAnsi="Verdana"/>
          <w:sz w:val="16"/>
          <w:szCs w:val="16"/>
        </w:rPr>
        <w:t>, nr. 45</w:t>
      </w:r>
      <w:r w:rsidR="00A34B8B" w:rsidRPr="00E54253">
        <w:rPr>
          <w:rFonts w:ascii="Verdana" w:hAnsi="Verdana"/>
          <w:sz w:val="16"/>
          <w:szCs w:val="16"/>
        </w:rPr>
        <w:t>.</w:t>
      </w:r>
    </w:p>
  </w:footnote>
  <w:footnote w:id="6">
    <w:p w14:paraId="0D6DCDDB" w14:textId="77777777" w:rsidR="00AE598E" w:rsidRPr="00E54253" w:rsidRDefault="00AE598E" w:rsidP="00AE598E">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Kamerstuk II, 2020/2021, 32 847, nr. 722.</w:t>
      </w:r>
    </w:p>
  </w:footnote>
  <w:footnote w:id="7">
    <w:p w14:paraId="3AE419B0" w14:textId="77777777" w:rsidR="002F2507" w:rsidRPr="00E54253" w:rsidRDefault="002F2507" w:rsidP="002F2507">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Kamerstuk II, 2023/2024, 36 410-IX, nr. 45.</w:t>
      </w:r>
    </w:p>
  </w:footnote>
  <w:footnote w:id="8">
    <w:p w14:paraId="5A32200B" w14:textId="7099F80A" w:rsidR="005E13C5" w:rsidRPr="00E54253" w:rsidRDefault="005E13C5" w:rsidP="005E13C5">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r w:rsidR="005530D5" w:rsidRPr="00E54253">
        <w:rPr>
          <w:rFonts w:ascii="Verdana" w:hAnsi="Verdana"/>
          <w:sz w:val="16"/>
          <w:szCs w:val="16"/>
        </w:rPr>
        <w:t xml:space="preserve">Kamerstuk II, 2024/2025, 21 501-07, nr. 2099. </w:t>
      </w:r>
    </w:p>
  </w:footnote>
  <w:footnote w:id="9">
    <w:p w14:paraId="5004284D" w14:textId="453A736B" w:rsidR="005E13C5" w:rsidRPr="00E54253" w:rsidRDefault="005E13C5" w:rsidP="005E13C5">
      <w:pPr>
        <w:pStyle w:val="Voetnoottekst"/>
        <w:rPr>
          <w:rFonts w:ascii="Verdana" w:hAnsi="Verdana"/>
          <w:sz w:val="16"/>
          <w:szCs w:val="16"/>
        </w:rPr>
      </w:pPr>
      <w:r w:rsidRPr="00E54253">
        <w:rPr>
          <w:rStyle w:val="Voetnootmarkering"/>
          <w:rFonts w:ascii="Verdana" w:hAnsi="Verdana"/>
          <w:sz w:val="16"/>
          <w:szCs w:val="16"/>
        </w:rPr>
        <w:footnoteRef/>
      </w:r>
      <w:r w:rsidR="00E4521B" w:rsidRPr="00E54253">
        <w:rPr>
          <w:rFonts w:ascii="Verdana" w:hAnsi="Verdana"/>
          <w:sz w:val="16"/>
          <w:szCs w:val="16"/>
        </w:rPr>
        <w:t xml:space="preserve"> Het verslag van de ondertekening op 5 juni jl. en de intentieverklaring zijn te vinden in de aanbieding van de geannoteerde agenda van de Eurogroep en </w:t>
      </w:r>
      <w:r w:rsidR="00E4521B" w:rsidRPr="00E54253">
        <w:rPr>
          <w:rFonts w:ascii="Verdana" w:hAnsi="Verdana"/>
          <w:sz w:val="16"/>
          <w:szCs w:val="16"/>
        </w:rPr>
        <w:t>Ecofin van juni 2025 (Kamerstuk II, 2024/2025, 21 501-07, nr. 2118).</w:t>
      </w:r>
    </w:p>
  </w:footnote>
  <w:footnote w:id="10">
    <w:p w14:paraId="4A8AF7CD" w14:textId="6F261AF3" w:rsidR="005E13C5" w:rsidRPr="00E54253" w:rsidRDefault="005E13C5" w:rsidP="005E13C5">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r w:rsidR="00BE2F84" w:rsidRPr="00E54253">
        <w:rPr>
          <w:rFonts w:ascii="Verdana" w:hAnsi="Verdana"/>
          <w:sz w:val="16"/>
          <w:szCs w:val="16"/>
        </w:rPr>
        <w:t>Kamerstuk II, 2025/2026, 22 112, nr. 4201</w:t>
      </w:r>
      <w:r w:rsidR="0070139E" w:rsidRPr="00E54253">
        <w:rPr>
          <w:rFonts w:ascii="Verdana" w:hAnsi="Verdana"/>
          <w:sz w:val="16"/>
          <w:szCs w:val="16"/>
        </w:rPr>
        <w:t>.</w:t>
      </w:r>
    </w:p>
  </w:footnote>
  <w:footnote w:id="11">
    <w:p w14:paraId="5051478B" w14:textId="08E49D9B" w:rsidR="005E13C5" w:rsidRPr="00E54253" w:rsidRDefault="005E13C5" w:rsidP="005E13C5">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r w:rsidR="00421F6C" w:rsidRPr="00E54253">
        <w:rPr>
          <w:rFonts w:ascii="Verdana" w:hAnsi="Verdana"/>
          <w:sz w:val="16"/>
          <w:szCs w:val="16"/>
        </w:rPr>
        <w:t>Kamerstuk II, 20</w:t>
      </w:r>
      <w:r w:rsidR="004E41C5" w:rsidRPr="00E54253">
        <w:rPr>
          <w:rFonts w:ascii="Verdana" w:hAnsi="Verdana"/>
          <w:sz w:val="16"/>
          <w:szCs w:val="16"/>
        </w:rPr>
        <w:t>25/</w:t>
      </w:r>
      <w:r w:rsidR="00421F6C" w:rsidRPr="00E54253">
        <w:rPr>
          <w:rFonts w:ascii="Verdana" w:hAnsi="Verdana"/>
          <w:sz w:val="16"/>
          <w:szCs w:val="16"/>
        </w:rPr>
        <w:t>202</w:t>
      </w:r>
      <w:r w:rsidR="004E41C5" w:rsidRPr="00E54253">
        <w:rPr>
          <w:rFonts w:ascii="Verdana" w:hAnsi="Verdana"/>
          <w:sz w:val="16"/>
          <w:szCs w:val="16"/>
        </w:rPr>
        <w:t>6</w:t>
      </w:r>
      <w:r w:rsidR="00421F6C" w:rsidRPr="00E54253">
        <w:rPr>
          <w:rFonts w:ascii="Verdana" w:hAnsi="Verdana"/>
          <w:sz w:val="16"/>
          <w:szCs w:val="16"/>
        </w:rPr>
        <w:t xml:space="preserve">, </w:t>
      </w:r>
      <w:r w:rsidR="004E41C5" w:rsidRPr="00E54253">
        <w:rPr>
          <w:rFonts w:ascii="Verdana" w:hAnsi="Verdana"/>
          <w:sz w:val="16"/>
          <w:szCs w:val="16"/>
        </w:rPr>
        <w:t>32 013, nr.</w:t>
      </w:r>
      <w:r w:rsidR="004A5232" w:rsidRPr="00E54253">
        <w:rPr>
          <w:rFonts w:ascii="Verdana" w:hAnsi="Verdana"/>
          <w:sz w:val="16"/>
          <w:szCs w:val="16"/>
        </w:rPr>
        <w:t xml:space="preserve"> </w:t>
      </w:r>
      <w:r w:rsidR="004E41C5" w:rsidRPr="00E54253">
        <w:rPr>
          <w:rFonts w:ascii="Verdana" w:hAnsi="Verdana"/>
          <w:sz w:val="16"/>
          <w:szCs w:val="16"/>
        </w:rPr>
        <w:t>314.</w:t>
      </w:r>
    </w:p>
  </w:footnote>
  <w:footnote w:id="12">
    <w:p w14:paraId="0A880522" w14:textId="77777777" w:rsidR="00014786" w:rsidRPr="00E54253" w:rsidRDefault="00014786" w:rsidP="00014786">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Kamerstuk II, 2023/2024, 27 879, nr. 95.</w:t>
      </w:r>
    </w:p>
  </w:footnote>
  <w:footnote w:id="13">
    <w:p w14:paraId="14B420D6" w14:textId="33C247D6" w:rsidR="005C08CF" w:rsidRPr="00E54253" w:rsidRDefault="005C08CF">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hyperlink r:id="rId2" w:history="1">
        <w:r w:rsidRPr="00E54253">
          <w:rPr>
            <w:rStyle w:val="Hyperlink"/>
            <w:rFonts w:ascii="Verdana" w:hAnsi="Verdana"/>
            <w:color w:val="auto"/>
            <w:sz w:val="16"/>
            <w:szCs w:val="16"/>
            <w:u w:val="none"/>
          </w:rPr>
          <w:t>https://www.afm.nl/nl-nl/sector/actueel/2024/juni/boete-hogervorst</w:t>
        </w:r>
      </w:hyperlink>
      <w:r w:rsidRPr="00E54253">
        <w:rPr>
          <w:rFonts w:ascii="Verdana" w:hAnsi="Verdana"/>
          <w:sz w:val="16"/>
          <w:szCs w:val="16"/>
        </w:rPr>
        <w:t xml:space="preserve"> </w:t>
      </w:r>
    </w:p>
  </w:footnote>
  <w:footnote w:id="14">
    <w:p w14:paraId="4CCD24C7" w14:textId="6CEB616C" w:rsidR="00281A82" w:rsidRPr="00E54253" w:rsidRDefault="00281A82">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hyperlink r:id="rId3" w:history="1">
        <w:r w:rsidRPr="00E54253">
          <w:rPr>
            <w:rStyle w:val="Hyperlink"/>
            <w:rFonts w:ascii="Verdana" w:hAnsi="Verdana"/>
            <w:color w:val="auto"/>
            <w:sz w:val="16"/>
            <w:szCs w:val="16"/>
            <w:u w:val="none"/>
          </w:rPr>
          <w:t>https://www.consilium.europa.eu/en/press/press-releases/2025/12/18/retail-investment-strategy-council-and-parliament-agree-on-package-to-empower-consumers-while-boosting-markets/</w:t>
        </w:r>
      </w:hyperlink>
      <w:r w:rsidRPr="00E54253">
        <w:rPr>
          <w:rFonts w:ascii="Verdana" w:hAnsi="Verdana"/>
          <w:sz w:val="16"/>
          <w:szCs w:val="16"/>
        </w:rPr>
        <w:t xml:space="preserve"> </w:t>
      </w:r>
    </w:p>
  </w:footnote>
  <w:footnote w:id="15">
    <w:p w14:paraId="1F78892D" w14:textId="77777777" w:rsidR="008542B1" w:rsidRPr="00E54253" w:rsidRDefault="008542B1" w:rsidP="008542B1">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hyperlink r:id="rId4" w:history="1">
        <w:r w:rsidRPr="00E54253">
          <w:rPr>
            <w:rStyle w:val="Hyperlink"/>
            <w:rFonts w:ascii="Verdana" w:hAnsi="Verdana"/>
            <w:color w:val="auto"/>
            <w:sz w:val="16"/>
            <w:szCs w:val="16"/>
            <w:u w:val="none"/>
          </w:rPr>
          <w:t>https://www.rijksoverheid.nl/documenten/rapporten/2025/11/12/non-paper-digital-fairness-act</w:t>
        </w:r>
      </w:hyperlink>
      <w:r w:rsidRPr="00E54253">
        <w:rPr>
          <w:rFonts w:ascii="Verdana" w:hAnsi="Verdana"/>
          <w:sz w:val="16"/>
          <w:szCs w:val="16"/>
        </w:rPr>
        <w:t xml:space="preserve"> </w:t>
      </w:r>
    </w:p>
  </w:footnote>
  <w:footnote w:id="16">
    <w:p w14:paraId="149B0609" w14:textId="2E204FC1" w:rsidR="00E54253" w:rsidRPr="009B569A" w:rsidRDefault="00E54253">
      <w:pPr>
        <w:pStyle w:val="Voetnoottekst"/>
        <w:rPr>
          <w:rFonts w:ascii="Verdana" w:hAnsi="Verdana"/>
          <w:sz w:val="16"/>
          <w:szCs w:val="16"/>
        </w:rPr>
      </w:pPr>
      <w:r w:rsidRPr="009B569A">
        <w:rPr>
          <w:rStyle w:val="Voetnootmarkering"/>
          <w:rFonts w:ascii="Verdana" w:hAnsi="Verdana"/>
          <w:sz w:val="16"/>
          <w:szCs w:val="16"/>
        </w:rPr>
        <w:footnoteRef/>
      </w:r>
      <w:r w:rsidRPr="009B569A">
        <w:rPr>
          <w:rFonts w:ascii="Verdana" w:hAnsi="Verdana"/>
          <w:sz w:val="16"/>
          <w:szCs w:val="16"/>
        </w:rPr>
        <w:t xml:space="preserve"> Het </w:t>
      </w:r>
      <w:r w:rsidRPr="009B569A">
        <w:rPr>
          <w:rFonts w:ascii="Verdana" w:hAnsi="Verdana"/>
          <w:sz w:val="16"/>
          <w:szCs w:val="16"/>
        </w:rPr>
        <w:t>influencer-certificaat is bedoeld om bij influencers, waaronder finfluencers, de kennis van de regels te vergroten, waarmee onder meer de transparantie binnen (f)influencer-marketing wordt bevorderd. (F)influencers die het certificaat hebben behaald, worden in een openbaar register opgenomen en gemonitord. Zie: https://influencerregels.com/.</w:t>
      </w:r>
    </w:p>
  </w:footnote>
  <w:footnote w:id="17">
    <w:p w14:paraId="67E28E40" w14:textId="6FEDDE0B" w:rsidR="001421E9" w:rsidRPr="00E54253" w:rsidRDefault="001421E9">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hyperlink r:id="rId5" w:history="1">
        <w:r w:rsidRPr="00E54253">
          <w:rPr>
            <w:rStyle w:val="Hyperlink"/>
            <w:rFonts w:ascii="Verdana" w:hAnsi="Verdana"/>
            <w:color w:val="auto"/>
            <w:sz w:val="16"/>
            <w:szCs w:val="16"/>
            <w:u w:val="none"/>
          </w:rPr>
          <w:t>https://www.tweedekamer.nl/downloads/document?id=2025D47629</w:t>
        </w:r>
      </w:hyperlink>
      <w:r w:rsidRPr="00E54253">
        <w:rPr>
          <w:rFonts w:ascii="Verdana" w:hAnsi="Verdana"/>
          <w:sz w:val="16"/>
          <w:szCs w:val="16"/>
        </w:rPr>
        <w:t xml:space="preserve"> </w:t>
      </w:r>
    </w:p>
  </w:footnote>
  <w:footnote w:id="18">
    <w:p w14:paraId="593271B1" w14:textId="77777777" w:rsidR="005E13C5" w:rsidRPr="00E54253" w:rsidRDefault="005E13C5" w:rsidP="005E13C5">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hyperlink r:id="rId6" w:history="1">
        <w:r w:rsidRPr="00E54253">
          <w:rPr>
            <w:rStyle w:val="Hyperlink"/>
            <w:rFonts w:ascii="Verdana" w:hAnsi="Verdana"/>
            <w:color w:val="auto"/>
            <w:sz w:val="16"/>
            <w:szCs w:val="16"/>
            <w:u w:val="none"/>
          </w:rPr>
          <w:t>https://open.overheid.nl/documenten/d07a90da-3bd4-4f74-97a7-fdb9ef561ae5/file</w:t>
        </w:r>
      </w:hyperlink>
      <w:r w:rsidRPr="00E54253">
        <w:rPr>
          <w:rFonts w:ascii="Verdana" w:hAnsi="Verdana"/>
          <w:sz w:val="16"/>
          <w:szCs w:val="16"/>
        </w:rPr>
        <w:t xml:space="preserve"> </w:t>
      </w:r>
    </w:p>
  </w:footnote>
  <w:footnote w:id="19">
    <w:p w14:paraId="7F40771A" w14:textId="695DC4A5" w:rsidR="005E13C5" w:rsidRPr="00E54253" w:rsidRDefault="005E13C5" w:rsidP="005E13C5">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r w:rsidR="003B582B" w:rsidRPr="00E54253">
        <w:rPr>
          <w:rFonts w:ascii="Verdana" w:hAnsi="Verdana"/>
          <w:sz w:val="16"/>
          <w:szCs w:val="16"/>
        </w:rPr>
        <w:t>Kamerstuk II, 2024/2025, 24 515, nr. 799.</w:t>
      </w:r>
      <w:r w:rsidRPr="00E54253">
        <w:rPr>
          <w:rFonts w:ascii="Verdana" w:hAnsi="Verdana"/>
          <w:sz w:val="16"/>
          <w:szCs w:val="16"/>
        </w:rPr>
        <w:t xml:space="preserve"> </w:t>
      </w:r>
    </w:p>
  </w:footnote>
  <w:footnote w:id="20">
    <w:p w14:paraId="18A4DB86" w14:textId="49035CDC" w:rsidR="005D2E59" w:rsidRPr="00E54253" w:rsidRDefault="005D2E59" w:rsidP="005D2E59">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De jaarplannen van de afgelopen jaren zijn raad te plegen via: </w:t>
      </w:r>
      <w:hyperlink r:id="rId7" w:history="1">
        <w:r w:rsidR="003B582B" w:rsidRPr="00E54253">
          <w:rPr>
            <w:rStyle w:val="Hyperlink"/>
            <w:rFonts w:ascii="Verdana" w:hAnsi="Verdana"/>
            <w:color w:val="auto"/>
            <w:sz w:val="16"/>
            <w:szCs w:val="16"/>
            <w:u w:val="none"/>
          </w:rPr>
          <w:t>https://www.wijzeringeldzaken.nl/bibliotheek/?categorie=plannen-en-resultaten</w:t>
        </w:r>
      </w:hyperlink>
      <w:r w:rsidRPr="00E54253">
        <w:rPr>
          <w:rFonts w:ascii="Verdana" w:hAnsi="Verdana"/>
          <w:sz w:val="16"/>
          <w:szCs w:val="16"/>
        </w:rPr>
        <w:t xml:space="preserve"> </w:t>
      </w:r>
    </w:p>
  </w:footnote>
  <w:footnote w:id="21">
    <w:p w14:paraId="314F75D3" w14:textId="2E65EF95" w:rsidR="002C2707" w:rsidRPr="00E54253" w:rsidRDefault="002C2707">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Kamerstukken II</w:t>
      </w:r>
      <w:r w:rsidR="003D2988" w:rsidRPr="00E54253">
        <w:rPr>
          <w:rFonts w:ascii="Verdana" w:hAnsi="Verdana"/>
          <w:sz w:val="16"/>
          <w:szCs w:val="16"/>
        </w:rPr>
        <w:t>,</w:t>
      </w:r>
      <w:r w:rsidRPr="00E54253">
        <w:rPr>
          <w:rFonts w:ascii="Verdana" w:hAnsi="Verdana"/>
          <w:sz w:val="16"/>
          <w:szCs w:val="16"/>
        </w:rPr>
        <w:t xml:space="preserve"> 2025</w:t>
      </w:r>
      <w:r w:rsidR="003D2988" w:rsidRPr="00E54253">
        <w:rPr>
          <w:rFonts w:ascii="Verdana" w:hAnsi="Verdana"/>
          <w:sz w:val="16"/>
          <w:szCs w:val="16"/>
        </w:rPr>
        <w:t>/20</w:t>
      </w:r>
      <w:r w:rsidRPr="00E54253">
        <w:rPr>
          <w:rFonts w:ascii="Verdana" w:hAnsi="Verdana"/>
          <w:sz w:val="16"/>
          <w:szCs w:val="16"/>
        </w:rPr>
        <w:t>26, 32 043 nr. 690.</w:t>
      </w:r>
    </w:p>
  </w:footnote>
  <w:footnote w:id="22">
    <w:p w14:paraId="219F9ECF" w14:textId="07FFCC2D" w:rsidR="002C2707" w:rsidRPr="00E54253" w:rsidRDefault="002C2707">
      <w:pPr>
        <w:pStyle w:val="Voetnoottekst"/>
        <w:rPr>
          <w:rFonts w:ascii="Verdana" w:hAnsi="Verdana"/>
          <w:i/>
          <w:iCs/>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Kamerstukken II</w:t>
      </w:r>
      <w:r w:rsidR="003D2988" w:rsidRPr="00E54253">
        <w:rPr>
          <w:rFonts w:ascii="Verdana" w:hAnsi="Verdana"/>
          <w:sz w:val="16"/>
          <w:szCs w:val="16"/>
        </w:rPr>
        <w:t>,</w:t>
      </w:r>
      <w:r w:rsidRPr="00E54253">
        <w:rPr>
          <w:rFonts w:ascii="Verdana" w:hAnsi="Verdana"/>
          <w:sz w:val="16"/>
          <w:szCs w:val="16"/>
        </w:rPr>
        <w:t xml:space="preserve"> 2024</w:t>
      </w:r>
      <w:r w:rsidR="003D2988" w:rsidRPr="00E54253">
        <w:rPr>
          <w:rFonts w:ascii="Verdana" w:hAnsi="Verdana"/>
          <w:sz w:val="16"/>
          <w:szCs w:val="16"/>
        </w:rPr>
        <w:t>/20</w:t>
      </w:r>
      <w:r w:rsidRPr="00E54253">
        <w:rPr>
          <w:rFonts w:ascii="Verdana" w:hAnsi="Verdana"/>
          <w:sz w:val="16"/>
          <w:szCs w:val="16"/>
        </w:rPr>
        <w:t>25, 32 043 nr. 687.</w:t>
      </w:r>
    </w:p>
  </w:footnote>
  <w:footnote w:id="23">
    <w:p w14:paraId="0867E50D" w14:textId="6F4BFCB9" w:rsidR="00EF2549" w:rsidRPr="00E54253" w:rsidRDefault="00EF2549">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hyperlink r:id="rId8" w:history="1">
        <w:r w:rsidR="00AD726F" w:rsidRPr="00E54253">
          <w:rPr>
            <w:rStyle w:val="Hyperlink"/>
            <w:rFonts w:ascii="Verdana" w:hAnsi="Verdana"/>
            <w:color w:val="auto"/>
            <w:sz w:val="16"/>
            <w:szCs w:val="16"/>
            <w:u w:val="none"/>
          </w:rPr>
          <w:t>https://www.wijzeringeldzaken.nl/bibliotheek-/media/pdf/koers-wijzer-in-geldzaken-2024-2026.pdf</w:t>
        </w:r>
      </w:hyperlink>
      <w:r w:rsidR="00AD726F" w:rsidRPr="00E54253">
        <w:rPr>
          <w:rFonts w:ascii="Verdana" w:hAnsi="Verdana"/>
          <w:sz w:val="16"/>
          <w:szCs w:val="16"/>
        </w:rPr>
        <w:t xml:space="preserve"> </w:t>
      </w:r>
    </w:p>
  </w:footnote>
  <w:footnote w:id="24">
    <w:p w14:paraId="37152EF6" w14:textId="124A3D2B" w:rsidR="00A9525A" w:rsidRPr="00E54253" w:rsidRDefault="00A9525A" w:rsidP="00F6612C">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r w:rsidR="00F6612C" w:rsidRPr="00E54253">
        <w:rPr>
          <w:rFonts w:ascii="Verdana" w:hAnsi="Verdana"/>
          <w:sz w:val="16"/>
          <w:szCs w:val="16"/>
        </w:rPr>
        <w:t>Dit rapport beschrijft een verkennend onderzoek naar het gedrag als financiële consument en de manier van informatie zoeken door jongeren uit Gen Z (geboren 1997–2010).</w:t>
      </w:r>
      <w:r w:rsidR="00AD726F" w:rsidRPr="00E54253">
        <w:rPr>
          <w:rFonts w:ascii="Verdana" w:hAnsi="Verdana"/>
          <w:sz w:val="16"/>
          <w:szCs w:val="16"/>
        </w:rPr>
        <w:t xml:space="preserve"> Zie: </w:t>
      </w:r>
      <w:hyperlink r:id="rId9" w:history="1">
        <w:r w:rsidR="00AD726F" w:rsidRPr="00E54253">
          <w:rPr>
            <w:rStyle w:val="Hyperlink"/>
            <w:rFonts w:ascii="Verdana" w:hAnsi="Verdana"/>
            <w:color w:val="auto"/>
            <w:sz w:val="16"/>
            <w:szCs w:val="16"/>
            <w:u w:val="none"/>
          </w:rPr>
          <w:t>https://www.afm.nl/~/profmedia/files/rapporten/2025/rapport-afm-genz.pdf</w:t>
        </w:r>
      </w:hyperlink>
      <w:r w:rsidR="00F6612C" w:rsidRPr="00E54253">
        <w:rPr>
          <w:rFonts w:ascii="Verdana" w:hAnsi="Verdana"/>
          <w:sz w:val="16"/>
          <w:szCs w:val="16"/>
        </w:rPr>
        <w:t xml:space="preserve"> </w:t>
      </w:r>
    </w:p>
  </w:footnote>
  <w:footnote w:id="25">
    <w:p w14:paraId="305EADFC" w14:textId="5A2BCD67" w:rsidR="00A07AD8" w:rsidRPr="00E54253" w:rsidRDefault="00A07AD8">
      <w:pPr>
        <w:pStyle w:val="Voetnoottekst"/>
        <w:rPr>
          <w:rFonts w:ascii="Verdana" w:hAnsi="Verdana"/>
          <w:sz w:val="16"/>
          <w:szCs w:val="16"/>
        </w:rPr>
      </w:pPr>
      <w:r w:rsidRPr="00E54253">
        <w:rPr>
          <w:rStyle w:val="Voetnootmarkering"/>
          <w:rFonts w:ascii="Verdana" w:hAnsi="Verdana"/>
          <w:sz w:val="16"/>
          <w:szCs w:val="16"/>
        </w:rPr>
        <w:footnoteRef/>
      </w:r>
      <w:r w:rsidRPr="00E54253">
        <w:rPr>
          <w:rFonts w:ascii="Verdana" w:hAnsi="Verdana"/>
          <w:sz w:val="16"/>
          <w:szCs w:val="16"/>
        </w:rPr>
        <w:t xml:space="preserve"> </w:t>
      </w:r>
      <w:hyperlink r:id="rId10" w:history="1">
        <w:r w:rsidR="00AD726F" w:rsidRPr="00E54253">
          <w:rPr>
            <w:rStyle w:val="Hyperlink"/>
            <w:rFonts w:ascii="Verdana" w:hAnsi="Verdana"/>
            <w:color w:val="auto"/>
            <w:sz w:val="16"/>
            <w:szCs w:val="16"/>
            <w:u w:val="none"/>
          </w:rPr>
          <w:t>https://www.wijzeringeldzaken.nl/platform-wijzeringeldzaken/publicaties/7199-wig-nib-rapport-financieel-kwetsbaar-def.pdf</w:t>
        </w:r>
      </w:hyperlink>
      <w:r w:rsidR="00AD726F" w:rsidRPr="00E54253">
        <w:rPr>
          <w:rFonts w:ascii="Verdana" w:hAnsi="Verdana"/>
          <w:sz w:val="16"/>
          <w:szCs w:val="16"/>
        </w:rPr>
        <w:t xml:space="preserve"> </w:t>
      </w:r>
    </w:p>
  </w:footnote>
  <w:footnote w:id="26">
    <w:p w14:paraId="3F2E3215" w14:textId="4AF755DB" w:rsidR="00527D70" w:rsidRPr="009B569A" w:rsidRDefault="00527D70">
      <w:pPr>
        <w:pStyle w:val="Voetnoottekst"/>
        <w:rPr>
          <w:rFonts w:ascii="Verdana" w:hAnsi="Verdana"/>
          <w:sz w:val="16"/>
          <w:szCs w:val="16"/>
        </w:rPr>
      </w:pPr>
      <w:bookmarkStart w:id="11" w:name="_Hlk218699655"/>
      <w:r w:rsidRPr="00E54253">
        <w:rPr>
          <w:rStyle w:val="Voetnootmarkering"/>
          <w:rFonts w:ascii="Verdana" w:hAnsi="Verdana"/>
          <w:sz w:val="16"/>
          <w:szCs w:val="16"/>
        </w:rPr>
        <w:footnoteRef/>
      </w:r>
      <w:r w:rsidRPr="00E54253">
        <w:rPr>
          <w:rFonts w:ascii="Verdana" w:hAnsi="Verdana"/>
          <w:sz w:val="16"/>
          <w:szCs w:val="16"/>
        </w:rPr>
        <w:t xml:space="preserve"> Kamerstuk II, 2023/2024, 27 879, nr. 95.</w:t>
      </w:r>
      <w:bookmarkEnd w:id="1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3930"/>
    <w:multiLevelType w:val="multilevel"/>
    <w:tmpl w:val="2BF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2466B"/>
    <w:multiLevelType w:val="hybridMultilevel"/>
    <w:tmpl w:val="8F38BF42"/>
    <w:lvl w:ilvl="0" w:tplc="A602389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D6227C"/>
    <w:multiLevelType w:val="hybridMultilevel"/>
    <w:tmpl w:val="355A13B8"/>
    <w:lvl w:ilvl="0" w:tplc="F4A4FF7A">
      <w:start w:val="1"/>
      <w:numFmt w:val="bullet"/>
      <w:lvlText w:val=""/>
      <w:lvlJc w:val="left"/>
      <w:pPr>
        <w:ind w:left="720" w:hanging="360"/>
      </w:pPr>
      <w:rPr>
        <w:rFonts w:ascii="Symbol" w:hAnsi="Symbol"/>
      </w:rPr>
    </w:lvl>
    <w:lvl w:ilvl="1" w:tplc="96E20126">
      <w:start w:val="1"/>
      <w:numFmt w:val="bullet"/>
      <w:lvlText w:val=""/>
      <w:lvlJc w:val="left"/>
      <w:pPr>
        <w:ind w:left="720" w:hanging="360"/>
      </w:pPr>
      <w:rPr>
        <w:rFonts w:ascii="Symbol" w:hAnsi="Symbol"/>
      </w:rPr>
    </w:lvl>
    <w:lvl w:ilvl="2" w:tplc="5A366174">
      <w:start w:val="1"/>
      <w:numFmt w:val="bullet"/>
      <w:lvlText w:val=""/>
      <w:lvlJc w:val="left"/>
      <w:pPr>
        <w:ind w:left="720" w:hanging="360"/>
      </w:pPr>
      <w:rPr>
        <w:rFonts w:ascii="Symbol" w:hAnsi="Symbol"/>
      </w:rPr>
    </w:lvl>
    <w:lvl w:ilvl="3" w:tplc="3522DFF0">
      <w:start w:val="1"/>
      <w:numFmt w:val="bullet"/>
      <w:lvlText w:val=""/>
      <w:lvlJc w:val="left"/>
      <w:pPr>
        <w:ind w:left="720" w:hanging="360"/>
      </w:pPr>
      <w:rPr>
        <w:rFonts w:ascii="Symbol" w:hAnsi="Symbol"/>
      </w:rPr>
    </w:lvl>
    <w:lvl w:ilvl="4" w:tplc="ACD03772">
      <w:start w:val="1"/>
      <w:numFmt w:val="bullet"/>
      <w:lvlText w:val=""/>
      <w:lvlJc w:val="left"/>
      <w:pPr>
        <w:ind w:left="720" w:hanging="360"/>
      </w:pPr>
      <w:rPr>
        <w:rFonts w:ascii="Symbol" w:hAnsi="Symbol"/>
      </w:rPr>
    </w:lvl>
    <w:lvl w:ilvl="5" w:tplc="8AE62AAA">
      <w:start w:val="1"/>
      <w:numFmt w:val="bullet"/>
      <w:lvlText w:val=""/>
      <w:lvlJc w:val="left"/>
      <w:pPr>
        <w:ind w:left="720" w:hanging="360"/>
      </w:pPr>
      <w:rPr>
        <w:rFonts w:ascii="Symbol" w:hAnsi="Symbol"/>
      </w:rPr>
    </w:lvl>
    <w:lvl w:ilvl="6" w:tplc="2F80CC80">
      <w:start w:val="1"/>
      <w:numFmt w:val="bullet"/>
      <w:lvlText w:val=""/>
      <w:lvlJc w:val="left"/>
      <w:pPr>
        <w:ind w:left="720" w:hanging="360"/>
      </w:pPr>
      <w:rPr>
        <w:rFonts w:ascii="Symbol" w:hAnsi="Symbol"/>
      </w:rPr>
    </w:lvl>
    <w:lvl w:ilvl="7" w:tplc="DE90FEF2">
      <w:start w:val="1"/>
      <w:numFmt w:val="bullet"/>
      <w:lvlText w:val=""/>
      <w:lvlJc w:val="left"/>
      <w:pPr>
        <w:ind w:left="720" w:hanging="360"/>
      </w:pPr>
      <w:rPr>
        <w:rFonts w:ascii="Symbol" w:hAnsi="Symbol"/>
      </w:rPr>
    </w:lvl>
    <w:lvl w:ilvl="8" w:tplc="1ED2DB1C">
      <w:start w:val="1"/>
      <w:numFmt w:val="bullet"/>
      <w:lvlText w:val=""/>
      <w:lvlJc w:val="left"/>
      <w:pPr>
        <w:ind w:left="720" w:hanging="360"/>
      </w:pPr>
      <w:rPr>
        <w:rFonts w:ascii="Symbol" w:hAnsi="Symbol"/>
      </w:rPr>
    </w:lvl>
  </w:abstractNum>
  <w:abstractNum w:abstractNumId="3" w15:restartNumberingAfterBreak="0">
    <w:nsid w:val="386C4B30"/>
    <w:multiLevelType w:val="hybridMultilevel"/>
    <w:tmpl w:val="0164944A"/>
    <w:lvl w:ilvl="0" w:tplc="613259EE">
      <w:numFmt w:val="bullet"/>
      <w:lvlText w:val=""/>
      <w:lvlJc w:val="left"/>
      <w:pPr>
        <w:ind w:left="720" w:hanging="360"/>
      </w:pPr>
      <w:rPr>
        <w:rFonts w:ascii="Wingdings" w:eastAsia="Times New Roman" w:hAnsi="Wingdings" w:cs="Times New Roman" w:hint="default"/>
        <w:color w:val="44546A"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262166"/>
    <w:multiLevelType w:val="hybridMultilevel"/>
    <w:tmpl w:val="CC94E1B6"/>
    <w:lvl w:ilvl="0" w:tplc="4946808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43184B"/>
    <w:multiLevelType w:val="hybridMultilevel"/>
    <w:tmpl w:val="31562E2E"/>
    <w:lvl w:ilvl="0" w:tplc="0F406170">
      <w:start w:val="1"/>
      <w:numFmt w:val="bullet"/>
      <w:lvlText w:val=""/>
      <w:lvlJc w:val="left"/>
      <w:pPr>
        <w:ind w:left="1440" w:hanging="360"/>
      </w:pPr>
      <w:rPr>
        <w:rFonts w:ascii="Symbol" w:hAnsi="Symbol"/>
      </w:rPr>
    </w:lvl>
    <w:lvl w:ilvl="1" w:tplc="8F54F0F8">
      <w:start w:val="1"/>
      <w:numFmt w:val="bullet"/>
      <w:lvlText w:val=""/>
      <w:lvlJc w:val="left"/>
      <w:pPr>
        <w:ind w:left="1440" w:hanging="360"/>
      </w:pPr>
      <w:rPr>
        <w:rFonts w:ascii="Symbol" w:hAnsi="Symbol"/>
      </w:rPr>
    </w:lvl>
    <w:lvl w:ilvl="2" w:tplc="07DA70CC">
      <w:start w:val="1"/>
      <w:numFmt w:val="bullet"/>
      <w:lvlText w:val=""/>
      <w:lvlJc w:val="left"/>
      <w:pPr>
        <w:ind w:left="1440" w:hanging="360"/>
      </w:pPr>
      <w:rPr>
        <w:rFonts w:ascii="Symbol" w:hAnsi="Symbol"/>
      </w:rPr>
    </w:lvl>
    <w:lvl w:ilvl="3" w:tplc="C82AA73C">
      <w:start w:val="1"/>
      <w:numFmt w:val="bullet"/>
      <w:lvlText w:val=""/>
      <w:lvlJc w:val="left"/>
      <w:pPr>
        <w:ind w:left="1440" w:hanging="360"/>
      </w:pPr>
      <w:rPr>
        <w:rFonts w:ascii="Symbol" w:hAnsi="Symbol"/>
      </w:rPr>
    </w:lvl>
    <w:lvl w:ilvl="4" w:tplc="575A6DC2">
      <w:start w:val="1"/>
      <w:numFmt w:val="bullet"/>
      <w:lvlText w:val=""/>
      <w:lvlJc w:val="left"/>
      <w:pPr>
        <w:ind w:left="1440" w:hanging="360"/>
      </w:pPr>
      <w:rPr>
        <w:rFonts w:ascii="Symbol" w:hAnsi="Symbol"/>
      </w:rPr>
    </w:lvl>
    <w:lvl w:ilvl="5" w:tplc="248EBC98">
      <w:start w:val="1"/>
      <w:numFmt w:val="bullet"/>
      <w:lvlText w:val=""/>
      <w:lvlJc w:val="left"/>
      <w:pPr>
        <w:ind w:left="1440" w:hanging="360"/>
      </w:pPr>
      <w:rPr>
        <w:rFonts w:ascii="Symbol" w:hAnsi="Symbol"/>
      </w:rPr>
    </w:lvl>
    <w:lvl w:ilvl="6" w:tplc="87D21C66">
      <w:start w:val="1"/>
      <w:numFmt w:val="bullet"/>
      <w:lvlText w:val=""/>
      <w:lvlJc w:val="left"/>
      <w:pPr>
        <w:ind w:left="1440" w:hanging="360"/>
      </w:pPr>
      <w:rPr>
        <w:rFonts w:ascii="Symbol" w:hAnsi="Symbol"/>
      </w:rPr>
    </w:lvl>
    <w:lvl w:ilvl="7" w:tplc="C204C138">
      <w:start w:val="1"/>
      <w:numFmt w:val="bullet"/>
      <w:lvlText w:val=""/>
      <w:lvlJc w:val="left"/>
      <w:pPr>
        <w:ind w:left="1440" w:hanging="360"/>
      </w:pPr>
      <w:rPr>
        <w:rFonts w:ascii="Symbol" w:hAnsi="Symbol"/>
      </w:rPr>
    </w:lvl>
    <w:lvl w:ilvl="8" w:tplc="19EAAEC4">
      <w:start w:val="1"/>
      <w:numFmt w:val="bullet"/>
      <w:lvlText w:val=""/>
      <w:lvlJc w:val="left"/>
      <w:pPr>
        <w:ind w:left="1440" w:hanging="360"/>
      </w:pPr>
      <w:rPr>
        <w:rFonts w:ascii="Symbol" w:hAnsi="Symbol"/>
      </w:rPr>
    </w:lvl>
  </w:abstractNum>
  <w:abstractNum w:abstractNumId="6" w15:restartNumberingAfterBreak="0">
    <w:nsid w:val="6FFF64DE"/>
    <w:multiLevelType w:val="hybridMultilevel"/>
    <w:tmpl w:val="AB7060EC"/>
    <w:lvl w:ilvl="0" w:tplc="1A1288E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71F2B0D"/>
    <w:multiLevelType w:val="hybridMultilevel"/>
    <w:tmpl w:val="B562FF92"/>
    <w:lvl w:ilvl="0" w:tplc="09D47988">
      <w:start w:val="1"/>
      <w:numFmt w:val="decimal"/>
      <w:lvlText w:val="%1."/>
      <w:lvlJc w:val="left"/>
      <w:pPr>
        <w:ind w:left="1020" w:hanging="360"/>
      </w:pPr>
    </w:lvl>
    <w:lvl w:ilvl="1" w:tplc="F962D372">
      <w:start w:val="1"/>
      <w:numFmt w:val="decimal"/>
      <w:lvlText w:val="%2."/>
      <w:lvlJc w:val="left"/>
      <w:pPr>
        <w:ind w:left="1020" w:hanging="360"/>
      </w:pPr>
    </w:lvl>
    <w:lvl w:ilvl="2" w:tplc="7CAC41F0">
      <w:start w:val="1"/>
      <w:numFmt w:val="decimal"/>
      <w:lvlText w:val="%3."/>
      <w:lvlJc w:val="left"/>
      <w:pPr>
        <w:ind w:left="1020" w:hanging="360"/>
      </w:pPr>
    </w:lvl>
    <w:lvl w:ilvl="3" w:tplc="09508E4A">
      <w:start w:val="1"/>
      <w:numFmt w:val="decimal"/>
      <w:lvlText w:val="%4."/>
      <w:lvlJc w:val="left"/>
      <w:pPr>
        <w:ind w:left="1020" w:hanging="360"/>
      </w:pPr>
    </w:lvl>
    <w:lvl w:ilvl="4" w:tplc="43B61012">
      <w:start w:val="1"/>
      <w:numFmt w:val="decimal"/>
      <w:lvlText w:val="%5."/>
      <w:lvlJc w:val="left"/>
      <w:pPr>
        <w:ind w:left="1020" w:hanging="360"/>
      </w:pPr>
    </w:lvl>
    <w:lvl w:ilvl="5" w:tplc="C7AA7750">
      <w:start w:val="1"/>
      <w:numFmt w:val="decimal"/>
      <w:lvlText w:val="%6."/>
      <w:lvlJc w:val="left"/>
      <w:pPr>
        <w:ind w:left="1020" w:hanging="360"/>
      </w:pPr>
    </w:lvl>
    <w:lvl w:ilvl="6" w:tplc="B8E4BB72">
      <w:start w:val="1"/>
      <w:numFmt w:val="decimal"/>
      <w:lvlText w:val="%7."/>
      <w:lvlJc w:val="left"/>
      <w:pPr>
        <w:ind w:left="1020" w:hanging="360"/>
      </w:pPr>
    </w:lvl>
    <w:lvl w:ilvl="7" w:tplc="B002C884">
      <w:start w:val="1"/>
      <w:numFmt w:val="decimal"/>
      <w:lvlText w:val="%8."/>
      <w:lvlJc w:val="left"/>
      <w:pPr>
        <w:ind w:left="1020" w:hanging="360"/>
      </w:pPr>
    </w:lvl>
    <w:lvl w:ilvl="8" w:tplc="017AEBE2">
      <w:start w:val="1"/>
      <w:numFmt w:val="decimal"/>
      <w:lvlText w:val="%9."/>
      <w:lvlJc w:val="left"/>
      <w:pPr>
        <w:ind w:left="1020" w:hanging="360"/>
      </w:pPr>
    </w:lvl>
  </w:abstractNum>
  <w:abstractNum w:abstractNumId="10" w15:restartNumberingAfterBreak="0">
    <w:nsid w:val="79034783"/>
    <w:multiLevelType w:val="multilevel"/>
    <w:tmpl w:val="58D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7CD556DF"/>
    <w:multiLevelType w:val="hybridMultilevel"/>
    <w:tmpl w:val="D576C494"/>
    <w:lvl w:ilvl="0" w:tplc="4B3A71A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645008026">
    <w:abstractNumId w:val="7"/>
  </w:num>
  <w:num w:numId="2" w16cid:durableId="1928341769">
    <w:abstractNumId w:val="13"/>
  </w:num>
  <w:num w:numId="3" w16cid:durableId="1123117647">
    <w:abstractNumId w:val="8"/>
  </w:num>
  <w:num w:numId="4" w16cid:durableId="636641377">
    <w:abstractNumId w:val="11"/>
  </w:num>
  <w:num w:numId="5" w16cid:durableId="171770563">
    <w:abstractNumId w:val="10"/>
  </w:num>
  <w:num w:numId="6" w16cid:durableId="1812476424">
    <w:abstractNumId w:val="0"/>
  </w:num>
  <w:num w:numId="7" w16cid:durableId="1638294429">
    <w:abstractNumId w:val="3"/>
  </w:num>
  <w:num w:numId="8" w16cid:durableId="1179075916">
    <w:abstractNumId w:val="4"/>
  </w:num>
  <w:num w:numId="9" w16cid:durableId="847914560">
    <w:abstractNumId w:val="6"/>
  </w:num>
  <w:num w:numId="10" w16cid:durableId="2113472656">
    <w:abstractNumId w:val="12"/>
  </w:num>
  <w:num w:numId="11" w16cid:durableId="1703434044">
    <w:abstractNumId w:val="9"/>
  </w:num>
  <w:num w:numId="12" w16cid:durableId="1801417504">
    <w:abstractNumId w:val="1"/>
  </w:num>
  <w:num w:numId="13" w16cid:durableId="2145199445">
    <w:abstractNumId w:val="5"/>
  </w:num>
  <w:num w:numId="14" w16cid:durableId="614825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54F4"/>
    <w:rsid w:val="00005558"/>
    <w:rsid w:val="00013351"/>
    <w:rsid w:val="00014786"/>
    <w:rsid w:val="000318B7"/>
    <w:rsid w:val="000323FD"/>
    <w:rsid w:val="00034131"/>
    <w:rsid w:val="00034230"/>
    <w:rsid w:val="000355A1"/>
    <w:rsid w:val="00037F49"/>
    <w:rsid w:val="0004051C"/>
    <w:rsid w:val="000462E2"/>
    <w:rsid w:val="0005111C"/>
    <w:rsid w:val="00051353"/>
    <w:rsid w:val="00051E41"/>
    <w:rsid w:val="00052E5C"/>
    <w:rsid w:val="0006547A"/>
    <w:rsid w:val="00072EE6"/>
    <w:rsid w:val="000734E6"/>
    <w:rsid w:val="00076A46"/>
    <w:rsid w:val="0008148B"/>
    <w:rsid w:val="0008370D"/>
    <w:rsid w:val="00086549"/>
    <w:rsid w:val="000A049B"/>
    <w:rsid w:val="000A43A1"/>
    <w:rsid w:val="000B3E77"/>
    <w:rsid w:val="000B558C"/>
    <w:rsid w:val="000C081F"/>
    <w:rsid w:val="000C2C70"/>
    <w:rsid w:val="000C2D80"/>
    <w:rsid w:val="000C4428"/>
    <w:rsid w:val="000C714B"/>
    <w:rsid w:val="000D3E4A"/>
    <w:rsid w:val="000D444F"/>
    <w:rsid w:val="000D52C7"/>
    <w:rsid w:val="000E1939"/>
    <w:rsid w:val="000E5ECE"/>
    <w:rsid w:val="000E63C4"/>
    <w:rsid w:val="000F1DD1"/>
    <w:rsid w:val="000F2F99"/>
    <w:rsid w:val="000F6038"/>
    <w:rsid w:val="000F7DD3"/>
    <w:rsid w:val="001006C9"/>
    <w:rsid w:val="00107610"/>
    <w:rsid w:val="00111681"/>
    <w:rsid w:val="00115A3F"/>
    <w:rsid w:val="001222D1"/>
    <w:rsid w:val="00130F0B"/>
    <w:rsid w:val="0013495C"/>
    <w:rsid w:val="0013498F"/>
    <w:rsid w:val="00141BE0"/>
    <w:rsid w:val="001421E9"/>
    <w:rsid w:val="00144093"/>
    <w:rsid w:val="001452A5"/>
    <w:rsid w:val="00147B68"/>
    <w:rsid w:val="001508E2"/>
    <w:rsid w:val="0016329B"/>
    <w:rsid w:val="0016359F"/>
    <w:rsid w:val="001654EB"/>
    <w:rsid w:val="00166D09"/>
    <w:rsid w:val="0017077E"/>
    <w:rsid w:val="00171E4A"/>
    <w:rsid w:val="0017254E"/>
    <w:rsid w:val="00177419"/>
    <w:rsid w:val="00180BAD"/>
    <w:rsid w:val="00180FCB"/>
    <w:rsid w:val="001835B5"/>
    <w:rsid w:val="00183906"/>
    <w:rsid w:val="00184B31"/>
    <w:rsid w:val="00186F95"/>
    <w:rsid w:val="001875AC"/>
    <w:rsid w:val="00187BD1"/>
    <w:rsid w:val="001953A8"/>
    <w:rsid w:val="0019691B"/>
    <w:rsid w:val="001A0777"/>
    <w:rsid w:val="001B1222"/>
    <w:rsid w:val="001C1115"/>
    <w:rsid w:val="001C41BE"/>
    <w:rsid w:val="001D49FE"/>
    <w:rsid w:val="001D681E"/>
    <w:rsid w:val="001D6AF6"/>
    <w:rsid w:val="001E6EAD"/>
    <w:rsid w:val="001E6F15"/>
    <w:rsid w:val="001F0533"/>
    <w:rsid w:val="001F0B0F"/>
    <w:rsid w:val="001F15E4"/>
    <w:rsid w:val="001F1841"/>
    <w:rsid w:val="002008EE"/>
    <w:rsid w:val="00203DCD"/>
    <w:rsid w:val="00206552"/>
    <w:rsid w:val="00210BD1"/>
    <w:rsid w:val="002200C0"/>
    <w:rsid w:val="00220253"/>
    <w:rsid w:val="00221609"/>
    <w:rsid w:val="00226CF8"/>
    <w:rsid w:val="00230B54"/>
    <w:rsid w:val="00235C8D"/>
    <w:rsid w:val="00257472"/>
    <w:rsid w:val="00257798"/>
    <w:rsid w:val="00272D5C"/>
    <w:rsid w:val="0027300A"/>
    <w:rsid w:val="00281A82"/>
    <w:rsid w:val="0028546D"/>
    <w:rsid w:val="00294CC4"/>
    <w:rsid w:val="00295116"/>
    <w:rsid w:val="002969EF"/>
    <w:rsid w:val="002A21A3"/>
    <w:rsid w:val="002B1F2E"/>
    <w:rsid w:val="002B2E97"/>
    <w:rsid w:val="002B3047"/>
    <w:rsid w:val="002B6301"/>
    <w:rsid w:val="002B7BB3"/>
    <w:rsid w:val="002C0B49"/>
    <w:rsid w:val="002C2707"/>
    <w:rsid w:val="002C53E8"/>
    <w:rsid w:val="002C5C6A"/>
    <w:rsid w:val="002D0061"/>
    <w:rsid w:val="002D06A2"/>
    <w:rsid w:val="002D11DA"/>
    <w:rsid w:val="002D3A29"/>
    <w:rsid w:val="002E016F"/>
    <w:rsid w:val="002E0520"/>
    <w:rsid w:val="002E1290"/>
    <w:rsid w:val="002E2E72"/>
    <w:rsid w:val="002E40D1"/>
    <w:rsid w:val="002E5C02"/>
    <w:rsid w:val="002F150B"/>
    <w:rsid w:val="002F2507"/>
    <w:rsid w:val="002F3FCC"/>
    <w:rsid w:val="002F4143"/>
    <w:rsid w:val="00302C47"/>
    <w:rsid w:val="00307170"/>
    <w:rsid w:val="003151A5"/>
    <w:rsid w:val="00320A2A"/>
    <w:rsid w:val="003234D6"/>
    <w:rsid w:val="003245E5"/>
    <w:rsid w:val="00330675"/>
    <w:rsid w:val="003326E9"/>
    <w:rsid w:val="003340C2"/>
    <w:rsid w:val="00345312"/>
    <w:rsid w:val="00345785"/>
    <w:rsid w:val="00346019"/>
    <w:rsid w:val="00351BF2"/>
    <w:rsid w:val="003605D5"/>
    <w:rsid w:val="00360D1A"/>
    <w:rsid w:val="00361B5C"/>
    <w:rsid w:val="003623CC"/>
    <w:rsid w:val="00367C40"/>
    <w:rsid w:val="003711A2"/>
    <w:rsid w:val="00372027"/>
    <w:rsid w:val="00393435"/>
    <w:rsid w:val="00396437"/>
    <w:rsid w:val="003A2C24"/>
    <w:rsid w:val="003A3C47"/>
    <w:rsid w:val="003A3CF5"/>
    <w:rsid w:val="003A65DE"/>
    <w:rsid w:val="003B265B"/>
    <w:rsid w:val="003B582B"/>
    <w:rsid w:val="003B603F"/>
    <w:rsid w:val="003B75CF"/>
    <w:rsid w:val="003B7B12"/>
    <w:rsid w:val="003C4BB3"/>
    <w:rsid w:val="003D0B9B"/>
    <w:rsid w:val="003D162F"/>
    <w:rsid w:val="003D2587"/>
    <w:rsid w:val="003D2988"/>
    <w:rsid w:val="003D6B44"/>
    <w:rsid w:val="003E2FE9"/>
    <w:rsid w:val="003E6593"/>
    <w:rsid w:val="003E7ED1"/>
    <w:rsid w:val="003F0BA3"/>
    <w:rsid w:val="003F198A"/>
    <w:rsid w:val="003F75A1"/>
    <w:rsid w:val="004065C2"/>
    <w:rsid w:val="0041219A"/>
    <w:rsid w:val="00416484"/>
    <w:rsid w:val="00421F6C"/>
    <w:rsid w:val="00426F2E"/>
    <w:rsid w:val="00427159"/>
    <w:rsid w:val="00443A68"/>
    <w:rsid w:val="0044717C"/>
    <w:rsid w:val="004533F6"/>
    <w:rsid w:val="00454480"/>
    <w:rsid w:val="00454F5B"/>
    <w:rsid w:val="004557B9"/>
    <w:rsid w:val="00476151"/>
    <w:rsid w:val="00480919"/>
    <w:rsid w:val="004866AC"/>
    <w:rsid w:val="00497355"/>
    <w:rsid w:val="004A08F4"/>
    <w:rsid w:val="004A1BD5"/>
    <w:rsid w:val="004A5232"/>
    <w:rsid w:val="004B311A"/>
    <w:rsid w:val="004C2CE1"/>
    <w:rsid w:val="004C49BD"/>
    <w:rsid w:val="004C6A96"/>
    <w:rsid w:val="004D0CC4"/>
    <w:rsid w:val="004D0ECB"/>
    <w:rsid w:val="004D4D74"/>
    <w:rsid w:val="004D5016"/>
    <w:rsid w:val="004D65CD"/>
    <w:rsid w:val="004D7D8D"/>
    <w:rsid w:val="004E41C5"/>
    <w:rsid w:val="004E4252"/>
    <w:rsid w:val="004E73C6"/>
    <w:rsid w:val="004F3BFB"/>
    <w:rsid w:val="004F7AB1"/>
    <w:rsid w:val="004F7AC5"/>
    <w:rsid w:val="00501556"/>
    <w:rsid w:val="005031A7"/>
    <w:rsid w:val="0050486D"/>
    <w:rsid w:val="00515DB8"/>
    <w:rsid w:val="0052080E"/>
    <w:rsid w:val="00527D70"/>
    <w:rsid w:val="005339DB"/>
    <w:rsid w:val="00535D48"/>
    <w:rsid w:val="005415D9"/>
    <w:rsid w:val="00543D58"/>
    <w:rsid w:val="00544A84"/>
    <w:rsid w:val="005461C0"/>
    <w:rsid w:val="00547FB0"/>
    <w:rsid w:val="005530D5"/>
    <w:rsid w:val="00561C78"/>
    <w:rsid w:val="00562658"/>
    <w:rsid w:val="005635A5"/>
    <w:rsid w:val="00563865"/>
    <w:rsid w:val="00584051"/>
    <w:rsid w:val="0058662D"/>
    <w:rsid w:val="00592695"/>
    <w:rsid w:val="00593751"/>
    <w:rsid w:val="00597961"/>
    <w:rsid w:val="005A4F5C"/>
    <w:rsid w:val="005A68D9"/>
    <w:rsid w:val="005B1660"/>
    <w:rsid w:val="005B247C"/>
    <w:rsid w:val="005B2C16"/>
    <w:rsid w:val="005C08CF"/>
    <w:rsid w:val="005C1121"/>
    <w:rsid w:val="005C164B"/>
    <w:rsid w:val="005C2BC4"/>
    <w:rsid w:val="005C48B9"/>
    <w:rsid w:val="005C7472"/>
    <w:rsid w:val="005D078F"/>
    <w:rsid w:val="005D15EC"/>
    <w:rsid w:val="005D20CE"/>
    <w:rsid w:val="005D2E59"/>
    <w:rsid w:val="005D5A68"/>
    <w:rsid w:val="005D691D"/>
    <w:rsid w:val="005D6F08"/>
    <w:rsid w:val="005E13C5"/>
    <w:rsid w:val="005E3C01"/>
    <w:rsid w:val="005E73C6"/>
    <w:rsid w:val="005F50C8"/>
    <w:rsid w:val="005F729E"/>
    <w:rsid w:val="005F7A8A"/>
    <w:rsid w:val="005F7E43"/>
    <w:rsid w:val="006033DF"/>
    <w:rsid w:val="00604C42"/>
    <w:rsid w:val="00606D52"/>
    <w:rsid w:val="0060744E"/>
    <w:rsid w:val="00611E22"/>
    <w:rsid w:val="00617184"/>
    <w:rsid w:val="00625A4A"/>
    <w:rsid w:val="00626F15"/>
    <w:rsid w:val="0063686D"/>
    <w:rsid w:val="00640B58"/>
    <w:rsid w:val="006467C7"/>
    <w:rsid w:val="00657B74"/>
    <w:rsid w:val="006775E0"/>
    <w:rsid w:val="0068005C"/>
    <w:rsid w:val="00684650"/>
    <w:rsid w:val="00685C48"/>
    <w:rsid w:val="00685DCD"/>
    <w:rsid w:val="00690427"/>
    <w:rsid w:val="00694633"/>
    <w:rsid w:val="006956FF"/>
    <w:rsid w:val="00695D05"/>
    <w:rsid w:val="00697496"/>
    <w:rsid w:val="006A58E3"/>
    <w:rsid w:val="006A69AB"/>
    <w:rsid w:val="006B4001"/>
    <w:rsid w:val="006B5F19"/>
    <w:rsid w:val="006B7DB0"/>
    <w:rsid w:val="006C2351"/>
    <w:rsid w:val="006C274B"/>
    <w:rsid w:val="006C61A3"/>
    <w:rsid w:val="006D0DCD"/>
    <w:rsid w:val="006D3FD4"/>
    <w:rsid w:val="006D7FCB"/>
    <w:rsid w:val="006E3275"/>
    <w:rsid w:val="006E4FCD"/>
    <w:rsid w:val="006E6403"/>
    <w:rsid w:val="006E7D9A"/>
    <w:rsid w:val="006F4E23"/>
    <w:rsid w:val="0070139E"/>
    <w:rsid w:val="007120E9"/>
    <w:rsid w:val="00716DE4"/>
    <w:rsid w:val="00720244"/>
    <w:rsid w:val="00721FAB"/>
    <w:rsid w:val="00726DE2"/>
    <w:rsid w:val="00733F5D"/>
    <w:rsid w:val="0073471E"/>
    <w:rsid w:val="00744E63"/>
    <w:rsid w:val="007455F8"/>
    <w:rsid w:val="00750F53"/>
    <w:rsid w:val="007539F7"/>
    <w:rsid w:val="007570FE"/>
    <w:rsid w:val="007658ED"/>
    <w:rsid w:val="00766CBB"/>
    <w:rsid w:val="00772DF3"/>
    <w:rsid w:val="00777CB2"/>
    <w:rsid w:val="00784FC3"/>
    <w:rsid w:val="00794522"/>
    <w:rsid w:val="007A0181"/>
    <w:rsid w:val="007A0CA8"/>
    <w:rsid w:val="007A49BC"/>
    <w:rsid w:val="007A674D"/>
    <w:rsid w:val="007C635F"/>
    <w:rsid w:val="007D0C2B"/>
    <w:rsid w:val="007D37CD"/>
    <w:rsid w:val="007D3A77"/>
    <w:rsid w:val="007D3BE7"/>
    <w:rsid w:val="007D65E4"/>
    <w:rsid w:val="007E7900"/>
    <w:rsid w:val="007E7E63"/>
    <w:rsid w:val="007F01D2"/>
    <w:rsid w:val="007F2292"/>
    <w:rsid w:val="008010AF"/>
    <w:rsid w:val="008045E3"/>
    <w:rsid w:val="00810FC0"/>
    <w:rsid w:val="00811ED5"/>
    <w:rsid w:val="008274BC"/>
    <w:rsid w:val="008356B7"/>
    <w:rsid w:val="00843853"/>
    <w:rsid w:val="00847536"/>
    <w:rsid w:val="00852511"/>
    <w:rsid w:val="0085371B"/>
    <w:rsid w:val="008542B1"/>
    <w:rsid w:val="00857C2B"/>
    <w:rsid w:val="00857E97"/>
    <w:rsid w:val="0087183B"/>
    <w:rsid w:val="00871F90"/>
    <w:rsid w:val="00871FB4"/>
    <w:rsid w:val="00872445"/>
    <w:rsid w:val="00873AE4"/>
    <w:rsid w:val="00873CB3"/>
    <w:rsid w:val="0087571F"/>
    <w:rsid w:val="008878CB"/>
    <w:rsid w:val="00890559"/>
    <w:rsid w:val="00896ADD"/>
    <w:rsid w:val="008A5121"/>
    <w:rsid w:val="008A57C0"/>
    <w:rsid w:val="008B24F5"/>
    <w:rsid w:val="008B414A"/>
    <w:rsid w:val="008B68E0"/>
    <w:rsid w:val="008B7AF4"/>
    <w:rsid w:val="008C5779"/>
    <w:rsid w:val="008E2E5B"/>
    <w:rsid w:val="008E4AE8"/>
    <w:rsid w:val="008E505F"/>
    <w:rsid w:val="008F0FA9"/>
    <w:rsid w:val="008F2478"/>
    <w:rsid w:val="008F2DDC"/>
    <w:rsid w:val="00900155"/>
    <w:rsid w:val="00900580"/>
    <w:rsid w:val="00902A33"/>
    <w:rsid w:val="00903769"/>
    <w:rsid w:val="009058FC"/>
    <w:rsid w:val="0090642E"/>
    <w:rsid w:val="00920292"/>
    <w:rsid w:val="009227FE"/>
    <w:rsid w:val="00924E81"/>
    <w:rsid w:val="0093648F"/>
    <w:rsid w:val="0094472E"/>
    <w:rsid w:val="00947C94"/>
    <w:rsid w:val="00962D93"/>
    <w:rsid w:val="0096385F"/>
    <w:rsid w:val="009739E7"/>
    <w:rsid w:val="00982A3E"/>
    <w:rsid w:val="00983E5E"/>
    <w:rsid w:val="009910BF"/>
    <w:rsid w:val="00991374"/>
    <w:rsid w:val="00994930"/>
    <w:rsid w:val="009952B0"/>
    <w:rsid w:val="009970C8"/>
    <w:rsid w:val="009A19A7"/>
    <w:rsid w:val="009A39C1"/>
    <w:rsid w:val="009B3498"/>
    <w:rsid w:val="009B3A76"/>
    <w:rsid w:val="009B3DF9"/>
    <w:rsid w:val="009B3ED4"/>
    <w:rsid w:val="009B569A"/>
    <w:rsid w:val="009B7C7A"/>
    <w:rsid w:val="009C09EC"/>
    <w:rsid w:val="009C1472"/>
    <w:rsid w:val="009C47D0"/>
    <w:rsid w:val="009C7EFE"/>
    <w:rsid w:val="009D135A"/>
    <w:rsid w:val="009D1745"/>
    <w:rsid w:val="009D622E"/>
    <w:rsid w:val="009E1FC8"/>
    <w:rsid w:val="009E5782"/>
    <w:rsid w:val="009E5E8E"/>
    <w:rsid w:val="009E613F"/>
    <w:rsid w:val="009E6418"/>
    <w:rsid w:val="00A03ED9"/>
    <w:rsid w:val="00A06063"/>
    <w:rsid w:val="00A062F1"/>
    <w:rsid w:val="00A07AD8"/>
    <w:rsid w:val="00A10ECB"/>
    <w:rsid w:val="00A11249"/>
    <w:rsid w:val="00A1492F"/>
    <w:rsid w:val="00A24C26"/>
    <w:rsid w:val="00A34664"/>
    <w:rsid w:val="00A34B8B"/>
    <w:rsid w:val="00A37416"/>
    <w:rsid w:val="00A43E5B"/>
    <w:rsid w:val="00A637A4"/>
    <w:rsid w:val="00A66029"/>
    <w:rsid w:val="00A663AA"/>
    <w:rsid w:val="00A72A8E"/>
    <w:rsid w:val="00A75565"/>
    <w:rsid w:val="00A76666"/>
    <w:rsid w:val="00A81371"/>
    <w:rsid w:val="00A9525A"/>
    <w:rsid w:val="00AA01F6"/>
    <w:rsid w:val="00AB25CA"/>
    <w:rsid w:val="00AB423C"/>
    <w:rsid w:val="00AC047D"/>
    <w:rsid w:val="00AD726F"/>
    <w:rsid w:val="00AE598E"/>
    <w:rsid w:val="00AE6224"/>
    <w:rsid w:val="00AE6397"/>
    <w:rsid w:val="00B001E2"/>
    <w:rsid w:val="00B0233A"/>
    <w:rsid w:val="00B162F4"/>
    <w:rsid w:val="00B450E9"/>
    <w:rsid w:val="00B57546"/>
    <w:rsid w:val="00B62C28"/>
    <w:rsid w:val="00B62CE9"/>
    <w:rsid w:val="00B65D46"/>
    <w:rsid w:val="00B70006"/>
    <w:rsid w:val="00B76422"/>
    <w:rsid w:val="00B844CA"/>
    <w:rsid w:val="00B928B2"/>
    <w:rsid w:val="00B93DB7"/>
    <w:rsid w:val="00BA59B4"/>
    <w:rsid w:val="00BA62B1"/>
    <w:rsid w:val="00BB0357"/>
    <w:rsid w:val="00BB7EE0"/>
    <w:rsid w:val="00BC0524"/>
    <w:rsid w:val="00BC279D"/>
    <w:rsid w:val="00BD00AB"/>
    <w:rsid w:val="00BD170D"/>
    <w:rsid w:val="00BD24DE"/>
    <w:rsid w:val="00BD28F1"/>
    <w:rsid w:val="00BE2F84"/>
    <w:rsid w:val="00BE4FE2"/>
    <w:rsid w:val="00BE6380"/>
    <w:rsid w:val="00C008E3"/>
    <w:rsid w:val="00C00CAF"/>
    <w:rsid w:val="00C11F61"/>
    <w:rsid w:val="00C157DA"/>
    <w:rsid w:val="00C16394"/>
    <w:rsid w:val="00C20EE5"/>
    <w:rsid w:val="00C223FA"/>
    <w:rsid w:val="00C251B2"/>
    <w:rsid w:val="00C300DE"/>
    <w:rsid w:val="00C353E5"/>
    <w:rsid w:val="00C6233A"/>
    <w:rsid w:val="00C6369D"/>
    <w:rsid w:val="00C66491"/>
    <w:rsid w:val="00C673CE"/>
    <w:rsid w:val="00C7134F"/>
    <w:rsid w:val="00C769D2"/>
    <w:rsid w:val="00C87D15"/>
    <w:rsid w:val="00C93EA4"/>
    <w:rsid w:val="00C94C43"/>
    <w:rsid w:val="00C956FD"/>
    <w:rsid w:val="00C97747"/>
    <w:rsid w:val="00C97DB6"/>
    <w:rsid w:val="00CA4C7A"/>
    <w:rsid w:val="00CA70D1"/>
    <w:rsid w:val="00CA79D3"/>
    <w:rsid w:val="00CB4B57"/>
    <w:rsid w:val="00CC0D12"/>
    <w:rsid w:val="00CC48D2"/>
    <w:rsid w:val="00CC5C03"/>
    <w:rsid w:val="00CD5CB9"/>
    <w:rsid w:val="00CE319B"/>
    <w:rsid w:val="00CE7AC0"/>
    <w:rsid w:val="00CF4536"/>
    <w:rsid w:val="00D051B7"/>
    <w:rsid w:val="00D11502"/>
    <w:rsid w:val="00D11513"/>
    <w:rsid w:val="00D1464D"/>
    <w:rsid w:val="00D17FB1"/>
    <w:rsid w:val="00D20BD9"/>
    <w:rsid w:val="00D21AC5"/>
    <w:rsid w:val="00D26468"/>
    <w:rsid w:val="00D27948"/>
    <w:rsid w:val="00D32D4A"/>
    <w:rsid w:val="00D4378B"/>
    <w:rsid w:val="00D550C8"/>
    <w:rsid w:val="00D56ECC"/>
    <w:rsid w:val="00D57505"/>
    <w:rsid w:val="00D64193"/>
    <w:rsid w:val="00D67C8E"/>
    <w:rsid w:val="00D76B96"/>
    <w:rsid w:val="00D77D1F"/>
    <w:rsid w:val="00D8082A"/>
    <w:rsid w:val="00D80E07"/>
    <w:rsid w:val="00D82609"/>
    <w:rsid w:val="00D83BBC"/>
    <w:rsid w:val="00D8701F"/>
    <w:rsid w:val="00D94B63"/>
    <w:rsid w:val="00D977A4"/>
    <w:rsid w:val="00DA5ECB"/>
    <w:rsid w:val="00DB4DB0"/>
    <w:rsid w:val="00DB59B6"/>
    <w:rsid w:val="00DC20BD"/>
    <w:rsid w:val="00DC5D6B"/>
    <w:rsid w:val="00DC5EC7"/>
    <w:rsid w:val="00DD2105"/>
    <w:rsid w:val="00DD50BC"/>
    <w:rsid w:val="00DE5460"/>
    <w:rsid w:val="00DE5FBB"/>
    <w:rsid w:val="00E019F9"/>
    <w:rsid w:val="00E03D3E"/>
    <w:rsid w:val="00E05EC6"/>
    <w:rsid w:val="00E14A5C"/>
    <w:rsid w:val="00E16CB9"/>
    <w:rsid w:val="00E2248F"/>
    <w:rsid w:val="00E27F44"/>
    <w:rsid w:val="00E33EEA"/>
    <w:rsid w:val="00E41743"/>
    <w:rsid w:val="00E43EE5"/>
    <w:rsid w:val="00E44AAA"/>
    <w:rsid w:val="00E4521B"/>
    <w:rsid w:val="00E5058C"/>
    <w:rsid w:val="00E54253"/>
    <w:rsid w:val="00E54C0E"/>
    <w:rsid w:val="00E60F63"/>
    <w:rsid w:val="00E61E87"/>
    <w:rsid w:val="00E622FD"/>
    <w:rsid w:val="00E62FDC"/>
    <w:rsid w:val="00E669BB"/>
    <w:rsid w:val="00E66CA0"/>
    <w:rsid w:val="00E67538"/>
    <w:rsid w:val="00E715CF"/>
    <w:rsid w:val="00E7255C"/>
    <w:rsid w:val="00E76D21"/>
    <w:rsid w:val="00E86DEC"/>
    <w:rsid w:val="00E873BE"/>
    <w:rsid w:val="00E90F55"/>
    <w:rsid w:val="00E9714D"/>
    <w:rsid w:val="00EA0897"/>
    <w:rsid w:val="00EA17C9"/>
    <w:rsid w:val="00EB0732"/>
    <w:rsid w:val="00EB4D40"/>
    <w:rsid w:val="00EB5A73"/>
    <w:rsid w:val="00EC45A2"/>
    <w:rsid w:val="00EC6EB0"/>
    <w:rsid w:val="00ED16DF"/>
    <w:rsid w:val="00ED4455"/>
    <w:rsid w:val="00ED6217"/>
    <w:rsid w:val="00EE037F"/>
    <w:rsid w:val="00EE0A4F"/>
    <w:rsid w:val="00EE0B6C"/>
    <w:rsid w:val="00EE5E78"/>
    <w:rsid w:val="00EE7F37"/>
    <w:rsid w:val="00EF0EC2"/>
    <w:rsid w:val="00EF1314"/>
    <w:rsid w:val="00EF2549"/>
    <w:rsid w:val="00EF5795"/>
    <w:rsid w:val="00F0029D"/>
    <w:rsid w:val="00F06ABB"/>
    <w:rsid w:val="00F1234F"/>
    <w:rsid w:val="00F12E2C"/>
    <w:rsid w:val="00F141AD"/>
    <w:rsid w:val="00F1551D"/>
    <w:rsid w:val="00F161AC"/>
    <w:rsid w:val="00F21232"/>
    <w:rsid w:val="00F21546"/>
    <w:rsid w:val="00F22F70"/>
    <w:rsid w:val="00F30D27"/>
    <w:rsid w:val="00F3521D"/>
    <w:rsid w:val="00F375C5"/>
    <w:rsid w:val="00F43278"/>
    <w:rsid w:val="00F44975"/>
    <w:rsid w:val="00F44C4F"/>
    <w:rsid w:val="00F474A2"/>
    <w:rsid w:val="00F511F3"/>
    <w:rsid w:val="00F51794"/>
    <w:rsid w:val="00F518F0"/>
    <w:rsid w:val="00F5347D"/>
    <w:rsid w:val="00F545DB"/>
    <w:rsid w:val="00F62FBC"/>
    <w:rsid w:val="00F6612C"/>
    <w:rsid w:val="00F66ACE"/>
    <w:rsid w:val="00F70FA1"/>
    <w:rsid w:val="00F80743"/>
    <w:rsid w:val="00F93601"/>
    <w:rsid w:val="00FA12A6"/>
    <w:rsid w:val="00FA3710"/>
    <w:rsid w:val="00FB1261"/>
    <w:rsid w:val="00FB48A7"/>
    <w:rsid w:val="00FB62FA"/>
    <w:rsid w:val="00FC1274"/>
    <w:rsid w:val="00FC2B06"/>
    <w:rsid w:val="00FD29A1"/>
    <w:rsid w:val="00FD2D07"/>
    <w:rsid w:val="00FE2CD3"/>
    <w:rsid w:val="00FE39BB"/>
    <w:rsid w:val="00FE6863"/>
    <w:rsid w:val="00FF0166"/>
    <w:rsid w:val="00FF4ECD"/>
    <w:rsid w:val="00FF7763"/>
    <w:rsid w:val="72AA68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83538"/>
  <w15:chartTrackingRefBased/>
  <w15:docId w15:val="{CA36E82B-74BB-4514-912B-1DC05DFA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semiHidden/>
    <w:unhideWhenUsed/>
    <w:qFormat/>
    <w:rsid w:val="00BE2F8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Nadruk">
    <w:name w:val="Emphasis"/>
    <w:uiPriority w:val="20"/>
    <w:qFormat/>
    <w:rsid w:val="005F729E"/>
    <w:rPr>
      <w:i/>
      <w:iCs/>
    </w:rPr>
  </w:style>
  <w:style w:type="character" w:styleId="Verwijzingopmerking">
    <w:name w:val="annotation reference"/>
    <w:rsid w:val="008B68E0"/>
    <w:rPr>
      <w:sz w:val="16"/>
      <w:szCs w:val="16"/>
    </w:rPr>
  </w:style>
  <w:style w:type="paragraph" w:styleId="Tekstopmerking">
    <w:name w:val="annotation text"/>
    <w:basedOn w:val="Standaard"/>
    <w:link w:val="TekstopmerkingChar"/>
    <w:rsid w:val="008B68E0"/>
    <w:rPr>
      <w:sz w:val="20"/>
    </w:rPr>
  </w:style>
  <w:style w:type="character" w:customStyle="1" w:styleId="TekstopmerkingChar">
    <w:name w:val="Tekst opmerking Char"/>
    <w:basedOn w:val="Standaardalinea-lettertype"/>
    <w:link w:val="Tekstopmerking"/>
    <w:rsid w:val="008B68E0"/>
  </w:style>
  <w:style w:type="paragraph" w:styleId="Onderwerpvanopmerking">
    <w:name w:val="annotation subject"/>
    <w:basedOn w:val="Tekstopmerking"/>
    <w:next w:val="Tekstopmerking"/>
    <w:link w:val="OnderwerpvanopmerkingChar"/>
    <w:rsid w:val="008B68E0"/>
    <w:rPr>
      <w:b/>
      <w:bCs/>
    </w:rPr>
  </w:style>
  <w:style w:type="character" w:customStyle="1" w:styleId="OnderwerpvanopmerkingChar">
    <w:name w:val="Onderwerp van opmerking Char"/>
    <w:link w:val="Onderwerpvanopmerking"/>
    <w:rsid w:val="008B68E0"/>
    <w:rPr>
      <w:b/>
      <w:bCs/>
    </w:rPr>
  </w:style>
  <w:style w:type="paragraph" w:styleId="Ballontekst">
    <w:name w:val="Balloon Text"/>
    <w:basedOn w:val="Standaard"/>
    <w:link w:val="BallontekstChar"/>
    <w:rsid w:val="008B68E0"/>
    <w:rPr>
      <w:rFonts w:ascii="Tahoma" w:hAnsi="Tahoma" w:cs="Tahoma"/>
      <w:sz w:val="16"/>
      <w:szCs w:val="16"/>
    </w:rPr>
  </w:style>
  <w:style w:type="character" w:customStyle="1" w:styleId="BallontekstChar">
    <w:name w:val="Ballontekst Char"/>
    <w:link w:val="Ballontekst"/>
    <w:rsid w:val="008B68E0"/>
    <w:rPr>
      <w:rFonts w:ascii="Tahoma" w:hAnsi="Tahoma" w:cs="Tahoma"/>
      <w:sz w:val="16"/>
      <w:szCs w:val="16"/>
    </w:rPr>
  </w:style>
  <w:style w:type="paragraph" w:styleId="Geenafstand">
    <w:name w:val="No Spacing"/>
    <w:basedOn w:val="Standaard"/>
    <w:uiPriority w:val="1"/>
    <w:qFormat/>
    <w:rsid w:val="00563865"/>
    <w:rPr>
      <w:rFonts w:ascii="Calibri" w:eastAsia="Calibri" w:hAnsi="Calibri"/>
      <w:szCs w:val="22"/>
      <w:lang w:eastAsia="en-US"/>
    </w:rPr>
  </w:style>
  <w:style w:type="paragraph" w:styleId="Voetnoottekst">
    <w:name w:val="footnote text"/>
    <w:basedOn w:val="Standaard"/>
    <w:link w:val="VoetnoottekstChar"/>
    <w:rsid w:val="00772DF3"/>
    <w:rPr>
      <w:sz w:val="20"/>
    </w:rPr>
  </w:style>
  <w:style w:type="character" w:customStyle="1" w:styleId="VoetnoottekstChar">
    <w:name w:val="Voetnoottekst Char"/>
    <w:basedOn w:val="Standaardalinea-lettertype"/>
    <w:link w:val="Voetnoottekst"/>
    <w:rsid w:val="00772DF3"/>
  </w:style>
  <w:style w:type="character" w:styleId="Voetnootmarkering">
    <w:name w:val="footnote reference"/>
    <w:uiPriority w:val="99"/>
    <w:rsid w:val="00772DF3"/>
    <w:rPr>
      <w:vertAlign w:val="superscript"/>
    </w:rPr>
  </w:style>
  <w:style w:type="paragraph" w:styleId="Koptekst">
    <w:name w:val="header"/>
    <w:basedOn w:val="Standaard"/>
    <w:link w:val="KoptekstChar"/>
    <w:rsid w:val="005A68D9"/>
    <w:pPr>
      <w:tabs>
        <w:tab w:val="center" w:pos="4536"/>
        <w:tab w:val="right" w:pos="9072"/>
      </w:tabs>
    </w:pPr>
  </w:style>
  <w:style w:type="character" w:customStyle="1" w:styleId="KoptekstChar">
    <w:name w:val="Koptekst Char"/>
    <w:basedOn w:val="Standaardalinea-lettertype"/>
    <w:link w:val="Koptekst"/>
    <w:rsid w:val="005A68D9"/>
    <w:rPr>
      <w:sz w:val="22"/>
      <w:lang w:eastAsia="nl-NL"/>
    </w:rPr>
  </w:style>
  <w:style w:type="character" w:styleId="Onopgelostemelding">
    <w:name w:val="Unresolved Mention"/>
    <w:basedOn w:val="Standaardalinea-lettertype"/>
    <w:uiPriority w:val="99"/>
    <w:semiHidden/>
    <w:unhideWhenUsed/>
    <w:rsid w:val="002E2E72"/>
    <w:rPr>
      <w:color w:val="605E5C"/>
      <w:shd w:val="clear" w:color="auto" w:fill="E1DFDD"/>
    </w:rPr>
  </w:style>
  <w:style w:type="paragraph" w:styleId="Lijstalinea">
    <w:name w:val="List Paragraph"/>
    <w:basedOn w:val="Standaard"/>
    <w:uiPriority w:val="34"/>
    <w:qFormat/>
    <w:rsid w:val="003245E5"/>
    <w:pPr>
      <w:ind w:left="720"/>
      <w:contextualSpacing/>
    </w:pPr>
  </w:style>
  <w:style w:type="paragraph" w:styleId="Revisie">
    <w:name w:val="Revision"/>
    <w:hidden/>
    <w:uiPriority w:val="99"/>
    <w:semiHidden/>
    <w:rsid w:val="00B76422"/>
    <w:rPr>
      <w:sz w:val="22"/>
      <w:lang w:eastAsia="nl-NL"/>
    </w:rPr>
  </w:style>
  <w:style w:type="character" w:customStyle="1" w:styleId="Kop3Char">
    <w:name w:val="Kop 3 Char"/>
    <w:basedOn w:val="Standaardalinea-lettertype"/>
    <w:link w:val="Kop3"/>
    <w:semiHidden/>
    <w:rsid w:val="00BE2F84"/>
    <w:rPr>
      <w:rFonts w:asciiTheme="majorHAnsi" w:eastAsiaTheme="majorEastAsia" w:hAnsiTheme="majorHAnsi" w:cstheme="majorBidi"/>
      <w:color w:val="1F3763" w:themeColor="accent1" w:themeShade="7F"/>
      <w:sz w:val="24"/>
      <w:szCs w:val="24"/>
      <w:lang w:eastAsia="nl-NL"/>
    </w:rPr>
  </w:style>
  <w:style w:type="character" w:styleId="GevolgdeHyperlink">
    <w:name w:val="FollowedHyperlink"/>
    <w:basedOn w:val="Standaardalinea-lettertype"/>
    <w:rsid w:val="004A08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6644">
      <w:bodyDiv w:val="1"/>
      <w:marLeft w:val="0"/>
      <w:marRight w:val="0"/>
      <w:marTop w:val="0"/>
      <w:marBottom w:val="0"/>
      <w:divBdr>
        <w:top w:val="none" w:sz="0" w:space="0" w:color="auto"/>
        <w:left w:val="none" w:sz="0" w:space="0" w:color="auto"/>
        <w:bottom w:val="none" w:sz="0" w:space="0" w:color="auto"/>
        <w:right w:val="none" w:sz="0" w:space="0" w:color="auto"/>
      </w:divBdr>
    </w:div>
    <w:div w:id="238176856">
      <w:bodyDiv w:val="1"/>
      <w:marLeft w:val="0"/>
      <w:marRight w:val="0"/>
      <w:marTop w:val="0"/>
      <w:marBottom w:val="0"/>
      <w:divBdr>
        <w:top w:val="none" w:sz="0" w:space="0" w:color="auto"/>
        <w:left w:val="none" w:sz="0" w:space="0" w:color="auto"/>
        <w:bottom w:val="none" w:sz="0" w:space="0" w:color="auto"/>
        <w:right w:val="none" w:sz="0" w:space="0" w:color="auto"/>
      </w:divBdr>
    </w:div>
    <w:div w:id="343018367">
      <w:bodyDiv w:val="1"/>
      <w:marLeft w:val="0"/>
      <w:marRight w:val="0"/>
      <w:marTop w:val="0"/>
      <w:marBottom w:val="0"/>
      <w:divBdr>
        <w:top w:val="none" w:sz="0" w:space="0" w:color="auto"/>
        <w:left w:val="none" w:sz="0" w:space="0" w:color="auto"/>
        <w:bottom w:val="none" w:sz="0" w:space="0" w:color="auto"/>
        <w:right w:val="none" w:sz="0" w:space="0" w:color="auto"/>
      </w:divBdr>
    </w:div>
    <w:div w:id="411317251">
      <w:bodyDiv w:val="1"/>
      <w:marLeft w:val="0"/>
      <w:marRight w:val="0"/>
      <w:marTop w:val="0"/>
      <w:marBottom w:val="0"/>
      <w:divBdr>
        <w:top w:val="none" w:sz="0" w:space="0" w:color="auto"/>
        <w:left w:val="none" w:sz="0" w:space="0" w:color="auto"/>
        <w:bottom w:val="none" w:sz="0" w:space="0" w:color="auto"/>
        <w:right w:val="none" w:sz="0" w:space="0" w:color="auto"/>
      </w:divBdr>
    </w:div>
    <w:div w:id="494885299">
      <w:bodyDiv w:val="1"/>
      <w:marLeft w:val="0"/>
      <w:marRight w:val="0"/>
      <w:marTop w:val="0"/>
      <w:marBottom w:val="0"/>
      <w:divBdr>
        <w:top w:val="none" w:sz="0" w:space="0" w:color="auto"/>
        <w:left w:val="none" w:sz="0" w:space="0" w:color="auto"/>
        <w:bottom w:val="none" w:sz="0" w:space="0" w:color="auto"/>
        <w:right w:val="none" w:sz="0" w:space="0" w:color="auto"/>
      </w:divBdr>
    </w:div>
    <w:div w:id="500704330">
      <w:bodyDiv w:val="1"/>
      <w:marLeft w:val="0"/>
      <w:marRight w:val="0"/>
      <w:marTop w:val="0"/>
      <w:marBottom w:val="0"/>
      <w:divBdr>
        <w:top w:val="none" w:sz="0" w:space="0" w:color="auto"/>
        <w:left w:val="none" w:sz="0" w:space="0" w:color="auto"/>
        <w:bottom w:val="none" w:sz="0" w:space="0" w:color="auto"/>
        <w:right w:val="none" w:sz="0" w:space="0" w:color="auto"/>
      </w:divBdr>
    </w:div>
    <w:div w:id="580800339">
      <w:bodyDiv w:val="1"/>
      <w:marLeft w:val="0"/>
      <w:marRight w:val="0"/>
      <w:marTop w:val="0"/>
      <w:marBottom w:val="0"/>
      <w:divBdr>
        <w:top w:val="none" w:sz="0" w:space="0" w:color="auto"/>
        <w:left w:val="none" w:sz="0" w:space="0" w:color="auto"/>
        <w:bottom w:val="none" w:sz="0" w:space="0" w:color="auto"/>
        <w:right w:val="none" w:sz="0" w:space="0" w:color="auto"/>
      </w:divBdr>
    </w:div>
    <w:div w:id="644546960">
      <w:bodyDiv w:val="1"/>
      <w:marLeft w:val="0"/>
      <w:marRight w:val="0"/>
      <w:marTop w:val="0"/>
      <w:marBottom w:val="0"/>
      <w:divBdr>
        <w:top w:val="none" w:sz="0" w:space="0" w:color="auto"/>
        <w:left w:val="none" w:sz="0" w:space="0" w:color="auto"/>
        <w:bottom w:val="none" w:sz="0" w:space="0" w:color="auto"/>
        <w:right w:val="none" w:sz="0" w:space="0" w:color="auto"/>
      </w:divBdr>
    </w:div>
    <w:div w:id="691885196">
      <w:bodyDiv w:val="1"/>
      <w:marLeft w:val="0"/>
      <w:marRight w:val="0"/>
      <w:marTop w:val="0"/>
      <w:marBottom w:val="0"/>
      <w:divBdr>
        <w:top w:val="none" w:sz="0" w:space="0" w:color="auto"/>
        <w:left w:val="none" w:sz="0" w:space="0" w:color="auto"/>
        <w:bottom w:val="none" w:sz="0" w:space="0" w:color="auto"/>
        <w:right w:val="none" w:sz="0" w:space="0" w:color="auto"/>
      </w:divBdr>
    </w:div>
    <w:div w:id="760417618">
      <w:bodyDiv w:val="1"/>
      <w:marLeft w:val="0"/>
      <w:marRight w:val="0"/>
      <w:marTop w:val="0"/>
      <w:marBottom w:val="0"/>
      <w:divBdr>
        <w:top w:val="none" w:sz="0" w:space="0" w:color="auto"/>
        <w:left w:val="none" w:sz="0" w:space="0" w:color="auto"/>
        <w:bottom w:val="none" w:sz="0" w:space="0" w:color="auto"/>
        <w:right w:val="none" w:sz="0" w:space="0" w:color="auto"/>
      </w:divBdr>
    </w:div>
    <w:div w:id="802968093">
      <w:bodyDiv w:val="1"/>
      <w:marLeft w:val="0"/>
      <w:marRight w:val="0"/>
      <w:marTop w:val="0"/>
      <w:marBottom w:val="0"/>
      <w:divBdr>
        <w:top w:val="none" w:sz="0" w:space="0" w:color="auto"/>
        <w:left w:val="none" w:sz="0" w:space="0" w:color="auto"/>
        <w:bottom w:val="none" w:sz="0" w:space="0" w:color="auto"/>
        <w:right w:val="none" w:sz="0" w:space="0" w:color="auto"/>
      </w:divBdr>
    </w:div>
    <w:div w:id="853152568">
      <w:bodyDiv w:val="1"/>
      <w:marLeft w:val="0"/>
      <w:marRight w:val="0"/>
      <w:marTop w:val="0"/>
      <w:marBottom w:val="0"/>
      <w:divBdr>
        <w:top w:val="none" w:sz="0" w:space="0" w:color="auto"/>
        <w:left w:val="none" w:sz="0" w:space="0" w:color="auto"/>
        <w:bottom w:val="none" w:sz="0" w:space="0" w:color="auto"/>
        <w:right w:val="none" w:sz="0" w:space="0" w:color="auto"/>
      </w:divBdr>
    </w:div>
    <w:div w:id="1021860451">
      <w:bodyDiv w:val="1"/>
      <w:marLeft w:val="0"/>
      <w:marRight w:val="0"/>
      <w:marTop w:val="0"/>
      <w:marBottom w:val="0"/>
      <w:divBdr>
        <w:top w:val="none" w:sz="0" w:space="0" w:color="auto"/>
        <w:left w:val="none" w:sz="0" w:space="0" w:color="auto"/>
        <w:bottom w:val="none" w:sz="0" w:space="0" w:color="auto"/>
        <w:right w:val="none" w:sz="0" w:space="0" w:color="auto"/>
      </w:divBdr>
    </w:div>
    <w:div w:id="1055351022">
      <w:bodyDiv w:val="1"/>
      <w:marLeft w:val="0"/>
      <w:marRight w:val="0"/>
      <w:marTop w:val="0"/>
      <w:marBottom w:val="0"/>
      <w:divBdr>
        <w:top w:val="none" w:sz="0" w:space="0" w:color="auto"/>
        <w:left w:val="none" w:sz="0" w:space="0" w:color="auto"/>
        <w:bottom w:val="none" w:sz="0" w:space="0" w:color="auto"/>
        <w:right w:val="none" w:sz="0" w:space="0" w:color="auto"/>
      </w:divBdr>
    </w:div>
    <w:div w:id="1064137157">
      <w:bodyDiv w:val="1"/>
      <w:marLeft w:val="0"/>
      <w:marRight w:val="0"/>
      <w:marTop w:val="0"/>
      <w:marBottom w:val="0"/>
      <w:divBdr>
        <w:top w:val="none" w:sz="0" w:space="0" w:color="auto"/>
        <w:left w:val="none" w:sz="0" w:space="0" w:color="auto"/>
        <w:bottom w:val="none" w:sz="0" w:space="0" w:color="auto"/>
        <w:right w:val="none" w:sz="0" w:space="0" w:color="auto"/>
      </w:divBdr>
    </w:div>
    <w:div w:id="1067189853">
      <w:bodyDiv w:val="1"/>
      <w:marLeft w:val="0"/>
      <w:marRight w:val="0"/>
      <w:marTop w:val="0"/>
      <w:marBottom w:val="0"/>
      <w:divBdr>
        <w:top w:val="none" w:sz="0" w:space="0" w:color="auto"/>
        <w:left w:val="none" w:sz="0" w:space="0" w:color="auto"/>
        <w:bottom w:val="none" w:sz="0" w:space="0" w:color="auto"/>
        <w:right w:val="none" w:sz="0" w:space="0" w:color="auto"/>
      </w:divBdr>
    </w:div>
    <w:div w:id="1068261615">
      <w:bodyDiv w:val="1"/>
      <w:marLeft w:val="0"/>
      <w:marRight w:val="0"/>
      <w:marTop w:val="0"/>
      <w:marBottom w:val="0"/>
      <w:divBdr>
        <w:top w:val="none" w:sz="0" w:space="0" w:color="auto"/>
        <w:left w:val="none" w:sz="0" w:space="0" w:color="auto"/>
        <w:bottom w:val="none" w:sz="0" w:space="0" w:color="auto"/>
        <w:right w:val="none" w:sz="0" w:space="0" w:color="auto"/>
      </w:divBdr>
    </w:div>
    <w:div w:id="1075858939">
      <w:bodyDiv w:val="1"/>
      <w:marLeft w:val="0"/>
      <w:marRight w:val="0"/>
      <w:marTop w:val="0"/>
      <w:marBottom w:val="0"/>
      <w:divBdr>
        <w:top w:val="none" w:sz="0" w:space="0" w:color="auto"/>
        <w:left w:val="none" w:sz="0" w:space="0" w:color="auto"/>
        <w:bottom w:val="none" w:sz="0" w:space="0" w:color="auto"/>
        <w:right w:val="none" w:sz="0" w:space="0" w:color="auto"/>
      </w:divBdr>
    </w:div>
    <w:div w:id="1103458379">
      <w:bodyDiv w:val="1"/>
      <w:marLeft w:val="0"/>
      <w:marRight w:val="0"/>
      <w:marTop w:val="0"/>
      <w:marBottom w:val="0"/>
      <w:divBdr>
        <w:top w:val="none" w:sz="0" w:space="0" w:color="auto"/>
        <w:left w:val="none" w:sz="0" w:space="0" w:color="auto"/>
        <w:bottom w:val="none" w:sz="0" w:space="0" w:color="auto"/>
        <w:right w:val="none" w:sz="0" w:space="0" w:color="auto"/>
      </w:divBdr>
    </w:div>
    <w:div w:id="1170291647">
      <w:bodyDiv w:val="1"/>
      <w:marLeft w:val="0"/>
      <w:marRight w:val="0"/>
      <w:marTop w:val="0"/>
      <w:marBottom w:val="0"/>
      <w:divBdr>
        <w:top w:val="none" w:sz="0" w:space="0" w:color="auto"/>
        <w:left w:val="none" w:sz="0" w:space="0" w:color="auto"/>
        <w:bottom w:val="none" w:sz="0" w:space="0" w:color="auto"/>
        <w:right w:val="none" w:sz="0" w:space="0" w:color="auto"/>
      </w:divBdr>
    </w:div>
    <w:div w:id="1252204606">
      <w:bodyDiv w:val="1"/>
      <w:marLeft w:val="0"/>
      <w:marRight w:val="0"/>
      <w:marTop w:val="0"/>
      <w:marBottom w:val="0"/>
      <w:divBdr>
        <w:top w:val="none" w:sz="0" w:space="0" w:color="auto"/>
        <w:left w:val="none" w:sz="0" w:space="0" w:color="auto"/>
        <w:bottom w:val="none" w:sz="0" w:space="0" w:color="auto"/>
        <w:right w:val="none" w:sz="0" w:space="0" w:color="auto"/>
      </w:divBdr>
    </w:div>
    <w:div w:id="1371806531">
      <w:bodyDiv w:val="1"/>
      <w:marLeft w:val="0"/>
      <w:marRight w:val="0"/>
      <w:marTop w:val="0"/>
      <w:marBottom w:val="0"/>
      <w:divBdr>
        <w:top w:val="none" w:sz="0" w:space="0" w:color="auto"/>
        <w:left w:val="none" w:sz="0" w:space="0" w:color="auto"/>
        <w:bottom w:val="none" w:sz="0" w:space="0" w:color="auto"/>
        <w:right w:val="none" w:sz="0" w:space="0" w:color="auto"/>
      </w:divBdr>
    </w:div>
    <w:div w:id="1416054450">
      <w:bodyDiv w:val="1"/>
      <w:marLeft w:val="0"/>
      <w:marRight w:val="0"/>
      <w:marTop w:val="0"/>
      <w:marBottom w:val="0"/>
      <w:divBdr>
        <w:top w:val="none" w:sz="0" w:space="0" w:color="auto"/>
        <w:left w:val="none" w:sz="0" w:space="0" w:color="auto"/>
        <w:bottom w:val="none" w:sz="0" w:space="0" w:color="auto"/>
        <w:right w:val="none" w:sz="0" w:space="0" w:color="auto"/>
      </w:divBdr>
    </w:div>
    <w:div w:id="1464229300">
      <w:bodyDiv w:val="1"/>
      <w:marLeft w:val="0"/>
      <w:marRight w:val="0"/>
      <w:marTop w:val="0"/>
      <w:marBottom w:val="0"/>
      <w:divBdr>
        <w:top w:val="none" w:sz="0" w:space="0" w:color="auto"/>
        <w:left w:val="none" w:sz="0" w:space="0" w:color="auto"/>
        <w:bottom w:val="none" w:sz="0" w:space="0" w:color="auto"/>
        <w:right w:val="none" w:sz="0" w:space="0" w:color="auto"/>
      </w:divBdr>
    </w:div>
    <w:div w:id="1510099264">
      <w:bodyDiv w:val="1"/>
      <w:marLeft w:val="0"/>
      <w:marRight w:val="0"/>
      <w:marTop w:val="0"/>
      <w:marBottom w:val="0"/>
      <w:divBdr>
        <w:top w:val="none" w:sz="0" w:space="0" w:color="auto"/>
        <w:left w:val="none" w:sz="0" w:space="0" w:color="auto"/>
        <w:bottom w:val="none" w:sz="0" w:space="0" w:color="auto"/>
        <w:right w:val="none" w:sz="0" w:space="0" w:color="auto"/>
      </w:divBdr>
    </w:div>
    <w:div w:id="1511480507">
      <w:bodyDiv w:val="1"/>
      <w:marLeft w:val="0"/>
      <w:marRight w:val="0"/>
      <w:marTop w:val="0"/>
      <w:marBottom w:val="0"/>
      <w:divBdr>
        <w:top w:val="none" w:sz="0" w:space="0" w:color="auto"/>
        <w:left w:val="none" w:sz="0" w:space="0" w:color="auto"/>
        <w:bottom w:val="none" w:sz="0" w:space="0" w:color="auto"/>
        <w:right w:val="none" w:sz="0" w:space="0" w:color="auto"/>
      </w:divBdr>
    </w:div>
    <w:div w:id="1592079843">
      <w:bodyDiv w:val="1"/>
      <w:marLeft w:val="0"/>
      <w:marRight w:val="0"/>
      <w:marTop w:val="0"/>
      <w:marBottom w:val="0"/>
      <w:divBdr>
        <w:top w:val="none" w:sz="0" w:space="0" w:color="auto"/>
        <w:left w:val="none" w:sz="0" w:space="0" w:color="auto"/>
        <w:bottom w:val="none" w:sz="0" w:space="0" w:color="auto"/>
        <w:right w:val="none" w:sz="0" w:space="0" w:color="auto"/>
      </w:divBdr>
    </w:div>
    <w:div w:id="1618022501">
      <w:bodyDiv w:val="1"/>
      <w:marLeft w:val="0"/>
      <w:marRight w:val="0"/>
      <w:marTop w:val="0"/>
      <w:marBottom w:val="0"/>
      <w:divBdr>
        <w:top w:val="none" w:sz="0" w:space="0" w:color="auto"/>
        <w:left w:val="none" w:sz="0" w:space="0" w:color="auto"/>
        <w:bottom w:val="none" w:sz="0" w:space="0" w:color="auto"/>
        <w:right w:val="none" w:sz="0" w:space="0" w:color="auto"/>
      </w:divBdr>
    </w:div>
    <w:div w:id="1618833120">
      <w:bodyDiv w:val="1"/>
      <w:marLeft w:val="0"/>
      <w:marRight w:val="0"/>
      <w:marTop w:val="0"/>
      <w:marBottom w:val="0"/>
      <w:divBdr>
        <w:top w:val="none" w:sz="0" w:space="0" w:color="auto"/>
        <w:left w:val="none" w:sz="0" w:space="0" w:color="auto"/>
        <w:bottom w:val="none" w:sz="0" w:space="0" w:color="auto"/>
        <w:right w:val="none" w:sz="0" w:space="0" w:color="auto"/>
      </w:divBdr>
    </w:div>
    <w:div w:id="1725981527">
      <w:bodyDiv w:val="1"/>
      <w:marLeft w:val="0"/>
      <w:marRight w:val="0"/>
      <w:marTop w:val="0"/>
      <w:marBottom w:val="0"/>
      <w:divBdr>
        <w:top w:val="none" w:sz="0" w:space="0" w:color="auto"/>
        <w:left w:val="none" w:sz="0" w:space="0" w:color="auto"/>
        <w:bottom w:val="none" w:sz="0" w:space="0" w:color="auto"/>
        <w:right w:val="none" w:sz="0" w:space="0" w:color="auto"/>
      </w:divBdr>
    </w:div>
    <w:div w:id="1733696835">
      <w:bodyDiv w:val="1"/>
      <w:marLeft w:val="0"/>
      <w:marRight w:val="0"/>
      <w:marTop w:val="0"/>
      <w:marBottom w:val="0"/>
      <w:divBdr>
        <w:top w:val="none" w:sz="0" w:space="0" w:color="auto"/>
        <w:left w:val="none" w:sz="0" w:space="0" w:color="auto"/>
        <w:bottom w:val="none" w:sz="0" w:space="0" w:color="auto"/>
        <w:right w:val="none" w:sz="0" w:space="0" w:color="auto"/>
      </w:divBdr>
    </w:div>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790973139">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881238313">
      <w:bodyDiv w:val="1"/>
      <w:marLeft w:val="0"/>
      <w:marRight w:val="0"/>
      <w:marTop w:val="0"/>
      <w:marBottom w:val="0"/>
      <w:divBdr>
        <w:top w:val="none" w:sz="0" w:space="0" w:color="auto"/>
        <w:left w:val="none" w:sz="0" w:space="0" w:color="auto"/>
        <w:bottom w:val="none" w:sz="0" w:space="0" w:color="auto"/>
        <w:right w:val="none" w:sz="0" w:space="0" w:color="auto"/>
      </w:divBdr>
    </w:div>
    <w:div w:id="1904753556">
      <w:bodyDiv w:val="1"/>
      <w:marLeft w:val="0"/>
      <w:marRight w:val="0"/>
      <w:marTop w:val="0"/>
      <w:marBottom w:val="0"/>
      <w:divBdr>
        <w:top w:val="none" w:sz="0" w:space="0" w:color="auto"/>
        <w:left w:val="none" w:sz="0" w:space="0" w:color="auto"/>
        <w:bottom w:val="none" w:sz="0" w:space="0" w:color="auto"/>
        <w:right w:val="none" w:sz="0" w:space="0" w:color="auto"/>
      </w:divBdr>
    </w:div>
    <w:div w:id="1908608549">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 w:id="2020544487">
      <w:bodyDiv w:val="1"/>
      <w:marLeft w:val="0"/>
      <w:marRight w:val="0"/>
      <w:marTop w:val="0"/>
      <w:marBottom w:val="0"/>
      <w:divBdr>
        <w:top w:val="none" w:sz="0" w:space="0" w:color="auto"/>
        <w:left w:val="none" w:sz="0" w:space="0" w:color="auto"/>
        <w:bottom w:val="none" w:sz="0" w:space="0" w:color="auto"/>
        <w:right w:val="none" w:sz="0" w:space="0" w:color="auto"/>
      </w:divBdr>
    </w:div>
    <w:div w:id="2025665749">
      <w:bodyDiv w:val="1"/>
      <w:marLeft w:val="0"/>
      <w:marRight w:val="0"/>
      <w:marTop w:val="0"/>
      <w:marBottom w:val="0"/>
      <w:divBdr>
        <w:top w:val="none" w:sz="0" w:space="0" w:color="auto"/>
        <w:left w:val="none" w:sz="0" w:space="0" w:color="auto"/>
        <w:bottom w:val="none" w:sz="0" w:space="0" w:color="auto"/>
        <w:right w:val="none" w:sz="0" w:space="0" w:color="auto"/>
      </w:divBdr>
    </w:div>
    <w:div w:id="2050109587">
      <w:bodyDiv w:val="1"/>
      <w:marLeft w:val="0"/>
      <w:marRight w:val="0"/>
      <w:marTop w:val="0"/>
      <w:marBottom w:val="0"/>
      <w:divBdr>
        <w:top w:val="none" w:sz="0" w:space="0" w:color="auto"/>
        <w:left w:val="none" w:sz="0" w:space="0" w:color="auto"/>
        <w:bottom w:val="none" w:sz="0" w:space="0" w:color="auto"/>
        <w:right w:val="none" w:sz="0" w:space="0" w:color="auto"/>
      </w:divBdr>
    </w:div>
    <w:div w:id="2085906784">
      <w:bodyDiv w:val="1"/>
      <w:marLeft w:val="0"/>
      <w:marRight w:val="0"/>
      <w:marTop w:val="0"/>
      <w:marBottom w:val="0"/>
      <w:divBdr>
        <w:top w:val="none" w:sz="0" w:space="0" w:color="auto"/>
        <w:left w:val="none" w:sz="0" w:space="0" w:color="auto"/>
        <w:bottom w:val="none" w:sz="0" w:space="0" w:color="auto"/>
        <w:right w:val="none" w:sz="0" w:space="0" w:color="auto"/>
      </w:divBdr>
    </w:div>
    <w:div w:id="21392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jzeringeldzaken.nl/bibliotheek-/media/pdf/koers-wijzer-in-geldzaken-2024-2026.pdf" TargetMode="External"/><Relationship Id="rId3" Type="http://schemas.openxmlformats.org/officeDocument/2006/relationships/hyperlink" Target="https://www.consilium.europa.eu/en/press/press-releases/2025/12/18/retail-investment-strategy-council-and-parliament-agree-on-package-to-empower-consumers-while-boosting-markets/" TargetMode="External"/><Relationship Id="rId7" Type="http://schemas.openxmlformats.org/officeDocument/2006/relationships/hyperlink" Target="https://www.wijzeringeldzaken.nl/bibliotheek/?categorie=plannen-en-resultaten" TargetMode="External"/><Relationship Id="rId2" Type="http://schemas.openxmlformats.org/officeDocument/2006/relationships/hyperlink" Target="https://www.afm.nl/nl-nl/sector/actueel/2024/juni/boete-hogervorst" TargetMode="External"/><Relationship Id="rId1" Type="http://schemas.openxmlformats.org/officeDocument/2006/relationships/hyperlink" Target="https://www.pisa-nederland.nl/wp-content/uploads/2024/09/PISA-2022-De-Verdieping-De-financiele-geletterdheid-van-15-jarigen.pdf" TargetMode="External"/><Relationship Id="rId6" Type="http://schemas.openxmlformats.org/officeDocument/2006/relationships/hyperlink" Target="https://open.overheid.nl/documenten/d07a90da-3bd4-4f74-97a7-fdb9ef561ae5/file" TargetMode="External"/><Relationship Id="rId5" Type="http://schemas.openxmlformats.org/officeDocument/2006/relationships/hyperlink" Target="https://www.tweedekamer.nl/downloads/document?id=2025D47629" TargetMode="External"/><Relationship Id="rId10" Type="http://schemas.openxmlformats.org/officeDocument/2006/relationships/hyperlink" Target="https://www.wijzeringeldzaken.nl/platform-wijzeringeldzaken/publicaties/7199-wig-nib-rapport-financieel-kwetsbaar-def.pdf" TargetMode="External"/><Relationship Id="rId4" Type="http://schemas.openxmlformats.org/officeDocument/2006/relationships/hyperlink" Target="https://www.rijksoverheid.nl/documenten/rapporten/2025/11/12/non-paper-digital-fairness-act" TargetMode="External"/><Relationship Id="rId9" Type="http://schemas.openxmlformats.org/officeDocument/2006/relationships/hyperlink" Target="https://www.afm.nl/~/profmedia/files/rapporten/2025/rapport-afm-gen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5050</ap:Words>
  <ap:Characters>29713</ap:Characters>
  <ap:DocSecurity>0</ap:DocSecurity>
  <ap:Lines>247</ap:Lines>
  <ap:Paragraphs>69</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34694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2026-02-03T16:06:00.0000000Z</dcterms:created>
  <dcterms:modified xsi:type="dcterms:W3CDTF">2026-02-03T16:06:00.0000000Z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931ecb7f-d2fc-4065-9183-75369ca061db</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0x0101003EBEF98046509448AC7610C7D5538E30</vt:lpwstr>
  </property>
  <property fmtid="{D5CDD505-2E9C-101B-9397-08002B2CF9AE}" pid="8" name="MSIP_Label_6800fede-0e59-47ad-af95-4e63bbdb932d_Enabled">
    <vt:lpwstr>true</vt:lpwstr>
  </property>
  <property fmtid="{D5CDD505-2E9C-101B-9397-08002B2CF9AE}" pid="9" name="MSIP_Label_6800fede-0e59-47ad-af95-4e63bbdb932d_SetDate">
    <vt:lpwstr>2025-12-09T14:09:09Z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a1ca7f08-dd04-48ac-9ba8-2aa9311db173</vt:lpwstr>
  </property>
  <property fmtid="{D5CDD505-2E9C-101B-9397-08002B2CF9AE}" pid="14" name="MSIP_Label_6800fede-0e59-47ad-af95-4e63bbdb932d_ContentBits">
    <vt:lpwstr>0</vt:lpwstr>
  </property>
</Properties>
</file>