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2026Z02309</w:t>
        <w:br/>
      </w:r>
      <w:proofErr w:type="spellEnd"/>
    </w:p>
    <w:p>
      <w:pPr>
        <w:pStyle w:val="Normal"/>
        <w:rPr>
          <w:b w:val="1"/>
          <w:bCs w:val="1"/>
        </w:rPr>
      </w:pPr>
      <w:r w:rsidR="250AE766">
        <w:rPr>
          <w:b w:val="0"/>
          <w:bCs w:val="0"/>
        </w:rPr>
        <w:t>(ingezonden 4 februari 2026)</w:t>
        <w:br/>
      </w:r>
    </w:p>
    <w:p>
      <w:r>
        <w:t xml:space="preserve">Vragen van het lid Coenradie (JA21) aan de minister van Justitie en Veiligheid over sepots en strafbeschikkingen door het Openbaar Ministerie.</w:t>
      </w:r>
      <w:r>
        <w:br/>
      </w:r>
    </w:p>
    <w:p>
      <w:pPr>
        <w:pStyle w:val="ListParagraph"/>
        <w:numPr>
          <w:ilvl w:val="0"/>
          <w:numId w:val="100496340"/>
        </w:numPr>
        <w:ind w:left="360"/>
      </w:pPr>
      <w:r>
        <w:t xml:space="preserve">Hoeveel zaken zijn in 2023, 2024 en 2025 door het Openbaar Ministerie (OM) geseponeerd (absoluut en als percentage van het totaal aantal afdoeningen)?</w:t>
      </w:r>
      <w:r>
        <w:br/>
      </w:r>
    </w:p>
    <w:p>
      <w:pPr>
        <w:pStyle w:val="ListParagraph"/>
        <w:numPr>
          <w:ilvl w:val="0"/>
          <w:numId w:val="100496340"/>
        </w:numPr>
        <w:ind w:left="360"/>
      </w:pPr>
      <w:r>
        <w:t xml:space="preserve">Kunt u deze sepotcijfers uitsplitsen naar delictcategorie (bijvoorbeeld: geweld, vermogensdelicten, zedendelicten, cybercriminaliteit/digital crime, drugsdelicten, verkeersdelicten, overige) en daarbij de definities van de gebruikte categorieën vermelden?</w:t>
      </w:r>
      <w:r>
        <w:br/>
      </w:r>
    </w:p>
    <w:p>
      <w:pPr>
        <w:pStyle w:val="ListParagraph"/>
        <w:numPr>
          <w:ilvl w:val="0"/>
          <w:numId w:val="100496340"/>
        </w:numPr>
        <w:ind w:left="360"/>
      </w:pPr>
      <w:r>
        <w:t xml:space="preserve">Kunt u de sepotcijfers daarnaast uitsplitsen naar sepotgrond (bijvoorbeeld: technisch sepot, beleidssepot/opportuniteitssepot, onvoldoende bewijs, geringe ernst/geen maatschappelijk belang, capaciteits-/prioriteringsredenen, anders) en aangeven welk deel van de sepots (mede) samenhangt met capaciteits- of prioriteringskeuzes?</w:t>
      </w:r>
      <w:r>
        <w:br/>
      </w:r>
    </w:p>
    <w:p>
      <w:pPr>
        <w:pStyle w:val="ListParagraph"/>
        <w:numPr>
          <w:ilvl w:val="0"/>
          <w:numId w:val="100496340"/>
        </w:numPr>
        <w:ind w:left="360"/>
      </w:pPr>
      <w:r>
        <w:t xml:space="preserve">Hoeveel sepots betroffen zaken die waren aangeleverd door de politie met het oordeel “voldoende bewijs” of “verdenking blijft”, en wat zijn daarvoor de belangrijkste redenen?</w:t>
      </w:r>
      <w:r>
        <w:br/>
      </w:r>
    </w:p>
    <w:p>
      <w:pPr>
        <w:pStyle w:val="ListParagraph"/>
        <w:numPr>
          <w:ilvl w:val="0"/>
          <w:numId w:val="100496340"/>
        </w:numPr>
        <w:ind w:left="360"/>
      </w:pPr>
      <w:r>
        <w:t xml:space="preserve">Kunt u kwalitatief en kwantitatief uiteenzetten welke factoren in de praktijk ten grondslag liggen aan het seponeren van strafzaken door het OM, bijvoorbeeld capaciteits- en prioriteringskeuzes, kwaliteit en volledigheid van politiedossiers, complexiteit van zaken en bewijslast, beleidsmatige keuzes in het kader van het opportuniteitsbeginsel of overige oorzaken?</w:t>
      </w:r>
      <w:r>
        <w:br/>
      </w:r>
    </w:p>
    <w:p>
      <w:pPr>
        <w:pStyle w:val="ListParagraph"/>
        <w:numPr>
          <w:ilvl w:val="0"/>
          <w:numId w:val="100496340"/>
        </w:numPr>
        <w:ind w:left="360"/>
      </w:pPr>
      <w:r>
        <w:t xml:space="preserve">Hoeveel zaken zijn in 2023, 2024 en 2025 afgedaan met een strafbeschikking (absoluut en als percentage van het totaal aantal afdoeningen)?</w:t>
      </w:r>
      <w:r>
        <w:br/>
      </w:r>
    </w:p>
    <w:p>
      <w:pPr>
        <w:pStyle w:val="ListParagraph"/>
        <w:numPr>
          <w:ilvl w:val="0"/>
          <w:numId w:val="100496340"/>
        </w:numPr>
        <w:ind w:left="360"/>
      </w:pPr>
      <w:r>
        <w:t xml:space="preserve">Kunt u de strafbeschikkingscijfers uitsplitsen naar delictcategorie (zoals genoemd in vraag 2) en ook aangeven welk deel ziet op first offenders en welk deel op recidivisten?</w:t>
      </w:r>
      <w:r>
        <w:br/>
      </w:r>
    </w:p>
    <w:p>
      <w:pPr>
        <w:pStyle w:val="ListParagraph"/>
        <w:numPr>
          <w:ilvl w:val="0"/>
          <w:numId w:val="100496340"/>
        </w:numPr>
        <w:ind w:left="360"/>
      </w:pPr>
      <w:r>
        <w:t xml:space="preserve">Kunt u aangeven hoeveel strafbeschikkingen in 2023, 2024 en 2025 zijn betaald/nagekomen binnen de gestelde termijn, bij hoeveel verzet is aangetekend (en met welk resultaat), hoeveel zijn ingetrokken of aangepast, en hoeveel niet ten uitvoer zijn gelegd wegens onvindbaarheid, betalingsonmacht of een andere reden?</w:t>
      </w:r>
      <w:r>
        <w:br/>
      </w:r>
    </w:p>
    <w:p>
      <w:pPr>
        <w:pStyle w:val="ListParagraph"/>
        <w:numPr>
          <w:ilvl w:val="0"/>
          <w:numId w:val="100496340"/>
        </w:numPr>
        <w:ind w:left="360"/>
      </w:pPr>
      <w:r>
        <w:t xml:space="preserve">Kunt u toelichten welke factoren bepalend zijn voor de keuze van het OM om strafzaken af te doen via een strafbeschikking in plaats van dagvaarding en kunt u daarbij inzichtelijk maken in hoeverre deze keuze wordt beïnvloed door beschikbare capaciteit binnen het OM en de rechtspraak, beleidsmatige aansturing en standaardisering van afdoeningen, aard en ernst van het delict, doorlooptijden en efficiëntieoverwegingen of andere relevante factoren?</w:t>
      </w:r>
      <w:r>
        <w:br/>
      </w:r>
    </w:p>
    <w:p>
      <w:pPr>
        <w:pStyle w:val="ListParagraph"/>
        <w:numPr>
          <w:ilvl w:val="0"/>
          <w:numId w:val="100496340"/>
        </w:numPr>
        <w:ind w:left="360"/>
      </w:pPr>
      <w:r>
        <w:t xml:space="preserve">Zijn er binnen de sepots en strafbeschikkingen de afgelopen tien jaar trends of trendbreuken waar te nemen? En, zo ja, welke zijn dat en wat valt hier aan ten grondslag?</w:t>
      </w:r>
      <w:r>
        <w:br/>
      </w:r>
    </w:p>
    <w:p>
      <w:pPr>
        <w:pStyle w:val="ListParagraph"/>
        <w:numPr>
          <w:ilvl w:val="0"/>
          <w:numId w:val="100496340"/>
        </w:numPr>
        <w:ind w:left="360"/>
      </w:pPr>
      <w:r>
        <w:t xml:space="preserve">Welke verwachtingen heeft het OM voor de komende jaren ten aanzien van het aantal vervolgingen, sepots en strafbeschikkingen?</w:t>
      </w:r>
      <w:r>
        <w:br/>
      </w:r>
    </w:p>
    <w:p>
      <w:pPr>
        <w:pStyle w:val="ListParagraph"/>
        <w:numPr>
          <w:ilvl w:val="0"/>
          <w:numId w:val="100496340"/>
        </w:numPr>
        <w:ind w:left="360"/>
      </w:pPr>
      <w:r>
        <w:t xml:space="preserve">Wat heeft het OM concreet nodig om de komende jaren meer strafzaken daadwerkelijk te kunnen vervolgen?</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63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6330">
    <w:abstractNumId w:val="1004963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