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28100704" w14:textId="77777777"/>
    <w:p w:rsidRPr="006B1887" w:rsidR="00247260" w:rsidP="00247260" w:rsidRDefault="00247260" w14:paraId="0EF51FE3" w14:textId="77777777">
      <w:pPr>
        <w:rPr>
          <w:rFonts w:eastAsia="Aptos" w:cs="Aptos"/>
          <w:szCs w:val="18"/>
        </w:rPr>
      </w:pPr>
      <w:r w:rsidRPr="006B1887">
        <w:rPr>
          <w:rFonts w:eastAsia="Aptos" w:cs="Aptos"/>
          <w:szCs w:val="18"/>
        </w:rPr>
        <w:t>Geachte Voorzitter,</w:t>
      </w:r>
    </w:p>
    <w:p w:rsidRPr="006B1887" w:rsidR="00247260" w:rsidP="00247260" w:rsidRDefault="00247260" w14:paraId="6CD4EF8D" w14:textId="77777777">
      <w:pPr>
        <w:rPr>
          <w:rFonts w:eastAsia="Aptos" w:cs="Aptos"/>
          <w:szCs w:val="18"/>
        </w:rPr>
      </w:pPr>
    </w:p>
    <w:p w:rsidRPr="006B1887" w:rsidR="00247260" w:rsidP="00247260" w:rsidRDefault="00247260" w14:paraId="3FF6D4E1" w14:textId="77777777">
      <w:pPr>
        <w:rPr>
          <w:rFonts w:eastAsia="Aptos" w:cs="Aptos"/>
          <w:szCs w:val="18"/>
        </w:rPr>
      </w:pPr>
      <w:r w:rsidRPr="006B1887">
        <w:rPr>
          <w:rFonts w:eastAsia="Aptos" w:cs="Aptos"/>
          <w:szCs w:val="18"/>
        </w:rPr>
        <w:t>Hierbij zend ik u</w:t>
      </w:r>
      <w:r>
        <w:rPr>
          <w:rFonts w:eastAsia="Aptos" w:cs="Aptos"/>
          <w:szCs w:val="18"/>
        </w:rPr>
        <w:t>, mede namens de Staatssecretaris van Infrastructuur en Waterstaat,</w:t>
      </w:r>
      <w:r w:rsidRPr="006B1887">
        <w:rPr>
          <w:rFonts w:eastAsia="Aptos" w:cs="Aptos"/>
          <w:szCs w:val="18"/>
        </w:rPr>
        <w:t xml:space="preserve"> de antwoorden op de vragen van </w:t>
      </w:r>
      <w:r>
        <w:rPr>
          <w:rFonts w:eastAsia="Aptos" w:cs="Aptos"/>
          <w:szCs w:val="18"/>
        </w:rPr>
        <w:t>de leden</w:t>
      </w:r>
      <w:r w:rsidRPr="00464896">
        <w:rPr>
          <w:rFonts w:eastAsia="Aptos" w:cs="Aptos"/>
          <w:szCs w:val="18"/>
        </w:rPr>
        <w:t xml:space="preserve"> </w:t>
      </w:r>
      <w:r w:rsidRPr="645459D6">
        <w:rPr>
          <w:rFonts w:eastAsia="Aptos" w:cs="Aptos"/>
          <w:szCs w:val="18"/>
        </w:rPr>
        <w:t>Kostić</w:t>
      </w:r>
      <w:r w:rsidRPr="00464896">
        <w:rPr>
          <w:rFonts w:eastAsia="Aptos" w:cs="Aptos"/>
          <w:szCs w:val="18"/>
        </w:rPr>
        <w:t xml:space="preserve"> (PvdD), Dassen (Volt), Van Oosterhout en Zalinyan (beiden GroenLinks-PvdA)</w:t>
      </w:r>
      <w:r w:rsidRPr="006B1887">
        <w:rPr>
          <w:rFonts w:eastAsia="Aptos" w:cs="Aptos"/>
          <w:szCs w:val="18"/>
        </w:rPr>
        <w:t xml:space="preserve"> over </w:t>
      </w:r>
      <w:r>
        <w:rPr>
          <w:rFonts w:eastAsia="Aptos" w:cs="Aptos"/>
          <w:szCs w:val="18"/>
        </w:rPr>
        <w:t>de additionele kosten voor Tata Steel aangaande de maatwerkafspr</w:t>
      </w:r>
      <w:r w:rsidRPr="006B1887">
        <w:rPr>
          <w:rFonts w:eastAsia="Aptos" w:cs="Aptos"/>
          <w:szCs w:val="18"/>
        </w:rPr>
        <w:t>aak (2025Z21366</w:t>
      </w:r>
      <w:r>
        <w:rPr>
          <w:rFonts w:eastAsia="Aptos" w:cs="Aptos"/>
          <w:szCs w:val="18"/>
        </w:rPr>
        <w:t>)</w:t>
      </w:r>
      <w:r w:rsidRPr="006B1887">
        <w:rPr>
          <w:rFonts w:eastAsia="Aptos" w:cs="Aptos"/>
          <w:szCs w:val="18"/>
        </w:rPr>
        <w:t xml:space="preserve">, ingezonden </w:t>
      </w:r>
      <w:r>
        <w:rPr>
          <w:rFonts w:eastAsia="Aptos" w:cs="Aptos"/>
          <w:szCs w:val="18"/>
        </w:rPr>
        <w:t>8 december 2025</w:t>
      </w:r>
      <w:r w:rsidRPr="006B1887">
        <w:rPr>
          <w:rFonts w:eastAsia="Aptos" w:cs="Aptos"/>
          <w:szCs w:val="18"/>
        </w:rPr>
        <w:t xml:space="preserve">. </w:t>
      </w:r>
    </w:p>
    <w:p w:rsidR="00247260" w:rsidP="00247260" w:rsidRDefault="00247260" w14:paraId="7B51A1DD" w14:textId="77777777">
      <w:pPr>
        <w:rPr>
          <w:rFonts w:eastAsia="Aptos" w:cs="Aptos"/>
          <w:szCs w:val="18"/>
        </w:rPr>
      </w:pPr>
    </w:p>
    <w:p w:rsidR="000F0BFD" w:rsidP="00247260" w:rsidRDefault="000F0BFD" w14:paraId="13609A1D" w14:textId="77777777">
      <w:pPr>
        <w:rPr>
          <w:rFonts w:eastAsia="Aptos" w:cs="Aptos"/>
          <w:szCs w:val="18"/>
        </w:rPr>
      </w:pPr>
    </w:p>
    <w:p w:rsidR="000F0BFD" w:rsidP="00247260" w:rsidRDefault="000F0BFD" w14:paraId="7A43CE1C" w14:textId="77777777">
      <w:pPr>
        <w:rPr>
          <w:rFonts w:eastAsia="Aptos" w:cs="Aptos"/>
          <w:szCs w:val="18"/>
        </w:rPr>
      </w:pPr>
    </w:p>
    <w:p w:rsidRPr="006B1887" w:rsidR="000F0BFD" w:rsidP="00247260" w:rsidRDefault="000F0BFD" w14:paraId="2A325375" w14:textId="77777777">
      <w:pPr>
        <w:rPr>
          <w:rFonts w:eastAsia="Aptos" w:cs="Aptos"/>
          <w:szCs w:val="18"/>
        </w:rPr>
      </w:pPr>
    </w:p>
    <w:p w:rsidRPr="006B1887" w:rsidR="00247260" w:rsidP="00247260" w:rsidRDefault="00247260" w14:paraId="05BB8B3B" w14:textId="77777777">
      <w:pPr>
        <w:rPr>
          <w:rFonts w:eastAsia="Aptos" w:cs="Aptos"/>
          <w:szCs w:val="18"/>
        </w:rPr>
      </w:pPr>
      <w:r w:rsidRPr="006B1887">
        <w:rPr>
          <w:rFonts w:eastAsia="Aptos" w:cs="Aptos"/>
          <w:szCs w:val="18"/>
        </w:rPr>
        <w:t>Sophie Hermans</w:t>
      </w:r>
    </w:p>
    <w:p w:rsidRPr="003B2A5B" w:rsidR="00247260" w:rsidP="003B2A5B" w:rsidRDefault="00247260" w14:paraId="4DCF5D1F" w14:textId="5ED6F30B">
      <w:pPr>
        <w:rPr>
          <w:rFonts w:eastAsia="Aptos" w:cs="Aptos"/>
          <w:szCs w:val="18"/>
        </w:rPr>
      </w:pPr>
      <w:r w:rsidRPr="006B1887">
        <w:rPr>
          <w:rFonts w:eastAsia="Aptos" w:cs="Aptos"/>
          <w:szCs w:val="18"/>
        </w:rPr>
        <w:t>Minister van Klimaat en Groene Groei</w:t>
      </w:r>
    </w:p>
    <w:p w:rsidRPr="00A73E68" w:rsidR="00247260" w:rsidP="00247260" w:rsidRDefault="00247260" w14:paraId="27345AAF" w14:textId="77777777">
      <w:pPr>
        <w:rPr>
          <w:rFonts w:eastAsia="Aptos" w:cs="Aptos"/>
          <w:b/>
          <w:bCs/>
          <w:szCs w:val="18"/>
        </w:rPr>
      </w:pPr>
    </w:p>
    <w:p w:rsidR="003B2A5B" w:rsidRDefault="003B2A5B" w14:paraId="35C11736" w14:textId="77777777">
      <w:pPr>
        <w:spacing w:line="240" w:lineRule="auto"/>
        <w:rPr>
          <w:rFonts w:eastAsia="Aptos" w:cs="Aptos"/>
          <w:b/>
          <w:bCs/>
          <w:szCs w:val="18"/>
        </w:rPr>
      </w:pPr>
      <w:r>
        <w:rPr>
          <w:rFonts w:eastAsia="Aptos" w:cs="Aptos"/>
          <w:b/>
          <w:bCs/>
          <w:szCs w:val="18"/>
        </w:rPr>
        <w:br w:type="page"/>
      </w:r>
    </w:p>
    <w:p w:rsidR="00247260" w:rsidP="000F0BFD" w:rsidRDefault="00247260" w14:paraId="641F5917" w14:textId="4686D205">
      <w:pPr>
        <w:rPr>
          <w:rFonts w:eastAsia="Aptos" w:cs="Aptos"/>
          <w:szCs w:val="18"/>
        </w:rPr>
      </w:pPr>
      <w:r w:rsidRPr="00464896">
        <w:rPr>
          <w:rFonts w:eastAsia="Aptos" w:cs="Aptos"/>
          <w:b/>
          <w:bCs/>
          <w:szCs w:val="18"/>
        </w:rPr>
        <w:lastRenderedPageBreak/>
        <w:t xml:space="preserve">2025Z21366 </w:t>
      </w:r>
    </w:p>
    <w:p w:rsidRPr="00464896" w:rsidR="00247260" w:rsidP="00247260" w:rsidRDefault="00247260" w14:paraId="21A9A278" w14:textId="77777777">
      <w:pPr>
        <w:rPr>
          <w:rFonts w:eastAsia="Aptos" w:cs="Aptos"/>
          <w:szCs w:val="18"/>
        </w:rPr>
      </w:pPr>
      <w:r w:rsidRPr="00464896">
        <w:rPr>
          <w:rFonts w:eastAsia="Aptos" w:cs="Aptos"/>
          <w:szCs w:val="18"/>
        </w:rPr>
        <w:t xml:space="preserve"> </w:t>
      </w:r>
    </w:p>
    <w:p w:rsidRPr="00B66B2A" w:rsidR="00B66B2A" w:rsidP="00B66B2A" w:rsidRDefault="00B66B2A" w14:paraId="78095FA7" w14:textId="77777777">
      <w:pPr>
        <w:rPr>
          <w:rFonts w:eastAsia="Aptos" w:cs="Aptos"/>
          <w:szCs w:val="18"/>
        </w:rPr>
      </w:pPr>
      <w:r w:rsidRPr="00B66B2A">
        <w:rPr>
          <w:rFonts w:eastAsia="Aptos" w:cs="Aptos"/>
          <w:szCs w:val="18"/>
        </w:rPr>
        <w:t xml:space="preserve">(ingezonden 8 december 2025) </w:t>
      </w:r>
    </w:p>
    <w:p w:rsidRPr="00B66B2A" w:rsidR="00B66B2A" w:rsidP="00B66B2A" w:rsidRDefault="00B66B2A" w14:paraId="1AA7830E" w14:textId="77777777">
      <w:pPr>
        <w:rPr>
          <w:rFonts w:eastAsia="Aptos" w:cs="Aptos"/>
          <w:szCs w:val="18"/>
        </w:rPr>
      </w:pPr>
    </w:p>
    <w:p w:rsidR="00B66B2A" w:rsidP="00247260" w:rsidRDefault="00B66B2A" w14:paraId="5CFAFBC2" w14:textId="694B163F">
      <w:pPr>
        <w:rPr>
          <w:rFonts w:eastAsia="Aptos" w:cs="Aptos"/>
          <w:szCs w:val="18"/>
        </w:rPr>
      </w:pPr>
      <w:r w:rsidRPr="00B66B2A">
        <w:rPr>
          <w:rFonts w:eastAsia="Aptos" w:cs="Aptos"/>
          <w:szCs w:val="18"/>
        </w:rPr>
        <w:t>Vragen van de leden Kostic (PvdD), Dassen (Volt), Van Oosterhout en Zalinyan (beiden GroenLinks-PvdA) aan de minister van Klimaat en Groene Groei over de additionele kosten voor Tata Steel aangaande de maatwerkafspraak.</w:t>
      </w:r>
    </w:p>
    <w:p w:rsidR="00B66B2A" w:rsidP="00247260" w:rsidRDefault="00B66B2A" w14:paraId="04DDD0BE" w14:textId="77777777">
      <w:pPr>
        <w:rPr>
          <w:rFonts w:eastAsia="Aptos" w:cs="Aptos"/>
          <w:szCs w:val="18"/>
        </w:rPr>
      </w:pPr>
    </w:p>
    <w:p w:rsidR="00247260" w:rsidP="00247260" w:rsidRDefault="00247260" w14:paraId="03CAAAA4" w14:textId="44978BDF">
      <w:pPr>
        <w:rPr>
          <w:rFonts w:eastAsia="Aptos" w:cs="Aptos"/>
          <w:szCs w:val="18"/>
        </w:rPr>
      </w:pPr>
      <w:r w:rsidRPr="00464896">
        <w:rPr>
          <w:rFonts w:eastAsia="Aptos" w:cs="Aptos"/>
          <w:szCs w:val="18"/>
        </w:rPr>
        <w:t>1</w:t>
      </w:r>
    </w:p>
    <w:p w:rsidR="00247260" w:rsidP="00247260" w:rsidRDefault="00247260" w14:paraId="11010F47" w14:textId="78F5F1D9">
      <w:pPr>
        <w:rPr>
          <w:rFonts w:eastAsia="Aptos" w:cs="Aptos"/>
          <w:szCs w:val="18"/>
        </w:rPr>
      </w:pPr>
      <w:r w:rsidRPr="00464896">
        <w:rPr>
          <w:rFonts w:eastAsia="Aptos" w:cs="Aptos"/>
          <w:szCs w:val="18"/>
        </w:rPr>
        <w:t>Bent u bekend met de analyse van SOMO</w:t>
      </w:r>
      <w:r w:rsidR="000F0BFD">
        <w:rPr>
          <w:rFonts w:eastAsia="Aptos" w:cs="Aptos"/>
          <w:szCs w:val="18"/>
        </w:rPr>
        <w:t xml:space="preserve"> </w:t>
      </w:r>
      <w:r w:rsidRPr="00464896">
        <w:rPr>
          <w:rFonts w:eastAsia="Aptos" w:cs="Aptos"/>
          <w:szCs w:val="18"/>
        </w:rPr>
        <w:t xml:space="preserve">waaruit blijkt dat de voorwaarden in de intentieverklaring met Tata Steel jaarlijks 375 tot 580 miljoen euro aan additionele kosten kunnen meebrengen boven op de eenmalige subsidie van 2 miljard euro? </w:t>
      </w:r>
    </w:p>
    <w:p w:rsidR="00247260" w:rsidP="00247260" w:rsidRDefault="00247260" w14:paraId="70B3C505" w14:textId="77777777">
      <w:pPr>
        <w:rPr>
          <w:rFonts w:eastAsia="Aptos" w:cs="Aptos"/>
          <w:szCs w:val="18"/>
        </w:rPr>
      </w:pPr>
    </w:p>
    <w:p w:rsidR="00247260" w:rsidP="00247260" w:rsidRDefault="00247260" w14:paraId="3B9A53CB" w14:textId="77777777">
      <w:pPr>
        <w:rPr>
          <w:rFonts w:eastAsia="Aptos" w:cs="Aptos"/>
          <w:szCs w:val="18"/>
        </w:rPr>
      </w:pPr>
      <w:r>
        <w:rPr>
          <w:rFonts w:eastAsia="Aptos" w:cs="Aptos"/>
          <w:szCs w:val="18"/>
        </w:rPr>
        <w:t>Antwoord</w:t>
      </w:r>
    </w:p>
    <w:p w:rsidR="00247260" w:rsidP="00247260" w:rsidRDefault="00247260" w14:paraId="2A8D59B4" w14:textId="77777777">
      <w:pPr>
        <w:rPr>
          <w:rFonts w:eastAsia="Aptos" w:cs="Aptos"/>
          <w:szCs w:val="18"/>
        </w:rPr>
      </w:pPr>
      <w:r>
        <w:rPr>
          <w:rFonts w:eastAsia="Aptos" w:cs="Aptos"/>
          <w:szCs w:val="18"/>
        </w:rPr>
        <w:t xml:space="preserve">Ja. </w:t>
      </w:r>
    </w:p>
    <w:p w:rsidR="00247260" w:rsidP="00247260" w:rsidRDefault="00247260" w14:paraId="0BB728C2" w14:textId="77777777">
      <w:pPr>
        <w:rPr>
          <w:rFonts w:eastAsia="Aptos" w:cs="Aptos"/>
          <w:szCs w:val="18"/>
        </w:rPr>
      </w:pPr>
    </w:p>
    <w:p w:rsidRPr="00DC1704" w:rsidR="00247260" w:rsidP="00247260" w:rsidRDefault="00247260" w14:paraId="0CA35034" w14:textId="72BBF2F5">
      <w:pPr>
        <w:rPr>
          <w:rFonts w:eastAsia="Aptos" w:cs="Aptos"/>
          <w:szCs w:val="18"/>
        </w:rPr>
      </w:pPr>
      <w:r w:rsidRPr="1A78003A">
        <w:rPr>
          <w:rFonts w:eastAsia="Aptos" w:cs="Aptos"/>
          <w:szCs w:val="18"/>
        </w:rPr>
        <w:t xml:space="preserve">Graag </w:t>
      </w:r>
      <w:r w:rsidRPr="1A78003A" w:rsidR="005246E7">
        <w:rPr>
          <w:rFonts w:eastAsia="Aptos" w:cs="Aptos"/>
          <w:szCs w:val="18"/>
        </w:rPr>
        <w:t>ge</w:t>
      </w:r>
      <w:r w:rsidR="005246E7">
        <w:rPr>
          <w:rFonts w:eastAsia="Aptos" w:cs="Aptos"/>
          <w:szCs w:val="18"/>
        </w:rPr>
        <w:t>eft het kabinet</w:t>
      </w:r>
      <w:r w:rsidRPr="1A78003A">
        <w:rPr>
          <w:rFonts w:eastAsia="Aptos" w:cs="Aptos"/>
          <w:szCs w:val="18"/>
        </w:rPr>
        <w:t xml:space="preserve"> eerst een algemene toelichting waar in verschillende antwoorden naar zal </w:t>
      </w:r>
      <w:r w:rsidR="00EF4D51">
        <w:rPr>
          <w:rFonts w:eastAsia="Aptos" w:cs="Aptos"/>
          <w:szCs w:val="18"/>
        </w:rPr>
        <w:t>worden verwezen</w:t>
      </w:r>
      <w:r w:rsidRPr="1A78003A">
        <w:rPr>
          <w:rFonts w:eastAsia="Aptos" w:cs="Aptos"/>
          <w:szCs w:val="18"/>
        </w:rPr>
        <w:t xml:space="preserve">. De mogelijke maatwerkafspraak met Tata Steel Nederland (TSN) gaat over een aantal grote en maatschappelijk belangrijke doelstellingen en de beoogde ondersteuning vanuit de staat is omvangrijk. Het is dan ook begrijpelijk dat hier uitvoerig en kritisch naar wordt gekeken door bijvoorbeeld Stichting Onderzoek Multinationale Ondernemingen (SOMO). </w:t>
      </w:r>
    </w:p>
    <w:p w:rsidRPr="00DC1704" w:rsidR="00247260" w:rsidP="00247260" w:rsidRDefault="00247260" w14:paraId="7048976E" w14:textId="77777777">
      <w:pPr>
        <w:rPr>
          <w:rFonts w:eastAsia="Aptos" w:cs="Aptos"/>
          <w:szCs w:val="18"/>
        </w:rPr>
      </w:pPr>
    </w:p>
    <w:p w:rsidRPr="00DC1704" w:rsidR="00247260" w:rsidP="00247260" w:rsidRDefault="00247260" w14:paraId="2BE64E2C" w14:textId="2A730E8A">
      <w:pPr>
        <w:rPr>
          <w:rFonts w:eastAsia="Aptos" w:cs="Aptos"/>
          <w:szCs w:val="18"/>
        </w:rPr>
      </w:pPr>
      <w:r w:rsidRPr="1A78003A">
        <w:rPr>
          <w:rFonts w:eastAsia="Aptos" w:cs="Aptos"/>
          <w:szCs w:val="18"/>
        </w:rPr>
        <w:t>Het is daarbij van belang dat de informatie uit de Joint Letter of Intent (JLoI) op juiste wijze wordt geïnterpreteerd zodat hier geen misverstanden over ontstaan. De JLoI bevat inspanningsverplichtingen en de contouren</w:t>
      </w:r>
      <w:r w:rsidR="00B66B2A">
        <w:rPr>
          <w:rFonts w:eastAsia="Aptos" w:cs="Aptos"/>
          <w:szCs w:val="18"/>
        </w:rPr>
        <w:t xml:space="preserve"> </w:t>
      </w:r>
      <w:r w:rsidRPr="1A78003A" w:rsidR="00B66B2A">
        <w:rPr>
          <w:rFonts w:eastAsia="Aptos" w:cs="Aptos"/>
          <w:szCs w:val="18"/>
        </w:rPr>
        <w:t>van de definitieve maatwerkafspraak</w:t>
      </w:r>
      <w:r w:rsidRPr="1A78003A">
        <w:rPr>
          <w:rFonts w:eastAsia="Aptos" w:cs="Aptos"/>
          <w:szCs w:val="18"/>
        </w:rPr>
        <w:t>, waaronder de beoogde doelen, projecten en het financiële kader.</w:t>
      </w:r>
      <w:r w:rsidR="005246E7">
        <w:rPr>
          <w:rFonts w:eastAsia="Aptos" w:cs="Aptos"/>
          <w:szCs w:val="18"/>
        </w:rPr>
        <w:t xml:space="preserve"> In deze JLoI is opgenomen dat het kabinet </w:t>
      </w:r>
      <w:r w:rsidR="00CA477F">
        <w:rPr>
          <w:rFonts w:eastAsia="Aptos" w:cs="Aptos"/>
          <w:szCs w:val="18"/>
        </w:rPr>
        <w:t xml:space="preserve">maximaal 2 miljard euro </w:t>
      </w:r>
      <w:r w:rsidR="005246E7">
        <w:rPr>
          <w:rFonts w:eastAsia="Aptos" w:cs="Aptos"/>
          <w:szCs w:val="18"/>
        </w:rPr>
        <w:t>beschikbaar stelt voor</w:t>
      </w:r>
      <w:r w:rsidR="00CA477F">
        <w:rPr>
          <w:rFonts w:eastAsia="Aptos" w:cs="Aptos"/>
          <w:szCs w:val="18"/>
        </w:rPr>
        <w:t xml:space="preserve"> de verduurzaming en het schoner maken van de staalproductie bij T</w:t>
      </w:r>
      <w:r w:rsidR="0010484C">
        <w:rPr>
          <w:rFonts w:eastAsia="Aptos" w:cs="Aptos"/>
          <w:szCs w:val="18"/>
        </w:rPr>
        <w:t>SN</w:t>
      </w:r>
      <w:r w:rsidR="00CA477F">
        <w:rPr>
          <w:rFonts w:eastAsia="Aptos" w:cs="Aptos"/>
          <w:szCs w:val="18"/>
        </w:rPr>
        <w:t>.</w:t>
      </w:r>
      <w:r w:rsidR="0010484C">
        <w:rPr>
          <w:rFonts w:eastAsia="Aptos" w:cs="Aptos"/>
          <w:szCs w:val="18"/>
        </w:rPr>
        <w:t xml:space="preserve"> </w:t>
      </w:r>
      <w:r w:rsidRPr="1A78003A">
        <w:rPr>
          <w:rFonts w:eastAsia="Aptos" w:cs="Aptos"/>
          <w:szCs w:val="18"/>
        </w:rPr>
        <w:t xml:space="preserve">Met de JLoI committeert de staat zich </w:t>
      </w:r>
      <w:r w:rsidR="00F85486">
        <w:rPr>
          <w:rFonts w:eastAsia="Aptos" w:cs="Aptos"/>
          <w:szCs w:val="18"/>
        </w:rPr>
        <w:t xml:space="preserve">op dit moment </w:t>
      </w:r>
      <w:r w:rsidR="00156A20">
        <w:rPr>
          <w:rFonts w:eastAsia="Aptos" w:cs="Aptos"/>
          <w:szCs w:val="18"/>
        </w:rPr>
        <w:t xml:space="preserve">op </w:t>
      </w:r>
      <w:r w:rsidRPr="1A78003A">
        <w:rPr>
          <w:rFonts w:eastAsia="Aptos" w:cs="Aptos"/>
          <w:szCs w:val="18"/>
        </w:rPr>
        <w:t xml:space="preserve">geen enkele manier aan kostenstijgingen boven op de beoogde maatwerksubsidie van 2 miljard euro. </w:t>
      </w:r>
    </w:p>
    <w:p w:rsidRPr="00DC1704" w:rsidR="00247260" w:rsidP="00247260" w:rsidRDefault="00247260" w14:paraId="3D51C786" w14:textId="77777777">
      <w:pPr>
        <w:rPr>
          <w:rFonts w:eastAsia="Aptos" w:cs="Aptos"/>
          <w:szCs w:val="18"/>
        </w:rPr>
      </w:pPr>
    </w:p>
    <w:p w:rsidRPr="00DC1704" w:rsidR="00247260" w:rsidP="00247260" w:rsidRDefault="00247260" w14:paraId="05603BD8" w14:textId="12AE9862">
      <w:pPr>
        <w:rPr>
          <w:rFonts w:eastAsia="Aptos" w:cs="Aptos"/>
          <w:szCs w:val="18"/>
        </w:rPr>
      </w:pPr>
      <w:r>
        <w:rPr>
          <w:rFonts w:eastAsia="Aptos" w:cs="Aptos"/>
          <w:szCs w:val="18"/>
        </w:rPr>
        <w:t>De SOMO-</w:t>
      </w:r>
      <w:r w:rsidRPr="0F0B277C">
        <w:rPr>
          <w:rFonts w:eastAsia="Aptos" w:cs="Aptos"/>
          <w:szCs w:val="18"/>
        </w:rPr>
        <w:t>analyse stelt</w:t>
      </w:r>
      <w:r>
        <w:rPr>
          <w:rFonts w:eastAsia="Aptos" w:cs="Aptos"/>
          <w:szCs w:val="18"/>
        </w:rPr>
        <w:t xml:space="preserve"> op basis van de opzeggronden voor TSN en de inspanningen van de staat uit de JLoI dat de staat met de maatwerkafspraak met TSN in een subsidiefuik terecht komt. Gelet op bovenstaande </w:t>
      </w:r>
      <w:r w:rsidR="005246E7">
        <w:rPr>
          <w:rFonts w:eastAsia="Aptos" w:cs="Aptos"/>
          <w:szCs w:val="18"/>
        </w:rPr>
        <w:t>onderschrijft het kabinet</w:t>
      </w:r>
      <w:r>
        <w:rPr>
          <w:rFonts w:eastAsia="Aptos" w:cs="Aptos"/>
          <w:szCs w:val="18"/>
        </w:rPr>
        <w:t xml:space="preserve"> deze stelling niet</w:t>
      </w:r>
      <w:r w:rsidRPr="5B129B61">
        <w:rPr>
          <w:rFonts w:eastAsia="Aptos" w:cs="Aptos"/>
          <w:szCs w:val="18"/>
        </w:rPr>
        <w:t>. Dit wordt hierna verder toegelicht</w:t>
      </w:r>
      <w:r>
        <w:rPr>
          <w:rFonts w:eastAsia="Aptos" w:cs="Aptos"/>
          <w:szCs w:val="18"/>
        </w:rPr>
        <w:t>.</w:t>
      </w:r>
    </w:p>
    <w:p w:rsidR="00247260" w:rsidP="00247260" w:rsidRDefault="00247260" w14:paraId="57E490FA" w14:textId="77777777">
      <w:pPr>
        <w:rPr>
          <w:rFonts w:eastAsia="Aptos" w:cs="Aptos"/>
          <w:szCs w:val="18"/>
        </w:rPr>
      </w:pPr>
    </w:p>
    <w:p w:rsidR="00247260" w:rsidP="00247260" w:rsidRDefault="00364D65" w14:paraId="73A1DBCA" w14:textId="7A908EC6">
      <w:pPr>
        <w:rPr>
          <w:rFonts w:eastAsia="Aptos" w:cs="Aptos"/>
          <w:szCs w:val="18"/>
        </w:rPr>
      </w:pPr>
      <w:r>
        <w:rPr>
          <w:rFonts w:eastAsia="Aptos" w:cs="Aptos"/>
          <w:szCs w:val="18"/>
        </w:rPr>
        <w:t>Met</w:t>
      </w:r>
      <w:r w:rsidRPr="5B129B61" w:rsidR="00247260">
        <w:rPr>
          <w:rFonts w:eastAsia="Aptos" w:cs="Aptos"/>
          <w:szCs w:val="18"/>
        </w:rPr>
        <w:t xml:space="preserve"> de opzeggronden op het gebied van netwerkkosten, de nationale CO</w:t>
      </w:r>
      <w:r w:rsidRPr="5B129B61" w:rsidR="00247260">
        <w:rPr>
          <w:rFonts w:eastAsia="Aptos" w:cs="Aptos"/>
          <w:szCs w:val="18"/>
          <w:vertAlign w:val="subscript"/>
        </w:rPr>
        <w:t>2</w:t>
      </w:r>
      <w:r w:rsidRPr="5B129B61" w:rsidR="00247260">
        <w:rPr>
          <w:rFonts w:eastAsia="Aptos" w:cs="Aptos"/>
          <w:szCs w:val="18"/>
        </w:rPr>
        <w:t>-heffing en het beleid rond staalslakken</w:t>
      </w:r>
      <w:r>
        <w:rPr>
          <w:rFonts w:eastAsia="Aptos" w:cs="Aptos"/>
          <w:szCs w:val="18"/>
        </w:rPr>
        <w:t xml:space="preserve"> committeert de staat </w:t>
      </w:r>
      <w:r w:rsidRPr="00A1399B">
        <w:rPr>
          <w:rFonts w:eastAsia="Aptos" w:cs="Aptos"/>
          <w:szCs w:val="18"/>
        </w:rPr>
        <w:t>zich op dit moment op geen enkele wijze aan compensatie of het betalen van kostenstijgingen aan TSN</w:t>
      </w:r>
      <w:r w:rsidRPr="00A1399B" w:rsidR="00247260">
        <w:rPr>
          <w:rFonts w:eastAsia="Aptos" w:cs="Aptos"/>
          <w:szCs w:val="18"/>
        </w:rPr>
        <w:t xml:space="preserve">. </w:t>
      </w:r>
      <w:r w:rsidR="007C35CC">
        <w:rPr>
          <w:rFonts w:eastAsia="Aptos" w:cs="Aptos"/>
          <w:szCs w:val="18"/>
        </w:rPr>
        <w:t>Het zijn opzeggronden voor de JLoI</w:t>
      </w:r>
      <w:r w:rsidR="004E2070">
        <w:rPr>
          <w:rFonts w:eastAsia="Aptos" w:cs="Aptos"/>
          <w:szCs w:val="18"/>
        </w:rPr>
        <w:t xml:space="preserve"> voor het bedrijf</w:t>
      </w:r>
      <w:r w:rsidR="007C35CC">
        <w:rPr>
          <w:rFonts w:eastAsia="Aptos" w:cs="Aptos"/>
          <w:szCs w:val="18"/>
        </w:rPr>
        <w:t xml:space="preserve">, geen voorwaarden waaraan </w:t>
      </w:r>
      <w:r w:rsidR="0008215A">
        <w:rPr>
          <w:rFonts w:eastAsia="Aptos" w:cs="Aptos"/>
          <w:szCs w:val="18"/>
        </w:rPr>
        <w:t>de staat verplicht is te voldoen</w:t>
      </w:r>
      <w:r w:rsidR="007C35CC">
        <w:rPr>
          <w:rFonts w:eastAsia="Aptos" w:cs="Aptos"/>
          <w:szCs w:val="18"/>
        </w:rPr>
        <w:t xml:space="preserve">. </w:t>
      </w:r>
      <w:r w:rsidRPr="00A1399B" w:rsidR="00247260">
        <w:rPr>
          <w:rFonts w:eastAsia="Aptos" w:cs="Aptos"/>
          <w:szCs w:val="18"/>
        </w:rPr>
        <w:t>De staat maakt beleid dat zij nodig acht voor klimaat, gezondheid en veiligheid</w:t>
      </w:r>
      <w:r w:rsidR="00247260">
        <w:rPr>
          <w:rFonts w:eastAsia="Aptos" w:cs="Aptos"/>
          <w:szCs w:val="18"/>
        </w:rPr>
        <w:t xml:space="preserve"> en de afspraken in de JLoI beperken de staat hier op geen enkele manier in</w:t>
      </w:r>
      <w:r w:rsidRPr="5B129B61" w:rsidR="00247260">
        <w:rPr>
          <w:rFonts w:eastAsia="Aptos" w:cs="Aptos"/>
          <w:szCs w:val="18"/>
        </w:rPr>
        <w:t xml:space="preserve">. Indien (nieuw) beleid op deze punten leidt tot een </w:t>
      </w:r>
      <w:r w:rsidR="00247260">
        <w:rPr>
          <w:rFonts w:eastAsia="Aptos" w:cs="Aptos"/>
          <w:szCs w:val="18"/>
        </w:rPr>
        <w:t xml:space="preserve">substantiële </w:t>
      </w:r>
      <w:r w:rsidRPr="5B129B61" w:rsidR="00247260">
        <w:rPr>
          <w:rFonts w:eastAsia="Aptos" w:cs="Aptos"/>
          <w:szCs w:val="18"/>
        </w:rPr>
        <w:t xml:space="preserve">negatieve impact op de businesscase van TSN, is het aan TSN om een afweging te maken of zij de JLoI op willen zeggen op basis van één van deze opzeggronden. </w:t>
      </w:r>
      <w:r w:rsidR="00C4458F">
        <w:rPr>
          <w:rFonts w:eastAsia="Aptos" w:cs="Aptos"/>
          <w:szCs w:val="18"/>
        </w:rPr>
        <w:t xml:space="preserve">Daarbij gelden de opzeggronden enkel voor de </w:t>
      </w:r>
      <w:r w:rsidRPr="004E2070" w:rsidR="00C4458F">
        <w:rPr>
          <w:rFonts w:eastAsia="Aptos" w:cs="Aptos"/>
          <w:szCs w:val="18"/>
        </w:rPr>
        <w:t xml:space="preserve">JLoI en niet meer </w:t>
      </w:r>
      <w:r w:rsidRPr="004E2070" w:rsidR="00C4458F">
        <w:rPr>
          <w:rFonts w:eastAsia="Aptos" w:cs="Aptos"/>
          <w:szCs w:val="18"/>
        </w:rPr>
        <w:lastRenderedPageBreak/>
        <w:t>op het moment dat er een definitieve maatwerkafspraak is gesloten</w:t>
      </w:r>
      <w:r w:rsidR="00C4458F">
        <w:rPr>
          <w:rFonts w:eastAsia="Aptos" w:cs="Aptos"/>
          <w:szCs w:val="18"/>
        </w:rPr>
        <w:t xml:space="preserve">. </w:t>
      </w:r>
      <w:r w:rsidR="00247260">
        <w:rPr>
          <w:rFonts w:eastAsia="Aptos" w:cs="Aptos"/>
          <w:szCs w:val="18"/>
        </w:rPr>
        <w:t xml:space="preserve">Een subsidieaanvraag en een maatwerkafspraak is een vrijwillig traject. Dit betekent dat TSN altijd zelf een overweging zal moeten maken om wel of niet tot een maatwerkafspraak over te gaan. </w:t>
      </w:r>
      <w:r w:rsidRPr="5B129B61" w:rsidR="00247260">
        <w:rPr>
          <w:rFonts w:eastAsia="Aptos" w:cs="Aptos"/>
          <w:szCs w:val="18"/>
        </w:rPr>
        <w:t xml:space="preserve">Zoals in de JLoI vermeld, stelt de staat maximaal 2 miljard euro maatwerksubsidie beschikbaar voor de maatwerkafspraak met TSN. De overige kosten en de investeringsbeslissing zijn voor rekening en risico van TSN zelf. </w:t>
      </w:r>
    </w:p>
    <w:p w:rsidR="00247260" w:rsidP="00247260" w:rsidRDefault="00247260" w14:paraId="2379DB1B" w14:textId="77777777">
      <w:pPr>
        <w:rPr>
          <w:rFonts w:eastAsia="Aptos" w:cs="Aptos"/>
          <w:szCs w:val="18"/>
        </w:rPr>
      </w:pPr>
    </w:p>
    <w:p w:rsidR="00C4458F" w:rsidP="00247260" w:rsidRDefault="00364D65" w14:paraId="7E07486E" w14:textId="20964F77">
      <w:pPr>
        <w:rPr>
          <w:rFonts w:eastAsia="Aptos" w:cs="Aptos"/>
          <w:szCs w:val="18"/>
        </w:rPr>
      </w:pPr>
      <w:r>
        <w:rPr>
          <w:rFonts w:eastAsia="Aptos" w:cs="Aptos"/>
          <w:szCs w:val="18"/>
        </w:rPr>
        <w:t>De inspanningsverplichtingen van de staat uit</w:t>
      </w:r>
      <w:r w:rsidRPr="5B129B61" w:rsidR="00247260">
        <w:rPr>
          <w:rFonts w:eastAsia="Aptos" w:cs="Aptos"/>
          <w:szCs w:val="18"/>
        </w:rPr>
        <w:t xml:space="preserve"> de SOMO-analyse betref</w:t>
      </w:r>
      <w:r>
        <w:rPr>
          <w:rFonts w:eastAsia="Aptos" w:cs="Aptos"/>
          <w:szCs w:val="18"/>
        </w:rPr>
        <w:t>fen</w:t>
      </w:r>
      <w:r w:rsidRPr="5B129B61" w:rsidR="00247260">
        <w:rPr>
          <w:rFonts w:eastAsia="Aptos" w:cs="Aptos"/>
          <w:szCs w:val="18"/>
        </w:rPr>
        <w:t xml:space="preserve"> beleidsmatige vraagstukken die al nadrukkelijk op de politieke agenda staan, los van dit maatwerktraject met TSN.</w:t>
      </w:r>
      <w:r w:rsidR="005246E7">
        <w:rPr>
          <w:rFonts w:eastAsia="Aptos" w:cs="Aptos"/>
          <w:szCs w:val="18"/>
        </w:rPr>
        <w:t xml:space="preserve"> Dit betref</w:t>
      </w:r>
      <w:r w:rsidR="007C35CC">
        <w:rPr>
          <w:rFonts w:eastAsia="Aptos" w:cs="Aptos"/>
          <w:szCs w:val="18"/>
        </w:rPr>
        <w:t>fen randvoorwaarden voor de verduurzaming van de industrie</w:t>
      </w:r>
      <w:r w:rsidR="0008215A">
        <w:rPr>
          <w:rFonts w:eastAsia="Aptos" w:cs="Aptos"/>
          <w:szCs w:val="18"/>
        </w:rPr>
        <w:t xml:space="preserve"> in den brede</w:t>
      </w:r>
      <w:r w:rsidR="007C35CC">
        <w:rPr>
          <w:rFonts w:eastAsia="Aptos" w:cs="Aptos"/>
          <w:szCs w:val="18"/>
        </w:rPr>
        <w:t>, zoals</w:t>
      </w:r>
      <w:r w:rsidR="005246E7">
        <w:rPr>
          <w:rFonts w:eastAsia="Aptos" w:cs="Aptos"/>
          <w:szCs w:val="18"/>
        </w:rPr>
        <w:t xml:space="preserve"> </w:t>
      </w:r>
      <w:r w:rsidRPr="5B129B61" w:rsidR="0010484C">
        <w:rPr>
          <w:rFonts w:eastAsia="Aptos" w:cs="Aptos"/>
          <w:szCs w:val="18"/>
        </w:rPr>
        <w:t>de marktontwikkeling van biomethaan en de benodigde infrastructuur voor CO</w:t>
      </w:r>
      <w:r w:rsidRPr="5B129B61" w:rsidR="0010484C">
        <w:rPr>
          <w:rFonts w:eastAsia="Aptos" w:cs="Aptos"/>
          <w:szCs w:val="18"/>
          <w:vertAlign w:val="subscript"/>
        </w:rPr>
        <w:t>2</w:t>
      </w:r>
      <w:r w:rsidRPr="5B129B61" w:rsidR="0010484C">
        <w:rPr>
          <w:rFonts w:eastAsia="Aptos" w:cs="Aptos"/>
          <w:szCs w:val="18"/>
        </w:rPr>
        <w:t xml:space="preserve">-afvang en -opslag (CCS). </w:t>
      </w:r>
      <w:r>
        <w:rPr>
          <w:rFonts w:eastAsia="Aptos" w:cs="Aptos"/>
          <w:szCs w:val="18"/>
        </w:rPr>
        <w:t xml:space="preserve">Ook hiermee committeert de staat zich </w:t>
      </w:r>
      <w:r w:rsidRPr="00F85486">
        <w:rPr>
          <w:rFonts w:eastAsia="Aptos" w:cs="Aptos"/>
          <w:szCs w:val="18"/>
        </w:rPr>
        <w:t>op dit moment</w:t>
      </w:r>
      <w:r>
        <w:rPr>
          <w:rFonts w:eastAsia="Aptos" w:cs="Aptos"/>
          <w:szCs w:val="18"/>
        </w:rPr>
        <w:t xml:space="preserve"> op geen enkele manier aan het betalen van meerkosten aan TSN. </w:t>
      </w:r>
      <w:r w:rsidRPr="5B129B61" w:rsidR="00247260">
        <w:rPr>
          <w:rFonts w:eastAsia="Aptos" w:cs="Aptos"/>
          <w:szCs w:val="18"/>
        </w:rPr>
        <w:t>Dit zijn generieke beleidsvraagstukken die in de volle breedte moeten worden opgelost, ook als er geen maatwerkafspraak met TSN wordt gesloten.</w:t>
      </w:r>
      <w:r w:rsidR="007E7475">
        <w:rPr>
          <w:rFonts w:eastAsia="Aptos" w:cs="Aptos"/>
          <w:szCs w:val="18"/>
        </w:rPr>
        <w:t xml:space="preserve"> Daarbij </w:t>
      </w:r>
      <w:r w:rsidR="00216906">
        <w:rPr>
          <w:rFonts w:eastAsia="Aptos" w:cs="Aptos"/>
          <w:szCs w:val="18"/>
        </w:rPr>
        <w:t xml:space="preserve">rekenen we </w:t>
      </w:r>
      <w:r w:rsidR="007E7475">
        <w:rPr>
          <w:rFonts w:eastAsia="Aptos" w:cs="Aptos"/>
          <w:szCs w:val="18"/>
        </w:rPr>
        <w:t xml:space="preserve">de kosten van generieke investeringen in infrastructuur of van beleidsmaatregelen (zoals kortingen) </w:t>
      </w:r>
      <w:r w:rsidR="00216906">
        <w:rPr>
          <w:rFonts w:eastAsia="Aptos" w:cs="Aptos"/>
          <w:szCs w:val="18"/>
        </w:rPr>
        <w:t>bij geen enkel (maatwerk)bedrijf toe</w:t>
      </w:r>
      <w:r w:rsidR="00525A20">
        <w:rPr>
          <w:rFonts w:eastAsia="Aptos" w:cs="Aptos"/>
          <w:szCs w:val="18"/>
        </w:rPr>
        <w:t xml:space="preserve"> aan</w:t>
      </w:r>
      <w:r w:rsidR="00216906">
        <w:rPr>
          <w:rFonts w:eastAsia="Aptos" w:cs="Aptos"/>
          <w:szCs w:val="18"/>
        </w:rPr>
        <w:t xml:space="preserve"> de</w:t>
      </w:r>
      <w:r w:rsidR="00525A20">
        <w:rPr>
          <w:rFonts w:eastAsia="Aptos" w:cs="Aptos"/>
          <w:szCs w:val="18"/>
        </w:rPr>
        <w:t xml:space="preserve"> individuele bedrijven.</w:t>
      </w:r>
    </w:p>
    <w:p w:rsidR="00016D70" w:rsidP="00247260" w:rsidRDefault="00016D70" w14:paraId="6E016E95" w14:textId="77777777">
      <w:pPr>
        <w:rPr>
          <w:rFonts w:eastAsia="Aptos" w:cs="Aptos"/>
          <w:szCs w:val="18"/>
        </w:rPr>
      </w:pPr>
    </w:p>
    <w:p w:rsidR="00247260" w:rsidP="00247260" w:rsidRDefault="00247260" w14:paraId="70C1A7F3" w14:textId="5D1AF3A2">
      <w:pPr>
        <w:rPr>
          <w:rFonts w:eastAsia="Aptos" w:cs="Aptos"/>
          <w:szCs w:val="18"/>
        </w:rPr>
      </w:pPr>
      <w:r w:rsidRPr="4F635651">
        <w:rPr>
          <w:rFonts w:eastAsia="Aptos" w:cs="Aptos"/>
          <w:szCs w:val="18"/>
        </w:rPr>
        <w:t xml:space="preserve">Tenslotte geldt dat het ontvangen van een eventuele maatwerksubsidie niet betekent dat het bedrijf geen aanspraak kan maken op andere generieke duurzaamheidssubsidies, zoals bijvoorbeeld de SDE++ voor CCS. Dit zijn immers generieke subsidies </w:t>
      </w:r>
      <w:r>
        <w:rPr>
          <w:rFonts w:eastAsia="Aptos" w:cs="Aptos"/>
          <w:szCs w:val="18"/>
        </w:rPr>
        <w:t xml:space="preserve">waar </w:t>
      </w:r>
      <w:r w:rsidRPr="4F635651">
        <w:rPr>
          <w:rFonts w:eastAsia="Aptos" w:cs="Aptos"/>
          <w:szCs w:val="18"/>
        </w:rPr>
        <w:t xml:space="preserve">ieder bedrijf </w:t>
      </w:r>
      <w:r>
        <w:rPr>
          <w:rFonts w:eastAsia="Aptos" w:cs="Aptos"/>
          <w:szCs w:val="18"/>
        </w:rPr>
        <w:t xml:space="preserve">een aanvraag voor kan indienen. </w:t>
      </w:r>
      <w:r w:rsidRPr="4F635651">
        <w:rPr>
          <w:rFonts w:eastAsia="Aptos" w:cs="Aptos"/>
          <w:szCs w:val="18"/>
        </w:rPr>
        <w:t>Zoals in de JLoI ook staat beschreven, mag TSN in de toekomst een subsidie aanvraag indienen en zal deze aanvraag worden getoetst en gewogen zoals bij ieder ander bedrijf. Het al dan niet verkrijgen van deze eventuele generieke subsidie biedt geen mogelijkheid tot opzeggen van de maatwerkafspraak</w:t>
      </w:r>
      <w:r>
        <w:rPr>
          <w:rFonts w:eastAsia="Aptos" w:cs="Aptos"/>
          <w:szCs w:val="18"/>
        </w:rPr>
        <w:t xml:space="preserve">. </w:t>
      </w:r>
      <w:r w:rsidRPr="4F635651">
        <w:rPr>
          <w:rFonts w:eastAsia="Aptos" w:cs="Aptos"/>
          <w:szCs w:val="18"/>
        </w:rPr>
        <w:t xml:space="preserve"> </w:t>
      </w:r>
    </w:p>
    <w:p w:rsidR="00247260" w:rsidP="00247260" w:rsidRDefault="00247260" w14:paraId="505508AB" w14:textId="77777777">
      <w:pPr>
        <w:rPr>
          <w:rFonts w:eastAsia="Aptos" w:cs="Aptos"/>
          <w:szCs w:val="18"/>
        </w:rPr>
      </w:pPr>
    </w:p>
    <w:p w:rsidR="00247260" w:rsidP="00247260" w:rsidRDefault="00247260" w14:paraId="693A5778" w14:textId="6FA02F6D">
      <w:pPr>
        <w:rPr>
          <w:rFonts w:eastAsia="Aptos" w:cs="Aptos"/>
          <w:szCs w:val="18"/>
        </w:rPr>
      </w:pPr>
      <w:r>
        <w:rPr>
          <w:rFonts w:eastAsia="Aptos" w:cs="Aptos"/>
          <w:szCs w:val="18"/>
        </w:rPr>
        <w:t xml:space="preserve">De komende periode onderhandelen de ministeries van KGG en IenW verder met het bedrijf om tot een definitieve maatwerkafspraak te komen. </w:t>
      </w:r>
      <w:r w:rsidR="000B3A44">
        <w:rPr>
          <w:rFonts w:eastAsia="Aptos" w:cs="Aptos"/>
          <w:szCs w:val="18"/>
        </w:rPr>
        <w:t xml:space="preserve">Het kabinet zal </w:t>
      </w:r>
      <w:r>
        <w:rPr>
          <w:rFonts w:eastAsia="Aptos" w:cs="Aptos"/>
          <w:szCs w:val="18"/>
        </w:rPr>
        <w:t xml:space="preserve">openbaar informatie delen voor zover dat mogelijk is. Gelet op de bedrijfsvertrouwelijkheid en mogelijke koersgevoeligheid van de informatie kan niet alles openbaar gedeeld worden, maar </w:t>
      </w:r>
      <w:r w:rsidR="000B3A44">
        <w:rPr>
          <w:rFonts w:eastAsia="Aptos" w:cs="Aptos"/>
          <w:szCs w:val="18"/>
        </w:rPr>
        <w:t>kan het kabinet</w:t>
      </w:r>
      <w:r>
        <w:rPr>
          <w:rFonts w:eastAsia="Aptos" w:cs="Aptos"/>
          <w:szCs w:val="18"/>
        </w:rPr>
        <w:t xml:space="preserve"> de Kamer daar wel vertrouwelijk over informeren.</w:t>
      </w:r>
    </w:p>
    <w:p w:rsidRPr="00464896" w:rsidR="00247260" w:rsidP="00247260" w:rsidRDefault="00247260" w14:paraId="7E3A7E24" w14:textId="77777777">
      <w:pPr>
        <w:rPr>
          <w:rFonts w:eastAsia="Aptos" w:cs="Aptos"/>
          <w:szCs w:val="18"/>
        </w:rPr>
      </w:pPr>
    </w:p>
    <w:p w:rsidR="00247260" w:rsidP="00247260" w:rsidRDefault="00247260" w14:paraId="25062C55" w14:textId="77777777">
      <w:pPr>
        <w:rPr>
          <w:rFonts w:eastAsia="Aptos" w:cs="Aptos"/>
          <w:szCs w:val="18"/>
        </w:rPr>
      </w:pPr>
      <w:r w:rsidRPr="00464896">
        <w:rPr>
          <w:rFonts w:eastAsia="Aptos" w:cs="Aptos"/>
          <w:szCs w:val="18"/>
        </w:rPr>
        <w:t>2</w:t>
      </w:r>
    </w:p>
    <w:p w:rsidRPr="00464896" w:rsidR="00247260" w:rsidP="00247260" w:rsidRDefault="00247260" w14:paraId="78DF7917" w14:textId="77777777">
      <w:pPr>
        <w:rPr>
          <w:rFonts w:eastAsia="Aptos" w:cs="Aptos"/>
          <w:szCs w:val="18"/>
        </w:rPr>
      </w:pPr>
      <w:r w:rsidRPr="00464896">
        <w:rPr>
          <w:rFonts w:eastAsia="Aptos" w:cs="Aptos"/>
          <w:szCs w:val="18"/>
        </w:rPr>
        <w:t xml:space="preserve">Kunt u per voorwaarde in de intentieverklaring aangeven wat de verwachte meerkosten voor de Staat zijn, uitgesplitst naar: </w:t>
      </w:r>
    </w:p>
    <w:p w:rsidRPr="00464896" w:rsidR="00247260" w:rsidP="00247260" w:rsidRDefault="00247260" w14:paraId="30355ABF" w14:textId="77777777">
      <w:pPr>
        <w:rPr>
          <w:rFonts w:eastAsia="Aptos" w:cs="Aptos"/>
          <w:szCs w:val="18"/>
        </w:rPr>
      </w:pPr>
      <w:r w:rsidRPr="00464896">
        <w:rPr>
          <w:rFonts w:eastAsia="Aptos" w:cs="Aptos"/>
          <w:szCs w:val="18"/>
        </w:rPr>
        <w:t>- de ontwikkeling van de biomethaanmarkt en bijbehorende subsidies;</w:t>
      </w:r>
    </w:p>
    <w:p w:rsidRPr="00464896" w:rsidR="00247260" w:rsidP="00247260" w:rsidRDefault="00247260" w14:paraId="09E720BD" w14:textId="77777777">
      <w:pPr>
        <w:rPr>
          <w:rFonts w:eastAsia="Aptos" w:cs="Aptos"/>
          <w:szCs w:val="18"/>
        </w:rPr>
      </w:pPr>
      <w:r w:rsidRPr="00464896">
        <w:rPr>
          <w:rFonts w:eastAsia="Aptos" w:cs="Aptos"/>
          <w:szCs w:val="18"/>
        </w:rPr>
        <w:t xml:space="preserve">- de realisatie van de Aramis CCS-infrastructuur; </w:t>
      </w:r>
    </w:p>
    <w:p w:rsidRPr="00464896" w:rsidR="00247260" w:rsidP="00247260" w:rsidRDefault="00247260" w14:paraId="02DFB3DA" w14:textId="77777777">
      <w:pPr>
        <w:rPr>
          <w:rFonts w:eastAsia="Aptos" w:cs="Aptos"/>
          <w:szCs w:val="18"/>
        </w:rPr>
      </w:pPr>
      <w:r w:rsidRPr="00464896">
        <w:rPr>
          <w:rFonts w:eastAsia="Aptos" w:cs="Aptos"/>
          <w:szCs w:val="18"/>
        </w:rPr>
        <w:t xml:space="preserve">- de aansluiting op offshore windparken en bijbehorende energieopslag; </w:t>
      </w:r>
    </w:p>
    <w:p w:rsidRPr="00464896" w:rsidR="00247260" w:rsidP="00247260" w:rsidRDefault="00247260" w14:paraId="5B0366B8" w14:textId="77777777">
      <w:pPr>
        <w:rPr>
          <w:rFonts w:eastAsia="Aptos" w:cs="Aptos"/>
          <w:szCs w:val="18"/>
        </w:rPr>
      </w:pPr>
      <w:r w:rsidRPr="00464896">
        <w:rPr>
          <w:rFonts w:eastAsia="Aptos" w:cs="Aptos"/>
          <w:szCs w:val="18"/>
        </w:rPr>
        <w:t xml:space="preserve">- compensatie voor eventuele stijging van netwerkkosten; </w:t>
      </w:r>
    </w:p>
    <w:p w:rsidRPr="00464896" w:rsidR="00247260" w:rsidP="00247260" w:rsidRDefault="00247260" w14:paraId="2C888759" w14:textId="77777777">
      <w:pPr>
        <w:rPr>
          <w:rFonts w:eastAsia="Aptos" w:cs="Aptos"/>
          <w:szCs w:val="18"/>
        </w:rPr>
      </w:pPr>
      <w:r w:rsidRPr="00464896">
        <w:rPr>
          <w:rFonts w:eastAsia="Aptos" w:cs="Aptos"/>
          <w:szCs w:val="18"/>
        </w:rPr>
        <w:t xml:space="preserve">- compensatie voor de nationale CO₂-heffing; </w:t>
      </w:r>
    </w:p>
    <w:p w:rsidR="00247260" w:rsidP="00247260" w:rsidRDefault="00247260" w14:paraId="0CBD3E65" w14:textId="77777777">
      <w:pPr>
        <w:rPr>
          <w:rFonts w:eastAsia="Aptos" w:cs="Aptos"/>
          <w:szCs w:val="18"/>
        </w:rPr>
      </w:pPr>
      <w:r w:rsidRPr="00464896">
        <w:rPr>
          <w:rFonts w:eastAsia="Aptos" w:cs="Aptos"/>
          <w:szCs w:val="18"/>
        </w:rPr>
        <w:t xml:space="preserve">- eventuele kosten gerelateerd aan gewijzigd beleid rond staalslakken? </w:t>
      </w:r>
    </w:p>
    <w:p w:rsidR="00016D70" w:rsidP="00247260" w:rsidRDefault="00016D70" w14:paraId="5D0200AA" w14:textId="77777777">
      <w:pPr>
        <w:rPr>
          <w:rFonts w:eastAsia="Aptos" w:cs="Aptos"/>
          <w:szCs w:val="18"/>
        </w:rPr>
      </w:pPr>
    </w:p>
    <w:p w:rsidR="00016D70" w:rsidRDefault="00016D70" w14:paraId="73A1821C" w14:textId="77777777">
      <w:pPr>
        <w:spacing w:line="240" w:lineRule="auto"/>
        <w:rPr>
          <w:rFonts w:eastAsia="Aptos" w:cs="Aptos"/>
          <w:szCs w:val="18"/>
        </w:rPr>
      </w:pPr>
      <w:r>
        <w:rPr>
          <w:rFonts w:eastAsia="Aptos" w:cs="Aptos"/>
          <w:szCs w:val="18"/>
        </w:rPr>
        <w:br w:type="page"/>
      </w:r>
    </w:p>
    <w:p w:rsidR="00247260" w:rsidP="00247260" w:rsidRDefault="00247260" w14:paraId="12BF47B9" w14:textId="048168E3">
      <w:pPr>
        <w:rPr>
          <w:rFonts w:eastAsia="Aptos" w:cs="Aptos"/>
          <w:szCs w:val="18"/>
        </w:rPr>
      </w:pPr>
      <w:r>
        <w:rPr>
          <w:rFonts w:eastAsia="Aptos" w:cs="Aptos"/>
          <w:szCs w:val="18"/>
        </w:rPr>
        <w:lastRenderedPageBreak/>
        <w:t xml:space="preserve">Antwoord </w:t>
      </w:r>
    </w:p>
    <w:p w:rsidR="00247260" w:rsidP="00247260" w:rsidRDefault="00247260" w14:paraId="4F2F3C2E" w14:textId="62BF6FD7">
      <w:pPr>
        <w:rPr>
          <w:rFonts w:eastAsia="Aptos" w:cs="Aptos"/>
          <w:szCs w:val="18"/>
        </w:rPr>
      </w:pPr>
      <w:r w:rsidRPr="4F635651">
        <w:rPr>
          <w:rFonts w:eastAsia="Aptos" w:cs="Aptos"/>
          <w:szCs w:val="18"/>
        </w:rPr>
        <w:t>Zoals ook aangegeven in de reactie van het ministerie op de analyse van SOMO</w:t>
      </w:r>
      <w:r>
        <w:rPr>
          <w:rStyle w:val="Voetnootmarkering"/>
          <w:rFonts w:eastAsia="Aptos" w:cs="Aptos"/>
          <w:szCs w:val="18"/>
        </w:rPr>
        <w:footnoteReference w:id="1"/>
      </w:r>
      <w:r w:rsidRPr="4F635651">
        <w:rPr>
          <w:rFonts w:eastAsia="Aptos" w:cs="Aptos"/>
          <w:szCs w:val="18"/>
        </w:rPr>
        <w:t xml:space="preserve"> en in de toelichting bij de beantwoording van deze vragen committeert de staat zich met de intentieverklaring met TSN op geen enkele manier aan enige kostenstijgingen</w:t>
      </w:r>
      <w:r>
        <w:rPr>
          <w:rFonts w:eastAsia="Aptos" w:cs="Aptos"/>
          <w:szCs w:val="18"/>
        </w:rPr>
        <w:t>, d</w:t>
      </w:r>
      <w:r w:rsidRPr="4F635651">
        <w:rPr>
          <w:rFonts w:eastAsia="Aptos" w:cs="Aptos"/>
          <w:szCs w:val="18"/>
        </w:rPr>
        <w:t xml:space="preserve">us ook niet voor hierboven genoemde punten. </w:t>
      </w:r>
      <w:r w:rsidR="004E2070">
        <w:rPr>
          <w:rFonts w:eastAsia="Aptos" w:cs="Aptos"/>
          <w:szCs w:val="18"/>
        </w:rPr>
        <w:t>De door het SOMO genoemde punten zijn</w:t>
      </w:r>
      <w:r w:rsidRPr="4F635651" w:rsidR="004E2070">
        <w:rPr>
          <w:rFonts w:eastAsia="Aptos" w:cs="Aptos"/>
          <w:szCs w:val="18"/>
        </w:rPr>
        <w:t xml:space="preserve"> ofwel opzeggronden die enkel voor de JLoI gelden en niet meer op het moment dat er een definitieve maatwerkafspraak is gesloten, ofwel inspanningen vanuit de staat waarmee op geen enkele manier compensatie of meerkosten aan TSN </w:t>
      </w:r>
      <w:r w:rsidR="004E2070">
        <w:rPr>
          <w:rFonts w:eastAsia="Aptos" w:cs="Aptos"/>
          <w:szCs w:val="18"/>
        </w:rPr>
        <w:t>zijn</w:t>
      </w:r>
      <w:r w:rsidRPr="4F635651" w:rsidR="004E2070">
        <w:rPr>
          <w:rFonts w:eastAsia="Aptos" w:cs="Aptos"/>
          <w:szCs w:val="18"/>
        </w:rPr>
        <w:t xml:space="preserve"> toegezegd.</w:t>
      </w:r>
    </w:p>
    <w:p w:rsidRPr="00464896" w:rsidR="00247260" w:rsidP="00247260" w:rsidRDefault="00247260" w14:paraId="62247E7C" w14:textId="77777777">
      <w:pPr>
        <w:rPr>
          <w:rFonts w:eastAsia="Aptos" w:cs="Aptos"/>
          <w:szCs w:val="18"/>
        </w:rPr>
      </w:pPr>
    </w:p>
    <w:p w:rsidR="00247260" w:rsidP="00247260" w:rsidRDefault="00247260" w14:paraId="2D1549B8" w14:textId="77777777">
      <w:pPr>
        <w:rPr>
          <w:rFonts w:eastAsia="Aptos" w:cs="Aptos"/>
          <w:szCs w:val="18"/>
        </w:rPr>
      </w:pPr>
      <w:r w:rsidRPr="00464896">
        <w:rPr>
          <w:rFonts w:eastAsia="Aptos" w:cs="Aptos"/>
          <w:szCs w:val="18"/>
        </w:rPr>
        <w:t>3</w:t>
      </w:r>
    </w:p>
    <w:p w:rsidR="00247260" w:rsidP="00247260" w:rsidRDefault="00247260" w14:paraId="24B9D630" w14:textId="77777777">
      <w:pPr>
        <w:rPr>
          <w:rFonts w:eastAsia="Aptos" w:cs="Aptos"/>
          <w:szCs w:val="18"/>
        </w:rPr>
      </w:pPr>
      <w:r w:rsidRPr="00464896">
        <w:rPr>
          <w:rFonts w:eastAsia="Aptos" w:cs="Aptos"/>
          <w:szCs w:val="18"/>
        </w:rPr>
        <w:t xml:space="preserve">Indien u geen ramingen kunt geven voor bovenstaande kostenposten, bent u dan bereid deze ramingen alsnog te laten opstellen voordat een definitieve maatwerkafspraak wordt gesloten, aangezien het gaat om geld van burgers? Zo nee, waarom niet? </w:t>
      </w:r>
    </w:p>
    <w:p w:rsidR="00247260" w:rsidP="00247260" w:rsidRDefault="00247260" w14:paraId="085AA7B6" w14:textId="77777777">
      <w:pPr>
        <w:rPr>
          <w:rFonts w:eastAsia="Aptos" w:cs="Aptos"/>
          <w:szCs w:val="18"/>
        </w:rPr>
      </w:pPr>
    </w:p>
    <w:p w:rsidR="00247260" w:rsidP="00247260" w:rsidRDefault="00247260" w14:paraId="18E0B468" w14:textId="77777777">
      <w:pPr>
        <w:rPr>
          <w:rFonts w:eastAsia="Aptos" w:cs="Aptos"/>
          <w:szCs w:val="18"/>
        </w:rPr>
      </w:pPr>
      <w:r>
        <w:rPr>
          <w:rFonts w:eastAsia="Aptos" w:cs="Aptos"/>
          <w:szCs w:val="18"/>
        </w:rPr>
        <w:t xml:space="preserve">Antwoord </w:t>
      </w:r>
    </w:p>
    <w:p w:rsidRPr="00E87930" w:rsidR="00247260" w:rsidP="00247260" w:rsidRDefault="00247260" w14:paraId="7F75B199" w14:textId="77777777">
      <w:pPr>
        <w:rPr>
          <w:rFonts w:eastAsia="Aptos" w:cs="Aptos"/>
          <w:szCs w:val="18"/>
        </w:rPr>
      </w:pPr>
      <w:r w:rsidRPr="4F635651">
        <w:rPr>
          <w:rFonts w:eastAsia="Aptos" w:cs="Aptos"/>
          <w:szCs w:val="18"/>
        </w:rPr>
        <w:t xml:space="preserve">Zoals in de toelichting op vraag 1 is aangegeven zijn de genoemde punten ofwel opzeggronden die enkel voor de JLoI gelden en niet meer op het moment dat er een definitieve maatwerkafspraak is gesloten, ofwel inspanningen vanuit de staat waarmee op geen enkele manier compensatie of meerkosten aan TSN </w:t>
      </w:r>
      <w:r>
        <w:rPr>
          <w:rFonts w:eastAsia="Aptos" w:cs="Aptos"/>
          <w:szCs w:val="18"/>
        </w:rPr>
        <w:t>zijn</w:t>
      </w:r>
      <w:r w:rsidRPr="4F635651">
        <w:rPr>
          <w:rFonts w:eastAsia="Aptos" w:cs="Aptos"/>
          <w:szCs w:val="18"/>
        </w:rPr>
        <w:t xml:space="preserve"> toegezegd.</w:t>
      </w:r>
      <w:r>
        <w:rPr>
          <w:rFonts w:eastAsia="Aptos" w:cs="Aptos"/>
          <w:szCs w:val="18"/>
        </w:rPr>
        <w:t xml:space="preserve"> </w:t>
      </w:r>
    </w:p>
    <w:p w:rsidRPr="00464896" w:rsidR="00247260" w:rsidP="00247260" w:rsidRDefault="00247260" w14:paraId="612B4725" w14:textId="77777777">
      <w:pPr>
        <w:rPr>
          <w:rFonts w:eastAsia="Aptos" w:cs="Aptos"/>
          <w:szCs w:val="18"/>
        </w:rPr>
      </w:pPr>
    </w:p>
    <w:p w:rsidR="00247260" w:rsidP="00247260" w:rsidRDefault="00247260" w14:paraId="54554D5A" w14:textId="77777777">
      <w:pPr>
        <w:rPr>
          <w:rFonts w:eastAsia="Aptos" w:cs="Aptos"/>
          <w:szCs w:val="18"/>
        </w:rPr>
      </w:pPr>
      <w:r w:rsidRPr="00464896">
        <w:rPr>
          <w:rFonts w:eastAsia="Aptos" w:cs="Aptos"/>
          <w:szCs w:val="18"/>
        </w:rPr>
        <w:t>4</w:t>
      </w:r>
    </w:p>
    <w:p w:rsidR="00247260" w:rsidP="00247260" w:rsidRDefault="00247260" w14:paraId="678559A6" w14:textId="0BA14AE9">
      <w:pPr>
        <w:rPr>
          <w:rFonts w:eastAsia="Aptos" w:cs="Aptos"/>
          <w:szCs w:val="18"/>
        </w:rPr>
      </w:pPr>
      <w:r w:rsidRPr="00464896">
        <w:rPr>
          <w:rFonts w:eastAsia="Aptos" w:cs="Aptos"/>
          <w:szCs w:val="18"/>
        </w:rPr>
        <w:t>Kunt u precies aangeven welke delen van de SOMO-analyse volgens u onjuist zijn, en wat volgens u wel de correcte ramingen zijn gezien uw reactie op het ESB stuk, dat het "onduidelijk is waar de aanvullende subsidies en bedragen op gebaseerd zijn."?</w:t>
      </w:r>
    </w:p>
    <w:p w:rsidR="00247260" w:rsidP="00247260" w:rsidRDefault="00247260" w14:paraId="01CD1AFD" w14:textId="77777777">
      <w:pPr>
        <w:rPr>
          <w:rFonts w:eastAsia="Aptos" w:cs="Aptos"/>
          <w:szCs w:val="18"/>
        </w:rPr>
      </w:pPr>
    </w:p>
    <w:p w:rsidR="00247260" w:rsidP="00247260" w:rsidRDefault="00247260" w14:paraId="3490FBAE" w14:textId="77777777">
      <w:pPr>
        <w:rPr>
          <w:rFonts w:eastAsia="Aptos" w:cs="Aptos"/>
          <w:szCs w:val="18"/>
        </w:rPr>
      </w:pPr>
      <w:r>
        <w:rPr>
          <w:rFonts w:eastAsia="Aptos" w:cs="Aptos"/>
          <w:szCs w:val="18"/>
        </w:rPr>
        <w:t>Antwoord</w:t>
      </w:r>
    </w:p>
    <w:p w:rsidR="00247260" w:rsidP="00247260" w:rsidRDefault="00247260" w14:paraId="23ACF381" w14:textId="3AA227BD">
      <w:pPr>
        <w:rPr>
          <w:rFonts w:eastAsia="Aptos" w:cs="Aptos"/>
          <w:szCs w:val="18"/>
        </w:rPr>
      </w:pPr>
      <w:r>
        <w:rPr>
          <w:rFonts w:eastAsia="Aptos" w:cs="Aptos"/>
          <w:szCs w:val="18"/>
        </w:rPr>
        <w:t xml:space="preserve">De onderzoekers van het SOMO hebben het ministerie van KGG de kans gegeven om te reageren op een concept van het artikel, deze reactie van het ministerie is ook gepubliceerd in het ESB. Zoals ook aangegeven in antwoord 1 wordt het werk van het SOMO gewaardeerd, maar herkent het ministerie zich niet in de conclusies. </w:t>
      </w:r>
      <w:r w:rsidR="00090B79">
        <w:rPr>
          <w:rFonts w:eastAsia="Aptos" w:cs="Aptos"/>
          <w:szCs w:val="18"/>
        </w:rPr>
        <w:t>Ook d</w:t>
      </w:r>
      <w:r w:rsidRPr="3B6D38FD" w:rsidR="00090B79">
        <w:rPr>
          <w:rFonts w:eastAsia="Aptos" w:cs="Aptos"/>
          <w:szCs w:val="18"/>
        </w:rPr>
        <w:t xml:space="preserve">e </w:t>
      </w:r>
      <w:r w:rsidR="00090B79">
        <w:rPr>
          <w:rFonts w:eastAsia="Aptos" w:cs="Aptos"/>
          <w:szCs w:val="18"/>
        </w:rPr>
        <w:t xml:space="preserve">berekeningen </w:t>
      </w:r>
      <w:r w:rsidRPr="3B6D38FD" w:rsidR="00090B79">
        <w:rPr>
          <w:rFonts w:eastAsia="Aptos" w:cs="Aptos"/>
          <w:szCs w:val="18"/>
        </w:rPr>
        <w:t>van het SOMO kunnen niet</w:t>
      </w:r>
      <w:r w:rsidR="00090B79">
        <w:rPr>
          <w:rFonts w:eastAsia="Aptos" w:cs="Aptos"/>
          <w:szCs w:val="18"/>
        </w:rPr>
        <w:t xml:space="preserve"> </w:t>
      </w:r>
      <w:r w:rsidRPr="3B6D38FD" w:rsidR="00090B79">
        <w:rPr>
          <w:rFonts w:eastAsia="Aptos" w:cs="Aptos"/>
          <w:szCs w:val="18"/>
        </w:rPr>
        <w:t>gevolgd</w:t>
      </w:r>
      <w:r w:rsidR="00090B79">
        <w:rPr>
          <w:rFonts w:eastAsia="Aptos" w:cs="Aptos"/>
          <w:szCs w:val="18"/>
        </w:rPr>
        <w:t xml:space="preserve"> </w:t>
      </w:r>
      <w:r w:rsidRPr="3B6D38FD" w:rsidR="00090B79">
        <w:rPr>
          <w:rFonts w:eastAsia="Aptos" w:cs="Aptos"/>
          <w:szCs w:val="18"/>
        </w:rPr>
        <w:t>worden</w:t>
      </w:r>
      <w:r w:rsidR="00090B79">
        <w:rPr>
          <w:rFonts w:eastAsia="Aptos" w:cs="Aptos"/>
          <w:szCs w:val="18"/>
        </w:rPr>
        <w:t xml:space="preserve">. </w:t>
      </w:r>
      <w:r>
        <w:rPr>
          <w:rFonts w:eastAsia="Aptos" w:cs="Aptos"/>
          <w:szCs w:val="18"/>
        </w:rPr>
        <w:t xml:space="preserve">Dit </w:t>
      </w:r>
      <w:r w:rsidR="000B3A44">
        <w:rPr>
          <w:rFonts w:eastAsia="Aptos" w:cs="Aptos"/>
          <w:szCs w:val="18"/>
        </w:rPr>
        <w:t>is</w:t>
      </w:r>
      <w:r>
        <w:rPr>
          <w:rFonts w:eastAsia="Aptos" w:cs="Aptos"/>
          <w:szCs w:val="18"/>
        </w:rPr>
        <w:t xml:space="preserve"> ook zo meegegeven aan het SOMO in de reactie op het conceptartikel. In deze reactie benadrukt het ministerie, net als in deze beantwoording, dat de inspanningsverplichtingen voor de staat en opzeggronden uit de JLoI geen enkele financiële garanties of enig recht op subsidies aan Tata Steel geven. De maatwerkafspraak wordt gemaakt op vrijwillige basis. </w:t>
      </w:r>
      <w:r w:rsidR="00C4458F">
        <w:rPr>
          <w:rFonts w:eastAsia="Aptos" w:cs="Aptos"/>
          <w:szCs w:val="18"/>
        </w:rPr>
        <w:t xml:space="preserve">Dit betekent dat TSN altijd zelf een overweging zal moeten maken om wel of niet tot een maatwerkafspraak over te gaan. </w:t>
      </w:r>
      <w:r>
        <w:rPr>
          <w:rFonts w:eastAsia="Aptos" w:cs="Aptos"/>
          <w:szCs w:val="18"/>
        </w:rPr>
        <w:t xml:space="preserve">Tata Steel kan gebruik maken van het generieke subsidie-instrumentarium, maar er zal geen aanvullende maatwerksteun worden gegeven. </w:t>
      </w:r>
      <w:r w:rsidRPr="00A52A76">
        <w:rPr>
          <w:rFonts w:eastAsia="Aptos" w:cs="Aptos"/>
          <w:szCs w:val="18"/>
        </w:rPr>
        <w:t>Volgens de staat en de Adviescommissie Maatwerk Verduurzaming Industrie is de</w:t>
      </w:r>
      <w:r>
        <w:rPr>
          <w:rFonts w:eastAsia="Aptos" w:cs="Aptos"/>
          <w:szCs w:val="18"/>
        </w:rPr>
        <w:t xml:space="preserve"> </w:t>
      </w:r>
      <w:r>
        <w:rPr>
          <w:rFonts w:eastAsia="Aptos" w:cs="Aptos"/>
          <w:szCs w:val="18"/>
        </w:rPr>
        <w:lastRenderedPageBreak/>
        <w:t>beoogde</w:t>
      </w:r>
      <w:r w:rsidRPr="00A52A76">
        <w:rPr>
          <w:rFonts w:eastAsia="Aptos" w:cs="Aptos"/>
          <w:szCs w:val="18"/>
        </w:rPr>
        <w:t xml:space="preserve"> </w:t>
      </w:r>
      <w:r>
        <w:rPr>
          <w:rFonts w:eastAsia="Aptos" w:cs="Aptos"/>
          <w:szCs w:val="18"/>
        </w:rPr>
        <w:t xml:space="preserve">maatwerksubsidie zeer </w:t>
      </w:r>
      <w:r w:rsidRPr="00A52A76">
        <w:rPr>
          <w:rFonts w:eastAsia="Aptos" w:cs="Aptos"/>
          <w:szCs w:val="18"/>
        </w:rPr>
        <w:t>kosteneffectief</w:t>
      </w:r>
      <w:r>
        <w:rPr>
          <w:rFonts w:eastAsia="Aptos" w:cs="Aptos"/>
          <w:szCs w:val="18"/>
        </w:rPr>
        <w:t xml:space="preserve"> en kan zij</w:t>
      </w:r>
      <w:r w:rsidRPr="00A52A76">
        <w:rPr>
          <w:rFonts w:eastAsia="Aptos" w:cs="Aptos"/>
          <w:szCs w:val="18"/>
        </w:rPr>
        <w:t xml:space="preserve"> leid</w:t>
      </w:r>
      <w:r>
        <w:rPr>
          <w:rFonts w:eastAsia="Aptos" w:cs="Aptos"/>
          <w:szCs w:val="18"/>
        </w:rPr>
        <w:t xml:space="preserve">en </w:t>
      </w:r>
      <w:r w:rsidRPr="00A52A76">
        <w:rPr>
          <w:rFonts w:eastAsia="Aptos" w:cs="Aptos"/>
          <w:szCs w:val="18"/>
        </w:rPr>
        <w:t>tot</w:t>
      </w:r>
      <w:r>
        <w:rPr>
          <w:rFonts w:eastAsia="Aptos" w:cs="Aptos"/>
          <w:szCs w:val="18"/>
        </w:rPr>
        <w:t xml:space="preserve"> een</w:t>
      </w:r>
      <w:r w:rsidRPr="00A52A76">
        <w:rPr>
          <w:rFonts w:eastAsia="Aptos" w:cs="Aptos"/>
          <w:szCs w:val="18"/>
        </w:rPr>
        <w:t xml:space="preserve"> grote CO₂-reductie</w:t>
      </w:r>
      <w:r>
        <w:rPr>
          <w:rFonts w:eastAsia="Aptos" w:cs="Aptos"/>
          <w:szCs w:val="18"/>
        </w:rPr>
        <w:t xml:space="preserve"> en de leefomgeving voor omwonenden fors verbeteren. </w:t>
      </w:r>
    </w:p>
    <w:p w:rsidR="00247260" w:rsidP="00247260" w:rsidRDefault="00247260" w14:paraId="3D066DE9" w14:textId="77777777">
      <w:pPr>
        <w:rPr>
          <w:rFonts w:eastAsia="Aptos" w:cs="Aptos"/>
          <w:szCs w:val="18"/>
        </w:rPr>
      </w:pPr>
    </w:p>
    <w:p w:rsidR="00247260" w:rsidP="00247260" w:rsidRDefault="00247260" w14:paraId="3AB35983" w14:textId="77777777">
      <w:pPr>
        <w:rPr>
          <w:rFonts w:eastAsia="Aptos" w:cs="Aptos"/>
          <w:szCs w:val="18"/>
        </w:rPr>
      </w:pPr>
      <w:r w:rsidRPr="00464896">
        <w:rPr>
          <w:rFonts w:eastAsia="Aptos" w:cs="Aptos"/>
          <w:szCs w:val="18"/>
        </w:rPr>
        <w:t>5</w:t>
      </w:r>
    </w:p>
    <w:p w:rsidRPr="00464896" w:rsidR="00247260" w:rsidP="00247260" w:rsidRDefault="00247260" w14:paraId="0D7DD694" w14:textId="77777777">
      <w:pPr>
        <w:rPr>
          <w:rFonts w:eastAsia="Aptos" w:cs="Aptos"/>
          <w:szCs w:val="18"/>
        </w:rPr>
      </w:pPr>
      <w:r w:rsidRPr="00464896">
        <w:rPr>
          <w:rFonts w:eastAsia="Aptos" w:cs="Aptos"/>
          <w:szCs w:val="18"/>
        </w:rPr>
        <w:t xml:space="preserve">Welke drempelwaarde in euro's of percentages hanteert de Staat bij de beoordeling of een kostenstijging 'significant' of 'aanzienlijk' is in de zin van artikel 15, lid 4, van de Joint Letter of Intent (JLoI)? Indien u geen drempelwaarde kunt geven (vanwege de huidige onderhandeling), kunt u dan aangeven of überhaupt een drempelwaarde is vastgesteld, zonder deze te specificeren? </w:t>
      </w:r>
    </w:p>
    <w:p w:rsidR="00247260" w:rsidP="00247260" w:rsidRDefault="00247260" w14:paraId="2F9D9308" w14:textId="77777777">
      <w:pPr>
        <w:rPr>
          <w:rFonts w:eastAsia="Aptos" w:cs="Aptos"/>
          <w:szCs w:val="18"/>
        </w:rPr>
      </w:pPr>
    </w:p>
    <w:p w:rsidR="00247260" w:rsidP="00247260" w:rsidRDefault="00247260" w14:paraId="4B1E5446" w14:textId="77777777">
      <w:pPr>
        <w:rPr>
          <w:rFonts w:eastAsia="Aptos" w:cs="Aptos"/>
          <w:szCs w:val="18"/>
        </w:rPr>
      </w:pPr>
      <w:r>
        <w:rPr>
          <w:rFonts w:eastAsia="Aptos" w:cs="Aptos"/>
          <w:szCs w:val="18"/>
        </w:rPr>
        <w:t>Antwoord</w:t>
      </w:r>
    </w:p>
    <w:p w:rsidRPr="003A36B3" w:rsidR="00247260" w:rsidP="00247260" w:rsidRDefault="00247260" w14:paraId="6593EE60" w14:textId="77777777">
      <w:pPr>
        <w:rPr>
          <w:rFonts w:eastAsia="Aptos" w:cs="Aptos"/>
          <w:szCs w:val="18"/>
        </w:rPr>
      </w:pPr>
      <w:r w:rsidRPr="5B129B61">
        <w:rPr>
          <w:rFonts w:eastAsia="Aptos" w:cs="Aptos"/>
          <w:szCs w:val="18"/>
        </w:rPr>
        <w:t>De</w:t>
      </w:r>
      <w:r>
        <w:rPr>
          <w:rFonts w:eastAsia="Aptos" w:cs="Aptos"/>
          <w:szCs w:val="18"/>
        </w:rPr>
        <w:t xml:space="preserve"> </w:t>
      </w:r>
      <w:r w:rsidRPr="5B129B61">
        <w:rPr>
          <w:rFonts w:eastAsia="Aptos" w:cs="Aptos"/>
          <w:szCs w:val="18"/>
        </w:rPr>
        <w:t>opzeggronden</w:t>
      </w:r>
      <w:r>
        <w:rPr>
          <w:rFonts w:eastAsia="Aptos" w:cs="Aptos"/>
          <w:szCs w:val="18"/>
        </w:rPr>
        <w:t>, en zo ook artikel 15 lid 4,</w:t>
      </w:r>
      <w:r w:rsidRPr="5B129B61">
        <w:rPr>
          <w:rFonts w:eastAsia="Aptos" w:cs="Aptos"/>
          <w:szCs w:val="18"/>
        </w:rPr>
        <w:t xml:space="preserve"> zijn opzettelijk niet verder ingekaderd en het benoemen van drempelwaardes kan de onderhandelingspositie van de staat schaden. </w:t>
      </w:r>
    </w:p>
    <w:p w:rsidR="000F0BFD" w:rsidRDefault="000F0BFD" w14:paraId="529F5671" w14:textId="6455D855">
      <w:pPr>
        <w:spacing w:line="240" w:lineRule="auto"/>
        <w:rPr>
          <w:rFonts w:eastAsia="Aptos" w:cs="Aptos"/>
          <w:szCs w:val="18"/>
        </w:rPr>
      </w:pPr>
    </w:p>
    <w:p w:rsidR="00247260" w:rsidP="00247260" w:rsidRDefault="00247260" w14:paraId="096C212C" w14:textId="42F1D5AE">
      <w:pPr>
        <w:rPr>
          <w:rFonts w:eastAsia="Aptos" w:cs="Aptos"/>
          <w:szCs w:val="18"/>
        </w:rPr>
      </w:pPr>
      <w:r w:rsidRPr="00464896">
        <w:rPr>
          <w:rFonts w:eastAsia="Aptos" w:cs="Aptos"/>
          <w:szCs w:val="18"/>
        </w:rPr>
        <w:t>6</w:t>
      </w:r>
    </w:p>
    <w:p w:rsidR="00247260" w:rsidP="00247260" w:rsidRDefault="00247260" w14:paraId="14414FA8" w14:textId="484104C1">
      <w:pPr>
        <w:rPr>
          <w:rFonts w:eastAsia="Aptos" w:cs="Aptos"/>
          <w:szCs w:val="18"/>
        </w:rPr>
      </w:pPr>
      <w:r w:rsidRPr="00464896">
        <w:rPr>
          <w:rFonts w:eastAsia="Aptos" w:cs="Aptos"/>
          <w:szCs w:val="18"/>
        </w:rPr>
        <w:t xml:space="preserve">Welke oplossingen voor de drie opzeggronden (netwerkkosten, CO2-heffing, staalslakken) worden momenteel besproken met Tata Steel, gegeven de uitspraak van het bedrijf dat er '(zicht op) een oplossing moet zijn' om tot een maatwerkovereenkomst te komen? </w:t>
      </w:r>
    </w:p>
    <w:p w:rsidR="00247260" w:rsidP="00247260" w:rsidRDefault="00247260" w14:paraId="28999C20" w14:textId="77777777">
      <w:pPr>
        <w:rPr>
          <w:rFonts w:eastAsia="Aptos" w:cs="Aptos"/>
          <w:szCs w:val="18"/>
        </w:rPr>
      </w:pPr>
    </w:p>
    <w:p w:rsidR="003B2A5B" w:rsidP="00247260" w:rsidRDefault="003B2A5B" w14:paraId="6B56AEDF" w14:textId="73483913">
      <w:pPr>
        <w:rPr>
          <w:rFonts w:eastAsia="Aptos" w:cs="Aptos"/>
          <w:szCs w:val="18"/>
        </w:rPr>
      </w:pPr>
      <w:r>
        <w:rPr>
          <w:rFonts w:eastAsia="Aptos" w:cs="Aptos"/>
          <w:szCs w:val="18"/>
        </w:rPr>
        <w:t>Antwoord</w:t>
      </w:r>
    </w:p>
    <w:p w:rsidR="00247260" w:rsidP="00247260" w:rsidRDefault="00247260" w14:paraId="28074507" w14:textId="226BB1A1">
      <w:pPr>
        <w:rPr>
          <w:rFonts w:eastAsia="Verdana" w:cs="Verdana"/>
          <w:szCs w:val="18"/>
        </w:rPr>
      </w:pPr>
      <w:r>
        <w:rPr>
          <w:rFonts w:eastAsia="Verdana" w:cs="Verdana"/>
          <w:szCs w:val="18"/>
        </w:rPr>
        <w:t>Het voornemen van de</w:t>
      </w:r>
      <w:r w:rsidRPr="5B129B61">
        <w:rPr>
          <w:rFonts w:eastAsia="Verdana" w:cs="Verdana"/>
          <w:szCs w:val="18"/>
        </w:rPr>
        <w:t xml:space="preserve"> partijen </w:t>
      </w:r>
      <w:r>
        <w:rPr>
          <w:rFonts w:eastAsia="Verdana" w:cs="Verdana"/>
          <w:szCs w:val="18"/>
        </w:rPr>
        <w:t xml:space="preserve">is </w:t>
      </w:r>
      <w:r w:rsidRPr="5B129B61">
        <w:rPr>
          <w:rFonts w:eastAsia="Verdana" w:cs="Verdana"/>
          <w:szCs w:val="18"/>
        </w:rPr>
        <w:t xml:space="preserve">om </w:t>
      </w:r>
      <w:r w:rsidR="00C47373">
        <w:rPr>
          <w:rFonts w:eastAsia="Verdana" w:cs="Verdana"/>
          <w:szCs w:val="18"/>
        </w:rPr>
        <w:t>in</w:t>
      </w:r>
      <w:r w:rsidRPr="5B129B61">
        <w:rPr>
          <w:rFonts w:eastAsia="Verdana" w:cs="Verdana"/>
          <w:szCs w:val="18"/>
        </w:rPr>
        <w:t xml:space="preserve"> september 2026 overeenstemming te bereiken over de definitieve maatwerkafspraak. </w:t>
      </w:r>
    </w:p>
    <w:p w:rsidR="00247260" w:rsidP="00247260" w:rsidRDefault="00247260" w14:paraId="39EFE95F" w14:textId="77777777">
      <w:pPr>
        <w:rPr>
          <w:rFonts w:eastAsia="Aptos" w:cs="Aptos"/>
          <w:szCs w:val="18"/>
        </w:rPr>
      </w:pPr>
    </w:p>
    <w:p w:rsidRPr="008453F2" w:rsidR="00247260" w:rsidP="00247260" w:rsidRDefault="00247260" w14:paraId="43D8B475" w14:textId="7939CD6B">
      <w:pPr>
        <w:rPr>
          <w:rFonts w:eastAsia="Aptos" w:cs="Aptos"/>
          <w:szCs w:val="18"/>
        </w:rPr>
      </w:pPr>
      <w:r w:rsidRPr="5B129B61">
        <w:rPr>
          <w:rFonts w:eastAsia="Aptos" w:cs="Aptos"/>
          <w:szCs w:val="18"/>
        </w:rPr>
        <w:t>In algemene zin kan worden gezegd dat de vraagstukken op het gebied van</w:t>
      </w:r>
      <w:r w:rsidRPr="6C1DB0BB">
        <w:rPr>
          <w:rFonts w:eastAsia="Aptos" w:cs="Aptos"/>
          <w:szCs w:val="18"/>
        </w:rPr>
        <w:t xml:space="preserve"> de netwerktarieven en de CO2-heffing deel uitmaken van een breder beleidsvraagstuk waar generiek naar oplossingen wordt </w:t>
      </w:r>
      <w:r>
        <w:rPr>
          <w:rFonts w:eastAsia="Aptos" w:cs="Aptos"/>
          <w:szCs w:val="18"/>
        </w:rPr>
        <w:t>gekeken</w:t>
      </w:r>
      <w:r w:rsidRPr="6C1DB0BB">
        <w:rPr>
          <w:rFonts w:eastAsia="Aptos" w:cs="Aptos"/>
          <w:szCs w:val="18"/>
        </w:rPr>
        <w:t xml:space="preserve"> voor de hele industrie</w:t>
      </w:r>
      <w:r w:rsidR="00C47373">
        <w:rPr>
          <w:rFonts w:eastAsia="Aptos" w:cs="Aptos"/>
          <w:szCs w:val="18"/>
        </w:rPr>
        <w:t>, en waar dus niet specifiek met TSN over wordt gesproken</w:t>
      </w:r>
      <w:r w:rsidRPr="6C1DB0BB">
        <w:rPr>
          <w:rFonts w:eastAsia="Aptos" w:cs="Aptos"/>
          <w:szCs w:val="18"/>
        </w:rPr>
        <w:t>. Onder andere Gehrels</w:t>
      </w:r>
      <w:r w:rsidRPr="6C1DB0BB">
        <w:rPr>
          <w:rStyle w:val="Voetnootmarkering"/>
          <w:rFonts w:eastAsia="Aptos" w:cs="Aptos"/>
          <w:szCs w:val="18"/>
        </w:rPr>
        <w:footnoteReference w:id="2"/>
      </w:r>
      <w:r w:rsidRPr="6C1DB0BB">
        <w:rPr>
          <w:rFonts w:eastAsia="Aptos" w:cs="Aptos"/>
          <w:szCs w:val="18"/>
        </w:rPr>
        <w:t xml:space="preserve"> en Van K</w:t>
      </w:r>
      <w:r>
        <w:rPr>
          <w:rFonts w:eastAsia="Aptos" w:cs="Aptos"/>
          <w:szCs w:val="18"/>
        </w:rPr>
        <w:t>e</w:t>
      </w:r>
      <w:r w:rsidRPr="6C1DB0BB">
        <w:rPr>
          <w:rFonts w:eastAsia="Aptos" w:cs="Aptos"/>
          <w:szCs w:val="18"/>
        </w:rPr>
        <w:t>mpen</w:t>
      </w:r>
      <w:r w:rsidRPr="5F53DA58">
        <w:rPr>
          <w:rStyle w:val="Voetnootmarkering"/>
          <w:rFonts w:eastAsia="Aptos" w:cs="Aptos"/>
          <w:szCs w:val="18"/>
        </w:rPr>
        <w:footnoteReference w:id="3"/>
      </w:r>
      <w:r w:rsidRPr="6C1DB0BB">
        <w:rPr>
          <w:rFonts w:eastAsia="Aptos" w:cs="Aptos"/>
          <w:szCs w:val="18"/>
        </w:rPr>
        <w:t xml:space="preserve"> hebben in hun rapporten onderzoek gedaan naar beleidsmatige keuzes in klimaat- en energiebeleid waarin ook de opties voor</w:t>
      </w:r>
      <w:r>
        <w:rPr>
          <w:rFonts w:eastAsia="Aptos" w:cs="Aptos"/>
          <w:szCs w:val="18"/>
        </w:rPr>
        <w:t xml:space="preserve"> de CO2-heffing en</w:t>
      </w:r>
      <w:r w:rsidRPr="6C1DB0BB">
        <w:rPr>
          <w:rFonts w:eastAsia="Aptos" w:cs="Aptos"/>
          <w:szCs w:val="18"/>
        </w:rPr>
        <w:t xml:space="preserve"> </w:t>
      </w:r>
      <w:r>
        <w:rPr>
          <w:rFonts w:eastAsia="Aptos" w:cs="Aptos"/>
          <w:szCs w:val="18"/>
        </w:rPr>
        <w:t xml:space="preserve">de </w:t>
      </w:r>
      <w:r w:rsidRPr="6C1DB0BB">
        <w:rPr>
          <w:rFonts w:eastAsia="Aptos" w:cs="Aptos"/>
          <w:szCs w:val="18"/>
        </w:rPr>
        <w:t>net</w:t>
      </w:r>
      <w:r>
        <w:rPr>
          <w:rFonts w:eastAsia="Aptos" w:cs="Aptos"/>
          <w:szCs w:val="18"/>
        </w:rPr>
        <w:t>werk</w:t>
      </w:r>
      <w:r w:rsidRPr="6C1DB0BB">
        <w:rPr>
          <w:rFonts w:eastAsia="Aptos" w:cs="Aptos"/>
          <w:szCs w:val="18"/>
        </w:rPr>
        <w:t>tarieven zijn meegenomen. Het is</w:t>
      </w:r>
      <w:r>
        <w:rPr>
          <w:rFonts w:eastAsia="Aptos" w:cs="Aptos"/>
          <w:szCs w:val="18"/>
        </w:rPr>
        <w:t xml:space="preserve"> </w:t>
      </w:r>
      <w:r w:rsidRPr="6C1DB0BB">
        <w:rPr>
          <w:rFonts w:eastAsia="Aptos" w:cs="Aptos"/>
          <w:szCs w:val="18"/>
        </w:rPr>
        <w:t xml:space="preserve">aan het volgende kabinet om hier een oplossing voor te </w:t>
      </w:r>
      <w:r>
        <w:rPr>
          <w:rFonts w:eastAsia="Aptos" w:cs="Aptos"/>
          <w:szCs w:val="18"/>
        </w:rPr>
        <w:t xml:space="preserve">kiezen en </w:t>
      </w:r>
      <w:r w:rsidRPr="6C1DB0BB">
        <w:rPr>
          <w:rFonts w:eastAsia="Aptos" w:cs="Aptos"/>
          <w:szCs w:val="18"/>
        </w:rPr>
        <w:t xml:space="preserve">implementeren. </w:t>
      </w:r>
    </w:p>
    <w:p w:rsidRPr="008453F2" w:rsidR="00247260" w:rsidP="00247260" w:rsidRDefault="00247260" w14:paraId="6B8FC943" w14:textId="77777777">
      <w:pPr>
        <w:rPr>
          <w:rFonts w:eastAsia="Aptos" w:cs="Aptos"/>
          <w:szCs w:val="18"/>
        </w:rPr>
      </w:pPr>
    </w:p>
    <w:p w:rsidRPr="008453F2" w:rsidR="00247260" w:rsidP="00247260" w:rsidRDefault="00247260" w14:paraId="06290A9A" w14:textId="77777777">
      <w:pPr>
        <w:rPr>
          <w:rFonts w:eastAsia="Aptos" w:cs="Aptos"/>
          <w:szCs w:val="18"/>
        </w:rPr>
      </w:pPr>
      <w:r w:rsidRPr="738CBFC2">
        <w:rPr>
          <w:rFonts w:eastAsia="Aptos" w:cs="Aptos"/>
          <w:szCs w:val="18"/>
        </w:rPr>
        <w:t>Voor staalslakken wordt op dit moment gewerkt aan de voorbereiding van (generieke) beleidsverbeteringen. Zoals dit voor iedere beleidsaanpassing geldt, wordt hierbij afstemming gezocht met het bedrijfsleven. Onderdeel van de afspraken uit de JLoI is een project voor de verbetering van de kwaliteit van staalslak (zie artikel 3.3.b en 6.1.b.II van de JLoI, en Annex II onder 3.B). Daarnaast neemt TSN verschillende maatregelen om de uitvoering van zijn zorgplicht met betrekking tot de behandeling en toepassing van staalslak te versterken (zie artikel 10.2.b van de JLoI).</w:t>
      </w:r>
    </w:p>
    <w:p w:rsidRPr="008453F2" w:rsidR="00247260" w:rsidP="00247260" w:rsidRDefault="00247260" w14:paraId="6F8861C7" w14:textId="77777777">
      <w:pPr>
        <w:rPr>
          <w:rFonts w:eastAsia="Aptos" w:cs="Aptos"/>
          <w:szCs w:val="18"/>
        </w:rPr>
      </w:pPr>
    </w:p>
    <w:p w:rsidR="00016D70" w:rsidRDefault="00016D70" w14:paraId="1C70D355" w14:textId="77777777">
      <w:pPr>
        <w:spacing w:line="240" w:lineRule="auto"/>
        <w:rPr>
          <w:rFonts w:eastAsia="Aptos" w:cs="Aptos"/>
          <w:szCs w:val="18"/>
        </w:rPr>
      </w:pPr>
      <w:r>
        <w:rPr>
          <w:rFonts w:eastAsia="Aptos" w:cs="Aptos"/>
          <w:szCs w:val="18"/>
        </w:rPr>
        <w:br w:type="page"/>
      </w:r>
    </w:p>
    <w:p w:rsidR="00247260" w:rsidP="00247260" w:rsidRDefault="00247260" w14:paraId="5E1BF319" w14:textId="21A39AA8">
      <w:pPr>
        <w:rPr>
          <w:rFonts w:eastAsia="Aptos" w:cs="Aptos"/>
          <w:szCs w:val="18"/>
        </w:rPr>
      </w:pPr>
      <w:r w:rsidRPr="00464896">
        <w:rPr>
          <w:rFonts w:eastAsia="Aptos" w:cs="Aptos"/>
          <w:szCs w:val="18"/>
        </w:rPr>
        <w:lastRenderedPageBreak/>
        <w:t>7</w:t>
      </w:r>
    </w:p>
    <w:p w:rsidR="00247260" w:rsidP="00247260" w:rsidRDefault="00247260" w14:paraId="7149DDD2" w14:textId="77777777">
      <w:pPr>
        <w:rPr>
          <w:rFonts w:eastAsia="Aptos" w:cs="Aptos"/>
          <w:szCs w:val="18"/>
        </w:rPr>
      </w:pPr>
      <w:r w:rsidRPr="00464896">
        <w:rPr>
          <w:rFonts w:eastAsia="Aptos" w:cs="Aptos"/>
          <w:szCs w:val="18"/>
        </w:rPr>
        <w:t xml:space="preserve">Welke voorwaarden, garanties of risicoverdelingsmechanismen uit de JLoI worden naar verwachting overgenomen in de definitieve maatwerkafspraak? Welke komen te vervallen? Indien dit nog niet bekend is, per wanneer verwacht u hierover duidelijkheid te kunnen geven? </w:t>
      </w:r>
    </w:p>
    <w:p w:rsidR="00247260" w:rsidP="00247260" w:rsidRDefault="00247260" w14:paraId="39CFB607" w14:textId="77777777">
      <w:pPr>
        <w:rPr>
          <w:rFonts w:eastAsia="Aptos" w:cs="Aptos"/>
          <w:szCs w:val="18"/>
        </w:rPr>
      </w:pPr>
    </w:p>
    <w:p w:rsidR="00247260" w:rsidP="00247260" w:rsidRDefault="00247260" w14:paraId="70870461" w14:textId="77777777">
      <w:pPr>
        <w:rPr>
          <w:rFonts w:eastAsia="Aptos" w:cs="Aptos"/>
          <w:szCs w:val="18"/>
        </w:rPr>
      </w:pPr>
      <w:r>
        <w:rPr>
          <w:rFonts w:eastAsia="Aptos" w:cs="Aptos"/>
          <w:szCs w:val="18"/>
        </w:rPr>
        <w:t>Antwoord</w:t>
      </w:r>
    </w:p>
    <w:p w:rsidR="000F0BFD" w:rsidP="00FB08DC" w:rsidRDefault="00247260" w14:paraId="10135F8E" w14:textId="6A4C1AAE">
      <w:pPr>
        <w:rPr>
          <w:rFonts w:eastAsia="Aptos" w:cs="Aptos"/>
          <w:szCs w:val="18"/>
        </w:rPr>
      </w:pPr>
      <w:r w:rsidRPr="7C95D795">
        <w:rPr>
          <w:rFonts w:eastAsia="Aptos" w:cs="Aptos"/>
          <w:szCs w:val="18"/>
        </w:rPr>
        <w:t>De JLoI bevat inspanningsverplichtingen en</w:t>
      </w:r>
      <w:r w:rsidRPr="62AAC949">
        <w:rPr>
          <w:rFonts w:eastAsia="Aptos" w:cs="Aptos"/>
          <w:szCs w:val="18"/>
        </w:rPr>
        <w:t xml:space="preserve"> de contouren van </w:t>
      </w:r>
      <w:r>
        <w:rPr>
          <w:rFonts w:eastAsia="Aptos" w:cs="Aptos"/>
          <w:szCs w:val="18"/>
        </w:rPr>
        <w:t xml:space="preserve">de </w:t>
      </w:r>
      <w:r w:rsidRPr="62AAC949">
        <w:rPr>
          <w:rFonts w:eastAsia="Aptos" w:cs="Aptos"/>
          <w:szCs w:val="18"/>
        </w:rPr>
        <w:t>maatwerkafspraak</w:t>
      </w:r>
      <w:r>
        <w:rPr>
          <w:rFonts w:eastAsia="Aptos" w:cs="Aptos"/>
          <w:szCs w:val="18"/>
        </w:rPr>
        <w:t>, waaronder de</w:t>
      </w:r>
      <w:r w:rsidRPr="62AAC949">
        <w:rPr>
          <w:rFonts w:eastAsia="Aptos" w:cs="Aptos"/>
          <w:szCs w:val="18"/>
        </w:rPr>
        <w:t xml:space="preserve"> beoogde doelen, projecten en </w:t>
      </w:r>
      <w:r>
        <w:rPr>
          <w:rFonts w:eastAsia="Aptos" w:cs="Aptos"/>
          <w:szCs w:val="18"/>
        </w:rPr>
        <w:t xml:space="preserve">het financiële kader. </w:t>
      </w:r>
      <w:r w:rsidRPr="62AAC949">
        <w:rPr>
          <w:rFonts w:eastAsia="Aptos" w:cs="Aptos"/>
          <w:szCs w:val="18"/>
        </w:rPr>
        <w:t xml:space="preserve">Het kabinet heeft de ambitie om </w:t>
      </w:r>
      <w:r w:rsidRPr="7C95D795">
        <w:rPr>
          <w:rFonts w:eastAsia="Aptos" w:cs="Aptos"/>
          <w:szCs w:val="18"/>
        </w:rPr>
        <w:t xml:space="preserve">uiterlijk </w:t>
      </w:r>
      <w:r>
        <w:rPr>
          <w:rFonts w:eastAsia="Aptos" w:cs="Aptos"/>
          <w:szCs w:val="18"/>
        </w:rPr>
        <w:t>eind</w:t>
      </w:r>
      <w:r w:rsidRPr="62AAC949">
        <w:rPr>
          <w:rFonts w:eastAsia="Aptos" w:cs="Aptos"/>
          <w:szCs w:val="18"/>
        </w:rPr>
        <w:t xml:space="preserve"> september 2026 tot een definitieve maatwerkafspraak te komen.</w:t>
      </w:r>
      <w:r>
        <w:rPr>
          <w:rFonts w:eastAsia="Aptos" w:cs="Aptos"/>
          <w:szCs w:val="18"/>
        </w:rPr>
        <w:t xml:space="preserve"> Zoals aangegeven bij antwoord 1 z</w:t>
      </w:r>
      <w:r w:rsidR="0031624B">
        <w:rPr>
          <w:rFonts w:eastAsia="Aptos" w:cs="Aptos"/>
          <w:szCs w:val="18"/>
        </w:rPr>
        <w:t xml:space="preserve">al het kabinet </w:t>
      </w:r>
      <w:r>
        <w:rPr>
          <w:rFonts w:eastAsia="Aptos" w:cs="Aptos"/>
          <w:szCs w:val="18"/>
        </w:rPr>
        <w:t>de Kamer in de tussentijd waar mogelijk openbaar en waar nodig vertrouwelijk informeren over de voortgang van de onderhandelingen.</w:t>
      </w:r>
    </w:p>
    <w:p w:rsidR="00FB08DC" w:rsidP="00247260" w:rsidRDefault="00FB08DC" w14:paraId="2FBFD0F8" w14:textId="77777777">
      <w:pPr>
        <w:rPr>
          <w:rFonts w:eastAsia="Aptos" w:cs="Aptos"/>
          <w:szCs w:val="18"/>
        </w:rPr>
      </w:pPr>
    </w:p>
    <w:p w:rsidR="000F0BFD" w:rsidP="00247260" w:rsidRDefault="00247260" w14:paraId="77B8B790" w14:textId="13D00E43">
      <w:pPr>
        <w:rPr>
          <w:rFonts w:eastAsia="Aptos" w:cs="Aptos"/>
          <w:szCs w:val="18"/>
        </w:rPr>
      </w:pPr>
      <w:r w:rsidRPr="00464896">
        <w:rPr>
          <w:rFonts w:eastAsia="Aptos" w:cs="Aptos"/>
          <w:szCs w:val="18"/>
        </w:rPr>
        <w:t>8</w:t>
      </w:r>
    </w:p>
    <w:p w:rsidR="00247260" w:rsidP="00247260" w:rsidRDefault="00247260" w14:paraId="1B1F247D" w14:textId="4E463DAB">
      <w:pPr>
        <w:rPr>
          <w:rFonts w:eastAsia="Aptos" w:cs="Aptos"/>
          <w:szCs w:val="18"/>
        </w:rPr>
      </w:pPr>
      <w:r w:rsidRPr="00464896">
        <w:rPr>
          <w:rFonts w:eastAsia="Aptos" w:cs="Aptos"/>
          <w:szCs w:val="18"/>
        </w:rPr>
        <w:t xml:space="preserve">Welke factoren weegt u mee bij een besluit over het instellen van een kolenverbod? Behoren de geïnvesteerde 2 miljard euro en het risico op opzegging door Tata Steel tot die factoren? </w:t>
      </w:r>
    </w:p>
    <w:p w:rsidR="00247260" w:rsidP="00247260" w:rsidRDefault="00247260" w14:paraId="14C79C24" w14:textId="77777777">
      <w:pPr>
        <w:rPr>
          <w:rFonts w:eastAsia="Aptos" w:cs="Aptos"/>
          <w:szCs w:val="18"/>
        </w:rPr>
      </w:pPr>
    </w:p>
    <w:p w:rsidRPr="00CA33B1" w:rsidR="00247260" w:rsidP="00247260" w:rsidRDefault="00247260" w14:paraId="48BDC48E" w14:textId="77777777">
      <w:pPr>
        <w:rPr>
          <w:rFonts w:eastAsia="Aptos" w:cs="Aptos"/>
          <w:szCs w:val="18"/>
        </w:rPr>
      </w:pPr>
      <w:r w:rsidRPr="00CA33B1">
        <w:rPr>
          <w:rFonts w:eastAsia="Aptos" w:cs="Aptos"/>
          <w:szCs w:val="18"/>
        </w:rPr>
        <w:t>Antwoord</w:t>
      </w:r>
    </w:p>
    <w:p w:rsidR="00247260" w:rsidP="00247260" w:rsidRDefault="00247260" w14:paraId="332A4D42" w14:textId="77777777">
      <w:pPr>
        <w:rPr>
          <w:rFonts w:eastAsia="Aptos" w:cs="Aptos"/>
          <w:szCs w:val="18"/>
        </w:rPr>
      </w:pPr>
      <w:r>
        <w:rPr>
          <w:rFonts w:eastAsia="Aptos" w:cs="Aptos"/>
          <w:szCs w:val="18"/>
        </w:rPr>
        <w:t xml:space="preserve">Voor het behalen van de klimaatdoelstellingen is het voor de staat van belang om te borgen dat het industrieel gebruik van kolen op termijn wordt beëindigd. </w:t>
      </w:r>
      <w:r w:rsidRPr="00956C9E">
        <w:rPr>
          <w:rFonts w:eastAsia="Aptos" w:cs="Aptos"/>
          <w:szCs w:val="18"/>
        </w:rPr>
        <w:t>In artikel 11, lid 2 van de JLoI staat over het kolenverbod opgenomen</w:t>
      </w:r>
      <w:r>
        <w:rPr>
          <w:rFonts w:eastAsia="Aptos" w:cs="Aptos"/>
          <w:szCs w:val="18"/>
        </w:rPr>
        <w:t xml:space="preserve">: </w:t>
      </w:r>
      <w:r w:rsidRPr="007D73ED">
        <w:rPr>
          <w:rFonts w:eastAsia="Aptos" w:cs="Aptos"/>
          <w:szCs w:val="18"/>
        </w:rPr>
        <w:t>“</w:t>
      </w:r>
      <w:r w:rsidRPr="007D73ED">
        <w:rPr>
          <w:rFonts w:eastAsia="Aptos" w:cs="Aptos"/>
          <w:i/>
          <w:iCs/>
          <w:szCs w:val="18"/>
        </w:rPr>
        <w:t>Partijen treden met het oog op het aangaan van de maatwerkafspraak te goeder trouw met elkaar in overleg over de details van een mogelijk verbod op steenkool, rekening houdend met de redelijke belangen van zowel TSN als de Staat en onverminderd de bevoegdheid van de Staat om hiervoor beleid of wetgeving vast te stellen met inachtneming van de geldende wettelijke procedures</w:t>
      </w:r>
      <w:r w:rsidRPr="007D73ED">
        <w:rPr>
          <w:rFonts w:eastAsia="Aptos" w:cs="Aptos"/>
          <w:szCs w:val="18"/>
        </w:rPr>
        <w:t>.</w:t>
      </w:r>
      <w:r>
        <w:rPr>
          <w:rStyle w:val="Voetnootmarkering"/>
          <w:rFonts w:eastAsia="Aptos" w:cs="Aptos"/>
          <w:szCs w:val="18"/>
        </w:rPr>
        <w:footnoteReference w:id="4"/>
      </w:r>
      <w:r w:rsidRPr="007D73ED">
        <w:rPr>
          <w:rFonts w:eastAsia="Aptos" w:cs="Aptos"/>
          <w:szCs w:val="18"/>
        </w:rPr>
        <w:t xml:space="preserve">” </w:t>
      </w:r>
    </w:p>
    <w:p w:rsidR="00247260" w:rsidP="00247260" w:rsidRDefault="00247260" w14:paraId="78E2B65D" w14:textId="77777777">
      <w:pPr>
        <w:rPr>
          <w:rFonts w:eastAsia="Aptos" w:cs="Aptos"/>
          <w:szCs w:val="18"/>
        </w:rPr>
      </w:pPr>
    </w:p>
    <w:p w:rsidR="00247260" w:rsidP="00247260" w:rsidRDefault="00247260" w14:paraId="2C7B0260" w14:textId="77777777">
      <w:pPr>
        <w:rPr>
          <w:rFonts w:eastAsia="Aptos" w:cs="Aptos"/>
          <w:szCs w:val="18"/>
        </w:rPr>
      </w:pPr>
      <w:r>
        <w:rPr>
          <w:rFonts w:eastAsia="Aptos" w:cs="Aptos"/>
          <w:szCs w:val="18"/>
        </w:rPr>
        <w:t>De staat tracht met TSN privaatrechtelijke afspraken te maken over het beëindigen van het gebruik van kolen voor staalproductie door het bedrijf. Deze privaatrechtelijke afspraken sluiten de mogelijkheid niet uit om het einde van het kolengebruik door TSN ook publiekrechtelijk te borgen.</w:t>
      </w:r>
    </w:p>
    <w:p w:rsidRPr="0036336E" w:rsidR="00247260" w:rsidP="00247260" w:rsidRDefault="00247260" w14:paraId="0616E8A2" w14:textId="0FEBABA7">
      <w:pPr>
        <w:rPr>
          <w:rFonts w:eastAsia="Aptos" w:cs="Aptos"/>
          <w:szCs w:val="18"/>
        </w:rPr>
      </w:pPr>
      <w:r>
        <w:rPr>
          <w:rFonts w:eastAsia="Aptos" w:cs="Aptos"/>
          <w:szCs w:val="18"/>
        </w:rPr>
        <w:t xml:space="preserve">Het is aan de staat om hierover beleid of wetgeving vast te stellen en </w:t>
      </w:r>
      <w:r w:rsidR="0090128E">
        <w:rPr>
          <w:rFonts w:eastAsia="Aptos" w:cs="Aptos"/>
          <w:szCs w:val="18"/>
        </w:rPr>
        <w:t xml:space="preserve">eventueel </w:t>
      </w:r>
      <w:r>
        <w:rPr>
          <w:rFonts w:eastAsia="Aptos" w:cs="Aptos"/>
          <w:szCs w:val="18"/>
        </w:rPr>
        <w:t>voorafgaand afspraken te maken in de maatwerkafspraak waarin dit ook opgenomen kan worden.</w:t>
      </w:r>
    </w:p>
    <w:p w:rsidR="00247260" w:rsidP="00247260" w:rsidRDefault="00247260" w14:paraId="37E73477" w14:textId="77777777">
      <w:pPr>
        <w:rPr>
          <w:rFonts w:eastAsia="Aptos" w:cs="Aptos"/>
          <w:szCs w:val="18"/>
        </w:rPr>
      </w:pPr>
    </w:p>
    <w:p w:rsidRPr="0036336E" w:rsidR="00247260" w:rsidP="00247260" w:rsidRDefault="00247260" w14:paraId="3BD49A1D" w14:textId="57203BDE">
      <w:pPr>
        <w:rPr>
          <w:rFonts w:eastAsia="Aptos" w:cs="Aptos"/>
          <w:szCs w:val="18"/>
        </w:rPr>
      </w:pPr>
      <w:r>
        <w:rPr>
          <w:rFonts w:eastAsia="Aptos" w:cs="Aptos"/>
          <w:szCs w:val="18"/>
        </w:rPr>
        <w:t>Tevens wil</w:t>
      </w:r>
      <w:r w:rsidR="0031624B">
        <w:rPr>
          <w:rFonts w:eastAsia="Aptos" w:cs="Aptos"/>
          <w:szCs w:val="18"/>
        </w:rPr>
        <w:t xml:space="preserve"> het kabinet </w:t>
      </w:r>
      <w:r w:rsidRPr="62AAC949">
        <w:rPr>
          <w:rFonts w:eastAsia="Aptos" w:cs="Aptos"/>
          <w:szCs w:val="18"/>
        </w:rPr>
        <w:t>graag benadrukken dat er nog geen sprake is van ‘de geïnvesteerde 2 miljard euro’. Met de JLoI hebben de partijen zich gecommitteerd aan inspanningsverplichting</w:t>
      </w:r>
      <w:r>
        <w:rPr>
          <w:rFonts w:eastAsia="Aptos" w:cs="Aptos"/>
          <w:szCs w:val="18"/>
        </w:rPr>
        <w:t>en</w:t>
      </w:r>
      <w:r w:rsidRPr="62AAC949">
        <w:rPr>
          <w:rFonts w:eastAsia="Aptos" w:cs="Aptos"/>
          <w:szCs w:val="18"/>
        </w:rPr>
        <w:t xml:space="preserve"> om tot een maatwerkafspraak te komen</w:t>
      </w:r>
      <w:r>
        <w:rPr>
          <w:rFonts w:eastAsia="Aptos" w:cs="Aptos"/>
          <w:szCs w:val="18"/>
        </w:rPr>
        <w:t>, gebaseerd op de in de JLoI geschetste kaders</w:t>
      </w:r>
      <w:r w:rsidRPr="62AAC949">
        <w:rPr>
          <w:rFonts w:eastAsia="Aptos" w:cs="Aptos"/>
          <w:szCs w:val="18"/>
        </w:rPr>
        <w:t xml:space="preserve">. Pas na het overeenkomen van een definitieve maatwerkafspraak zal de </w:t>
      </w:r>
      <w:r>
        <w:rPr>
          <w:rFonts w:eastAsia="Aptos" w:cs="Aptos"/>
          <w:szCs w:val="18"/>
        </w:rPr>
        <w:t>subsidie</w:t>
      </w:r>
      <w:r w:rsidRPr="62AAC949">
        <w:rPr>
          <w:rFonts w:eastAsia="Aptos" w:cs="Aptos"/>
          <w:szCs w:val="18"/>
        </w:rPr>
        <w:t xml:space="preserve"> vanuit de staat, in tranches bij het behalen van vooraf vastgestelde mijlpalen, worden uitgekeerd aan het bedrijf. </w:t>
      </w:r>
    </w:p>
    <w:p w:rsidRPr="0036336E" w:rsidR="00247260" w:rsidP="00247260" w:rsidRDefault="00247260" w14:paraId="66291F0D" w14:textId="77777777">
      <w:pPr>
        <w:rPr>
          <w:rFonts w:eastAsia="Aptos" w:cs="Aptos"/>
          <w:szCs w:val="18"/>
        </w:rPr>
      </w:pPr>
    </w:p>
    <w:p w:rsidR="00016D70" w:rsidRDefault="00016D70" w14:paraId="08BD1745" w14:textId="77777777">
      <w:pPr>
        <w:spacing w:line="240" w:lineRule="auto"/>
        <w:rPr>
          <w:rFonts w:eastAsia="Aptos" w:cs="Aptos"/>
          <w:szCs w:val="18"/>
        </w:rPr>
      </w:pPr>
      <w:r>
        <w:rPr>
          <w:rFonts w:eastAsia="Aptos" w:cs="Aptos"/>
          <w:szCs w:val="18"/>
        </w:rPr>
        <w:br w:type="page"/>
      </w:r>
    </w:p>
    <w:p w:rsidR="00247260" w:rsidP="00247260" w:rsidRDefault="00247260" w14:paraId="529931BA" w14:textId="20F59761">
      <w:pPr>
        <w:rPr>
          <w:rFonts w:eastAsia="Aptos" w:cs="Aptos"/>
          <w:szCs w:val="18"/>
        </w:rPr>
      </w:pPr>
      <w:r w:rsidRPr="5A385175">
        <w:rPr>
          <w:rFonts w:eastAsia="Aptos" w:cs="Aptos"/>
          <w:szCs w:val="18"/>
        </w:rPr>
        <w:lastRenderedPageBreak/>
        <w:t>9</w:t>
      </w:r>
    </w:p>
    <w:p w:rsidR="00247260" w:rsidP="00247260" w:rsidRDefault="00247260" w14:paraId="5A159E03" w14:textId="77777777">
      <w:pPr>
        <w:rPr>
          <w:rFonts w:eastAsia="Aptos" w:cs="Aptos"/>
          <w:szCs w:val="18"/>
        </w:rPr>
      </w:pPr>
      <w:r w:rsidRPr="5A385175">
        <w:rPr>
          <w:rFonts w:eastAsia="Aptos" w:cs="Aptos"/>
          <w:szCs w:val="18"/>
        </w:rPr>
        <w:t xml:space="preserve">Kan Tata Steel bij deze formulering (artikel 11, tweede lid, van de JLoI) na ondertekening van een definitieve maatwerkafspraak een schadeclaim indienen tegen de Nederlandse staat indien de staat een kolenverbod instelt? Zo ja, wat is de maximale omvang van zo'n claim? </w:t>
      </w:r>
    </w:p>
    <w:p w:rsidR="00247260" w:rsidP="00247260" w:rsidRDefault="00247260" w14:paraId="0A5BB315" w14:textId="77777777">
      <w:pPr>
        <w:rPr>
          <w:rFonts w:eastAsia="Aptos" w:cs="Aptos"/>
          <w:szCs w:val="18"/>
        </w:rPr>
      </w:pPr>
    </w:p>
    <w:p w:rsidR="00247260" w:rsidP="00247260" w:rsidRDefault="00247260" w14:paraId="7AF1E5DF" w14:textId="77777777">
      <w:pPr>
        <w:rPr>
          <w:rFonts w:eastAsia="Aptos" w:cs="Aptos"/>
          <w:szCs w:val="18"/>
        </w:rPr>
      </w:pPr>
      <w:r>
        <w:rPr>
          <w:rFonts w:eastAsia="Aptos" w:cs="Aptos"/>
          <w:szCs w:val="18"/>
        </w:rPr>
        <w:t>Antwoord</w:t>
      </w:r>
    </w:p>
    <w:p w:rsidRPr="000260B8" w:rsidR="00247260" w:rsidP="00247260" w:rsidRDefault="00247260" w14:paraId="2D0C9386" w14:textId="4296D62B">
      <w:pPr>
        <w:rPr>
          <w:rFonts w:eastAsia="Aptos" w:cs="Aptos"/>
          <w:szCs w:val="18"/>
        </w:rPr>
      </w:pPr>
      <w:r>
        <w:rPr>
          <w:rFonts w:eastAsia="Aptos" w:cs="Aptos"/>
          <w:szCs w:val="18"/>
        </w:rPr>
        <w:t>Zoals ook aangegeven in het antwoord op de vorige vraag is het aan de staat om wel/niet beleid of wetgeving vast te stellen over (de vormgeving van) een publiekrechtelijk kolenverbod. In geval van een publiekrechtelijk kolenverbod zal altijd rekening worden gehouden met het waarborgen van de belangen van de bedrijven die hieronder zouden komen te vallen</w:t>
      </w:r>
      <w:r w:rsidR="0017130C">
        <w:rPr>
          <w:rFonts w:eastAsia="Aptos" w:cs="Aptos"/>
          <w:szCs w:val="18"/>
        </w:rPr>
        <w:t>, conform wetgeving</w:t>
      </w:r>
      <w:r>
        <w:rPr>
          <w:rFonts w:eastAsia="Aptos" w:cs="Aptos"/>
          <w:szCs w:val="18"/>
        </w:rPr>
        <w:t xml:space="preserve">. </w:t>
      </w:r>
    </w:p>
    <w:p w:rsidR="000F0BFD" w:rsidRDefault="000F0BFD" w14:paraId="6A925092" w14:textId="62B53174">
      <w:pPr>
        <w:spacing w:line="240" w:lineRule="auto"/>
        <w:rPr>
          <w:rFonts w:eastAsia="Aptos" w:cs="Aptos"/>
          <w:szCs w:val="18"/>
        </w:rPr>
      </w:pPr>
    </w:p>
    <w:p w:rsidR="00247260" w:rsidP="00247260" w:rsidRDefault="00247260" w14:paraId="2C33B39D" w14:textId="1D4E940C">
      <w:pPr>
        <w:rPr>
          <w:rFonts w:eastAsia="Aptos" w:cs="Aptos"/>
          <w:szCs w:val="18"/>
        </w:rPr>
      </w:pPr>
      <w:r w:rsidRPr="5A385175">
        <w:rPr>
          <w:rFonts w:eastAsia="Aptos" w:cs="Aptos"/>
          <w:szCs w:val="18"/>
        </w:rPr>
        <w:t>10</w:t>
      </w:r>
    </w:p>
    <w:p w:rsidR="00247260" w:rsidP="00247260" w:rsidRDefault="00247260" w14:paraId="567E530B" w14:textId="373EDBDE">
      <w:pPr>
        <w:rPr>
          <w:rFonts w:eastAsia="Aptos" w:cs="Aptos"/>
          <w:szCs w:val="18"/>
        </w:rPr>
      </w:pPr>
      <w:r w:rsidRPr="5A385175">
        <w:rPr>
          <w:rFonts w:eastAsia="Aptos" w:cs="Aptos"/>
          <w:szCs w:val="18"/>
        </w:rPr>
        <w:t xml:space="preserve">Geldt het instellen van een verbod op kolen in Nederland als opzeggrond voor de JLOI? Zo nee, waarom geeft de CFO van Tata Steel India dan aan dat dit een voorwaarde is om te komen tot maatwerkafspraken? </w:t>
      </w:r>
    </w:p>
    <w:p w:rsidR="00247260" w:rsidP="00247260" w:rsidRDefault="00247260" w14:paraId="4744B200" w14:textId="77777777">
      <w:pPr>
        <w:rPr>
          <w:rFonts w:eastAsia="Aptos" w:cs="Aptos"/>
          <w:szCs w:val="18"/>
        </w:rPr>
      </w:pPr>
    </w:p>
    <w:p w:rsidR="00247260" w:rsidP="00247260" w:rsidRDefault="00247260" w14:paraId="316D7E25" w14:textId="77777777">
      <w:pPr>
        <w:rPr>
          <w:rFonts w:eastAsia="Aptos" w:cs="Aptos"/>
          <w:szCs w:val="18"/>
        </w:rPr>
      </w:pPr>
      <w:r>
        <w:rPr>
          <w:rFonts w:eastAsia="Aptos" w:cs="Aptos"/>
          <w:szCs w:val="18"/>
        </w:rPr>
        <w:t>Antwoord</w:t>
      </w:r>
    </w:p>
    <w:p w:rsidR="00247260" w:rsidP="00247260" w:rsidRDefault="00247260" w14:paraId="508D2A9B" w14:textId="77777777">
      <w:pPr>
        <w:rPr>
          <w:rFonts w:eastAsia="Aptos" w:cs="Aptos"/>
          <w:szCs w:val="18"/>
        </w:rPr>
      </w:pPr>
      <w:r>
        <w:rPr>
          <w:rFonts w:eastAsia="Aptos" w:cs="Aptos"/>
          <w:szCs w:val="18"/>
        </w:rPr>
        <w:t xml:space="preserve">Nee, een verbod op het gebruik van kolen is niet een van de opzeggronden voor de JLoI. Op grond van artikel 11 van de JLoI is het wel opgenomen als onderwerp dat in de komende periode verder uitgewerkt wordt. Zie de beantwoording bij vraag 8 voor de bewoording van de bepaling uit de JLoI. </w:t>
      </w:r>
    </w:p>
    <w:p w:rsidRPr="00464896" w:rsidR="00247260" w:rsidP="00247260" w:rsidRDefault="00247260" w14:paraId="52A85BFE" w14:textId="77777777">
      <w:pPr>
        <w:rPr>
          <w:rFonts w:eastAsia="Aptos" w:cs="Aptos"/>
          <w:szCs w:val="18"/>
        </w:rPr>
      </w:pPr>
    </w:p>
    <w:p w:rsidR="00247260" w:rsidP="00247260" w:rsidRDefault="00247260" w14:paraId="1FDDF764" w14:textId="77777777">
      <w:pPr>
        <w:rPr>
          <w:rFonts w:eastAsia="Aptos" w:cs="Aptos"/>
          <w:szCs w:val="18"/>
        </w:rPr>
      </w:pPr>
      <w:r w:rsidRPr="00464896">
        <w:rPr>
          <w:rFonts w:eastAsia="Aptos" w:cs="Aptos"/>
          <w:szCs w:val="18"/>
        </w:rPr>
        <w:t>11</w:t>
      </w:r>
    </w:p>
    <w:p w:rsidR="00247260" w:rsidP="00247260" w:rsidRDefault="00247260" w14:paraId="2168822F" w14:textId="77777777">
      <w:pPr>
        <w:rPr>
          <w:rFonts w:eastAsia="Aptos" w:cs="Aptos"/>
          <w:szCs w:val="18"/>
        </w:rPr>
      </w:pPr>
      <w:r w:rsidRPr="00464896">
        <w:rPr>
          <w:rFonts w:eastAsia="Aptos" w:cs="Aptos"/>
          <w:szCs w:val="18"/>
        </w:rPr>
        <w:t xml:space="preserve">Welke argumenten heeft Tata Steel aangevoerd voor het opnemen van de opzeggronden bij hogere netwerkkosten, een nationale CO₂-heffing, of nieuwe milieuregels voor staalslakken? Welke alternatieven zijn overwogen? </w:t>
      </w:r>
    </w:p>
    <w:p w:rsidR="00247260" w:rsidP="00247260" w:rsidRDefault="00247260" w14:paraId="41570A29" w14:textId="77777777">
      <w:pPr>
        <w:rPr>
          <w:rFonts w:eastAsia="Aptos" w:cs="Aptos"/>
          <w:szCs w:val="18"/>
        </w:rPr>
      </w:pPr>
    </w:p>
    <w:p w:rsidR="00247260" w:rsidP="00247260" w:rsidRDefault="00247260" w14:paraId="432D8C81" w14:textId="77777777">
      <w:pPr>
        <w:rPr>
          <w:rFonts w:eastAsia="Aptos" w:cs="Aptos"/>
          <w:szCs w:val="18"/>
        </w:rPr>
      </w:pPr>
      <w:r>
        <w:rPr>
          <w:rFonts w:eastAsia="Aptos" w:cs="Aptos"/>
          <w:szCs w:val="18"/>
        </w:rPr>
        <w:t>Antwoord</w:t>
      </w:r>
    </w:p>
    <w:p w:rsidR="00247260" w:rsidP="00247260" w:rsidRDefault="00247260" w14:paraId="457400E3" w14:textId="35BE4665">
      <w:pPr>
        <w:rPr>
          <w:rFonts w:eastAsia="Aptos" w:cs="Aptos"/>
          <w:szCs w:val="18"/>
        </w:rPr>
      </w:pPr>
      <w:r w:rsidRPr="0719E043">
        <w:rPr>
          <w:rFonts w:eastAsia="Aptos" w:cs="Aptos"/>
          <w:szCs w:val="18"/>
        </w:rPr>
        <w:t xml:space="preserve">De maatwerkafspraak vraagt om een grote investering van het bedrijf en moederbedrijf, naast een subsidiebijdrage van de staat. Om tot een maatwerkafspraak te komen is het van belang dat het bedrijf een positieve businesscase ziet voor verduurzaming. De randvoorwaarden voor het doen van de investering zijn dus van belang. </w:t>
      </w:r>
    </w:p>
    <w:p w:rsidR="003B2A5B" w:rsidP="00247260" w:rsidRDefault="003B2A5B" w14:paraId="76B9684D" w14:textId="77777777">
      <w:pPr>
        <w:rPr>
          <w:rFonts w:eastAsia="Aptos" w:cs="Aptos"/>
          <w:szCs w:val="18"/>
        </w:rPr>
      </w:pPr>
    </w:p>
    <w:p w:rsidRPr="00920ECA" w:rsidR="00247260" w:rsidP="00247260" w:rsidRDefault="00247260" w14:paraId="0E52DE02" w14:textId="77777777">
      <w:pPr>
        <w:rPr>
          <w:rFonts w:eastAsia="Aptos" w:cs="Aptos"/>
          <w:szCs w:val="18"/>
        </w:rPr>
      </w:pPr>
      <w:r w:rsidRPr="0719E043">
        <w:rPr>
          <w:rFonts w:eastAsia="Aptos" w:cs="Aptos"/>
          <w:szCs w:val="18"/>
        </w:rPr>
        <w:t xml:space="preserve">TSN is een private onderneming die zelf verantwoordelijk is en blijft om investeringsbeslissingen te nemen en zicht te houden op een gezonde financiële toekomst. Het verlenen van een subsidie en het maken van een maatwerkafspraak gebeurt op vrijwillige basis en uiteindelijk moeten alle partijen dus bereid zijn om afspraken met elkaar te maken. Afgesproken is dat TSN de JLoI kan opzeggen als op een van de hierboven genoemde terreinen maatregelen worden geïntroduceerd (of uitblijven) waardoor de businesscase onhaalbaar wordt en het bedrijf mogelijk niet meer in staat is om de benodigde investeringen te doen. De opzeggronden doen geen enkele afbreuk aan de mogelijkheden van de staat om nieuw beleid op deze terreinen in te voeren of bestaand beleid aan te scherpen. </w:t>
      </w:r>
    </w:p>
    <w:p w:rsidR="003B2A5B" w:rsidP="00247260" w:rsidRDefault="003B2A5B" w14:paraId="4628E136" w14:textId="77777777">
      <w:pPr>
        <w:rPr>
          <w:rFonts w:eastAsia="Aptos" w:cs="Aptos"/>
          <w:szCs w:val="18"/>
        </w:rPr>
      </w:pPr>
    </w:p>
    <w:p w:rsidR="00016D70" w:rsidRDefault="00016D70" w14:paraId="2B6DAEB0" w14:textId="77777777">
      <w:pPr>
        <w:spacing w:line="240" w:lineRule="auto"/>
        <w:rPr>
          <w:rFonts w:eastAsia="Aptos" w:cs="Aptos"/>
          <w:szCs w:val="18"/>
        </w:rPr>
      </w:pPr>
      <w:r>
        <w:rPr>
          <w:rFonts w:eastAsia="Aptos" w:cs="Aptos"/>
          <w:szCs w:val="18"/>
        </w:rPr>
        <w:br w:type="page"/>
      </w:r>
    </w:p>
    <w:p w:rsidR="00247260" w:rsidP="00247260" w:rsidRDefault="00247260" w14:paraId="1C1BA887" w14:textId="3AA37288">
      <w:pPr>
        <w:rPr>
          <w:rFonts w:eastAsia="Aptos" w:cs="Aptos"/>
          <w:szCs w:val="18"/>
        </w:rPr>
      </w:pPr>
      <w:r w:rsidRPr="00464896">
        <w:rPr>
          <w:rFonts w:eastAsia="Aptos" w:cs="Aptos"/>
          <w:szCs w:val="18"/>
        </w:rPr>
        <w:lastRenderedPageBreak/>
        <w:t>12</w:t>
      </w:r>
    </w:p>
    <w:p w:rsidR="00247260" w:rsidP="00247260" w:rsidRDefault="00247260" w14:paraId="6C1D068D" w14:textId="77777777">
      <w:pPr>
        <w:rPr>
          <w:rFonts w:eastAsia="Aptos" w:cs="Aptos"/>
          <w:szCs w:val="18"/>
        </w:rPr>
      </w:pPr>
      <w:r w:rsidRPr="00464896">
        <w:rPr>
          <w:rFonts w:eastAsia="Aptos" w:cs="Aptos"/>
          <w:szCs w:val="18"/>
        </w:rPr>
        <w:t xml:space="preserve">Klopt het dat de intentieverklaring Tata het recht geeft de deal op te zeggen als "nationaal beleid voor staalslakken de financiële positie aanzienlijk negatief beïnvloedt"? Betekent dit dat de overheid moet compenseren als staalslakken permanent verboden worden in de wegenbouw of andere toepassingen? </w:t>
      </w:r>
    </w:p>
    <w:p w:rsidR="00247260" w:rsidP="00247260" w:rsidRDefault="00247260" w14:paraId="30914250" w14:textId="77777777">
      <w:pPr>
        <w:rPr>
          <w:rFonts w:eastAsia="Aptos" w:cs="Aptos"/>
          <w:szCs w:val="18"/>
        </w:rPr>
      </w:pPr>
    </w:p>
    <w:p w:rsidR="00247260" w:rsidP="00247260" w:rsidRDefault="00247260" w14:paraId="4FA9D0E7" w14:textId="77777777">
      <w:pPr>
        <w:rPr>
          <w:rFonts w:eastAsia="Aptos" w:cs="Aptos"/>
          <w:szCs w:val="18"/>
        </w:rPr>
      </w:pPr>
      <w:r>
        <w:rPr>
          <w:rFonts w:eastAsia="Aptos" w:cs="Aptos"/>
          <w:szCs w:val="18"/>
        </w:rPr>
        <w:t>Antwoord</w:t>
      </w:r>
    </w:p>
    <w:p w:rsidR="00B66B2A" w:rsidP="00247260" w:rsidRDefault="00247260" w14:paraId="068EFFE9" w14:textId="187BDBD2">
      <w:pPr>
        <w:rPr>
          <w:rFonts w:eastAsia="Aptos" w:cs="Aptos"/>
          <w:szCs w:val="18"/>
        </w:rPr>
      </w:pPr>
      <w:r w:rsidRPr="733ABF7F">
        <w:rPr>
          <w:rFonts w:eastAsia="Aptos" w:cs="Aptos"/>
          <w:szCs w:val="18"/>
        </w:rPr>
        <w:t>De specifieke opzeggrond rondom staalslak</w:t>
      </w:r>
      <w:r w:rsidR="00B66B2A">
        <w:rPr>
          <w:rFonts w:eastAsia="Aptos" w:cs="Aptos"/>
          <w:szCs w:val="18"/>
        </w:rPr>
        <w:t>ken</w:t>
      </w:r>
      <w:r w:rsidRPr="733ABF7F">
        <w:rPr>
          <w:rFonts w:eastAsia="Aptos" w:cs="Aptos"/>
          <w:szCs w:val="18"/>
        </w:rPr>
        <w:t xml:space="preserve"> staat in artikel 15, vierde lid onder c: </w:t>
      </w:r>
      <w:r>
        <w:rPr>
          <w:rFonts w:eastAsia="Aptos" w:cs="Aptos"/>
          <w:szCs w:val="18"/>
        </w:rPr>
        <w:t>“</w:t>
      </w:r>
      <w:r w:rsidRPr="00CA33B1">
        <w:rPr>
          <w:rFonts w:eastAsia="Aptos" w:cs="Aptos"/>
          <w:i/>
          <w:iCs/>
          <w:szCs w:val="18"/>
        </w:rPr>
        <w:t>Het nationale</w:t>
      </w:r>
      <w:r w:rsidR="003B2A5B">
        <w:rPr>
          <w:i/>
          <w:iCs/>
        </w:rPr>
        <w:t xml:space="preserve"> </w:t>
      </w:r>
      <w:r w:rsidRPr="00CA33B1">
        <w:rPr>
          <w:rFonts w:eastAsia="Aptos" w:cs="Aptos"/>
          <w:i/>
          <w:iCs/>
          <w:szCs w:val="18"/>
        </w:rPr>
        <w:t>beleid of de nationale beleidsmaatregelen met betrekking tot staalslakken veranderen</w:t>
      </w:r>
      <w:r w:rsidR="003B2A5B">
        <w:rPr>
          <w:i/>
          <w:iCs/>
        </w:rPr>
        <w:t xml:space="preserve"> </w:t>
      </w:r>
      <w:r w:rsidRPr="00CA33B1">
        <w:rPr>
          <w:rFonts w:eastAsia="Aptos" w:cs="Aptos"/>
          <w:i/>
          <w:iCs/>
          <w:szCs w:val="18"/>
        </w:rPr>
        <w:t>op een zodanige wijze dat dit een aanzienlijk negatief effect heeft op de activiteiten,</w:t>
      </w:r>
      <w:r w:rsidR="003B2A5B">
        <w:rPr>
          <w:i/>
          <w:iCs/>
        </w:rPr>
        <w:t xml:space="preserve"> </w:t>
      </w:r>
      <w:r w:rsidRPr="00CA33B1">
        <w:rPr>
          <w:rFonts w:eastAsia="Aptos" w:cs="Aptos"/>
          <w:i/>
          <w:iCs/>
          <w:szCs w:val="18"/>
        </w:rPr>
        <w:t>projecten, bedrijfsvoering of financiële positie van TSN</w:t>
      </w:r>
      <w:r w:rsidRPr="733ABF7F">
        <w:rPr>
          <w:rFonts w:eastAsia="Aptos" w:cs="Aptos"/>
          <w:szCs w:val="18"/>
        </w:rPr>
        <w:t>.</w:t>
      </w:r>
      <w:r>
        <w:rPr>
          <w:rStyle w:val="Voetnootmarkering"/>
          <w:rFonts w:eastAsia="Aptos" w:cs="Aptos"/>
          <w:szCs w:val="18"/>
        </w:rPr>
        <w:footnoteReference w:id="5"/>
      </w:r>
      <w:r>
        <w:rPr>
          <w:rFonts w:eastAsia="Aptos" w:cs="Aptos"/>
          <w:szCs w:val="18"/>
        </w:rPr>
        <w:t>”</w:t>
      </w:r>
      <w:r w:rsidRPr="733ABF7F">
        <w:rPr>
          <w:rFonts w:eastAsia="Aptos" w:cs="Aptos"/>
          <w:szCs w:val="18"/>
        </w:rPr>
        <w:t xml:space="preserve"> De opzeggrond over staalslakken</w:t>
      </w:r>
      <w:r w:rsidR="003B2A5B">
        <w:t xml:space="preserve"> </w:t>
      </w:r>
      <w:r w:rsidRPr="733ABF7F">
        <w:rPr>
          <w:rFonts w:eastAsia="Aptos" w:cs="Aptos"/>
          <w:szCs w:val="18"/>
        </w:rPr>
        <w:t>heeft dus alleen betrekking op</w:t>
      </w:r>
      <w:r w:rsidR="003B2A5B">
        <w:rPr>
          <w:rFonts w:eastAsia="Aptos" w:cs="Aptos"/>
          <w:szCs w:val="18"/>
        </w:rPr>
        <w:t xml:space="preserve"> </w:t>
      </w:r>
      <w:r w:rsidRPr="733ABF7F">
        <w:rPr>
          <w:rFonts w:eastAsia="Aptos" w:cs="Aptos"/>
          <w:szCs w:val="18"/>
        </w:rPr>
        <w:t>wijzigingen in nationaal beleid rondom staalslakken</w:t>
      </w:r>
      <w:r w:rsidR="003B2A5B">
        <w:t xml:space="preserve"> </w:t>
      </w:r>
      <w:r w:rsidRPr="733ABF7F">
        <w:rPr>
          <w:rFonts w:eastAsia="Aptos" w:cs="Aptos"/>
          <w:szCs w:val="18"/>
        </w:rPr>
        <w:t>die de businesscase van TSN aanzienlijk negatief beïnvloeden. Het is expliciet niet</w:t>
      </w:r>
      <w:r w:rsidR="003B2A5B">
        <w:t xml:space="preserve"> </w:t>
      </w:r>
      <w:r w:rsidRPr="733ABF7F">
        <w:rPr>
          <w:rFonts w:eastAsia="Aptos" w:cs="Aptos"/>
          <w:szCs w:val="18"/>
        </w:rPr>
        <w:t xml:space="preserve">zo dat het bedrijf dat bij elke wijziging van beleid zou kunnen doen. </w:t>
      </w:r>
      <w:r w:rsidRPr="00B66B2A" w:rsidR="00B66B2A">
        <w:rPr>
          <w:rFonts w:eastAsia="Aptos" w:cs="Aptos"/>
          <w:szCs w:val="18"/>
        </w:rPr>
        <w:t xml:space="preserve">Het tijdelijke verbod op bepaalde </w:t>
      </w:r>
      <w:r w:rsidRPr="00B66B2A" w:rsidR="00B66B2A">
        <w:rPr>
          <w:rFonts w:eastAsia="Aptos" w:cs="Aptos"/>
          <w:i/>
          <w:iCs/>
          <w:szCs w:val="18"/>
        </w:rPr>
        <w:t>toepassingen</w:t>
      </w:r>
      <w:r w:rsidRPr="00B66B2A" w:rsidR="00B66B2A">
        <w:rPr>
          <w:rFonts w:eastAsia="Aptos" w:cs="Aptos"/>
          <w:szCs w:val="18"/>
        </w:rPr>
        <w:t xml:space="preserve"> van staalslakken is geen verbod op de </w:t>
      </w:r>
      <w:r w:rsidRPr="00B66B2A" w:rsidR="00B66B2A">
        <w:rPr>
          <w:rFonts w:eastAsia="Aptos" w:cs="Aptos"/>
          <w:i/>
          <w:iCs/>
          <w:szCs w:val="18"/>
        </w:rPr>
        <w:t>productie</w:t>
      </w:r>
      <w:r w:rsidRPr="00B66B2A" w:rsidR="00B66B2A">
        <w:rPr>
          <w:rFonts w:eastAsia="Aptos" w:cs="Aptos"/>
          <w:szCs w:val="18"/>
        </w:rPr>
        <w:t xml:space="preserve"> van staalslakken. Ook is relevant dat de markt voor de toepassing van staalslakken een internationale markt is; de mogelijkheden voor export beïnvloeden de businesscase dus ook. Nederland is momenteel het enige land ter wereld dat voor bepaalde toepassingen van staalslakken restricties oplegt.</w:t>
      </w:r>
    </w:p>
    <w:p w:rsidR="00B66B2A" w:rsidP="00247260" w:rsidRDefault="00B66B2A" w14:paraId="43A6B6C9" w14:textId="77777777">
      <w:pPr>
        <w:rPr>
          <w:rFonts w:eastAsia="Aptos" w:cs="Aptos"/>
          <w:szCs w:val="18"/>
        </w:rPr>
      </w:pPr>
    </w:p>
    <w:p w:rsidRPr="00742E06" w:rsidR="00247260" w:rsidP="00247260" w:rsidRDefault="00247260" w14:paraId="40BFFF97" w14:textId="7E5913D6">
      <w:pPr>
        <w:rPr>
          <w:rFonts w:eastAsia="Aptos" w:cs="Aptos"/>
          <w:szCs w:val="18"/>
        </w:rPr>
      </w:pPr>
      <w:r w:rsidRPr="733ABF7F">
        <w:rPr>
          <w:rFonts w:eastAsia="Aptos" w:cs="Aptos"/>
          <w:szCs w:val="18"/>
        </w:rPr>
        <w:t>Deze opzeggrond</w:t>
      </w:r>
      <w:r w:rsidR="003B2A5B">
        <w:t xml:space="preserve"> </w:t>
      </w:r>
      <w:r w:rsidRPr="733ABF7F">
        <w:rPr>
          <w:rFonts w:eastAsia="Aptos" w:cs="Aptos"/>
          <w:szCs w:val="18"/>
        </w:rPr>
        <w:t xml:space="preserve">staat </w:t>
      </w:r>
      <w:r w:rsidR="00B66B2A">
        <w:rPr>
          <w:rFonts w:eastAsia="Aptos" w:cs="Aptos"/>
          <w:szCs w:val="18"/>
        </w:rPr>
        <w:t xml:space="preserve">kortom </w:t>
      </w:r>
      <w:r w:rsidRPr="733ABF7F">
        <w:rPr>
          <w:rFonts w:eastAsia="Aptos" w:cs="Aptos"/>
          <w:szCs w:val="18"/>
        </w:rPr>
        <w:t>niet in de weg bij het maken of aanpassen van nationaal beleid rondom staalslakken,</w:t>
      </w:r>
      <w:r w:rsidR="003B2A5B">
        <w:t xml:space="preserve"> </w:t>
      </w:r>
      <w:r w:rsidRPr="733ABF7F">
        <w:rPr>
          <w:rFonts w:eastAsia="Aptos" w:cs="Aptos"/>
          <w:szCs w:val="18"/>
        </w:rPr>
        <w:t>maar biedt TSN in het geval dat dergelijk beleid de businesscase van TSN aanzienlijk</w:t>
      </w:r>
      <w:r w:rsidR="003B2A5B">
        <w:t xml:space="preserve"> </w:t>
      </w:r>
      <w:r w:rsidRPr="733ABF7F">
        <w:rPr>
          <w:rFonts w:eastAsia="Aptos" w:cs="Aptos"/>
          <w:szCs w:val="18"/>
        </w:rPr>
        <w:t>negatief beïnvloedt de mogelijkheid de JLoI – de inspanningsverplichting om te komen</w:t>
      </w:r>
      <w:r w:rsidR="003B2A5B">
        <w:t xml:space="preserve"> </w:t>
      </w:r>
      <w:r w:rsidRPr="733ABF7F">
        <w:rPr>
          <w:rFonts w:eastAsia="Aptos" w:cs="Aptos"/>
          <w:szCs w:val="18"/>
        </w:rPr>
        <w:t>tot bindende afspraken – op te zeggen.</w:t>
      </w:r>
    </w:p>
    <w:p w:rsidR="00247260" w:rsidP="00247260" w:rsidRDefault="00247260" w14:paraId="20BD1D3F" w14:textId="77777777">
      <w:pPr>
        <w:rPr>
          <w:rFonts w:eastAsia="Aptos" w:cs="Aptos"/>
          <w:szCs w:val="18"/>
        </w:rPr>
      </w:pPr>
    </w:p>
    <w:p w:rsidRPr="00742E06" w:rsidR="00247260" w:rsidP="00247260" w:rsidRDefault="00247260" w14:paraId="1217C81D" w14:textId="4DDA1268">
      <w:pPr>
        <w:rPr>
          <w:rFonts w:eastAsia="Aptos" w:cs="Aptos"/>
          <w:szCs w:val="18"/>
        </w:rPr>
      </w:pPr>
      <w:r w:rsidRPr="62AAC949">
        <w:rPr>
          <w:rFonts w:eastAsia="Aptos" w:cs="Aptos"/>
          <w:szCs w:val="18"/>
        </w:rPr>
        <w:t>De opzeggrond in de JLoI betekent niet dat de overheid TSN moet compenseren voor mogelijke extra kosten door nieuw beleid of maatregelen op het gebied van staalslakken. Deze opzeggrond doet ook geen enkele afbreuk aan de verplichting van het bedrijf om op verantwoorde wijze om te gaan met staalslakken, in overeenstemming met de huidige</w:t>
      </w:r>
      <w:r>
        <w:rPr>
          <w:rFonts w:eastAsia="Aptos" w:cs="Aptos"/>
          <w:szCs w:val="18"/>
        </w:rPr>
        <w:t xml:space="preserve"> geldende wet- en regelgeving</w:t>
      </w:r>
      <w:r w:rsidRPr="62AAC949">
        <w:rPr>
          <w:rFonts w:eastAsia="Aptos" w:cs="Aptos"/>
          <w:szCs w:val="18"/>
        </w:rPr>
        <w:t>. Ook laat dit de mogelijkheden om het nationale beleid aan te scherpen onverlet.</w:t>
      </w:r>
    </w:p>
    <w:p w:rsidRPr="00464896" w:rsidR="00247260" w:rsidP="00247260" w:rsidRDefault="00247260" w14:paraId="3564CC4A" w14:textId="77777777">
      <w:pPr>
        <w:rPr>
          <w:rFonts w:eastAsia="Aptos" w:cs="Aptos"/>
          <w:szCs w:val="18"/>
        </w:rPr>
      </w:pPr>
    </w:p>
    <w:p w:rsidR="00247260" w:rsidP="00247260" w:rsidRDefault="00247260" w14:paraId="76FDFEDB" w14:textId="77777777">
      <w:pPr>
        <w:rPr>
          <w:rFonts w:eastAsia="Aptos" w:cs="Aptos"/>
          <w:szCs w:val="18"/>
        </w:rPr>
      </w:pPr>
      <w:r w:rsidRPr="5A385175">
        <w:rPr>
          <w:rFonts w:eastAsia="Aptos" w:cs="Aptos"/>
          <w:szCs w:val="18"/>
        </w:rPr>
        <w:t xml:space="preserve">13 </w:t>
      </w:r>
    </w:p>
    <w:p w:rsidR="00247260" w:rsidP="00247260" w:rsidRDefault="00247260" w14:paraId="09271ECF" w14:textId="77777777">
      <w:pPr>
        <w:rPr>
          <w:rFonts w:eastAsia="Aptos" w:cs="Aptos"/>
          <w:szCs w:val="18"/>
        </w:rPr>
      </w:pPr>
      <w:r w:rsidRPr="5A385175">
        <w:rPr>
          <w:rFonts w:eastAsia="Aptos" w:cs="Aptos"/>
          <w:szCs w:val="18"/>
        </w:rPr>
        <w:t xml:space="preserve">Wat zijn de totale maatschappelijke kosten van staalslakken die Tata jaarlijks produceert (650.000 ton)? Kunt u een overzicht geven van alle saneringen en vervuiling schade, inclusief de situatie in Spijk (670.000 ton, geschatte sanering 100 miljoen euro), en aangeven wie voor deze kosten opdraait? </w:t>
      </w:r>
    </w:p>
    <w:p w:rsidR="00247260" w:rsidP="00247260" w:rsidRDefault="00247260" w14:paraId="3CD5996E" w14:textId="77777777">
      <w:pPr>
        <w:rPr>
          <w:rFonts w:eastAsia="Aptos" w:cs="Aptos"/>
          <w:szCs w:val="18"/>
        </w:rPr>
      </w:pPr>
    </w:p>
    <w:p w:rsidR="00247260" w:rsidP="00247260" w:rsidRDefault="00247260" w14:paraId="696BED92" w14:textId="77777777">
      <w:pPr>
        <w:rPr>
          <w:rFonts w:eastAsia="Aptos" w:cs="Aptos"/>
          <w:szCs w:val="18"/>
        </w:rPr>
      </w:pPr>
      <w:r w:rsidRPr="72691D7D">
        <w:rPr>
          <w:rFonts w:eastAsia="Aptos" w:cs="Aptos"/>
          <w:szCs w:val="18"/>
        </w:rPr>
        <w:t xml:space="preserve">Antwoord </w:t>
      </w:r>
    </w:p>
    <w:p w:rsidR="00247260" w:rsidP="00247260" w:rsidRDefault="00247260" w14:paraId="6C85E75B" w14:textId="77777777">
      <w:pPr>
        <w:rPr>
          <w:rFonts w:eastAsia="Aptos" w:cs="Aptos"/>
          <w:szCs w:val="18"/>
        </w:rPr>
      </w:pPr>
      <w:r w:rsidRPr="46775C5F">
        <w:rPr>
          <w:rFonts w:eastAsia="Aptos" w:cs="Aptos"/>
          <w:szCs w:val="18"/>
        </w:rPr>
        <w:t xml:space="preserve">De productie van circa 650.000 ton staalslak per jaar door </w:t>
      </w:r>
      <w:r>
        <w:rPr>
          <w:rFonts w:eastAsia="Aptos" w:cs="Aptos"/>
          <w:szCs w:val="18"/>
        </w:rPr>
        <w:t>TSN</w:t>
      </w:r>
      <w:r w:rsidRPr="46775C5F">
        <w:rPr>
          <w:rFonts w:eastAsia="Aptos" w:cs="Aptos"/>
          <w:szCs w:val="18"/>
        </w:rPr>
        <w:t xml:space="preserve"> leidt niet automatisch tot maatschappelijke kosten: die ontstaan alleen wanneer staalslak onjuist of in strijd met de zorgplicht is toegepast en daardoor milieuschade optreedt. Saneringen en kosten worden per locatie en per geval beoordeeld door het bevoegd gezag. Er is daardoor geen totaalbeeld beschikbaar en er bestaat </w:t>
      </w:r>
      <w:r w:rsidRPr="46775C5F">
        <w:rPr>
          <w:rFonts w:eastAsia="Aptos" w:cs="Aptos"/>
          <w:szCs w:val="18"/>
        </w:rPr>
        <w:lastRenderedPageBreak/>
        <w:t xml:space="preserve">geen landelijk overzicht van de totale maatschappelijke kosten van staalslak dat jaarlijks wordt geproduceerd, noch van alle saneringen en schadegevallen. </w:t>
      </w:r>
    </w:p>
    <w:p w:rsidR="00247260" w:rsidP="00247260" w:rsidRDefault="00247260" w14:paraId="68098EC9" w14:textId="77777777">
      <w:pPr>
        <w:rPr>
          <w:rFonts w:eastAsia="Aptos" w:cs="Aptos"/>
          <w:szCs w:val="18"/>
        </w:rPr>
      </w:pPr>
    </w:p>
    <w:p w:rsidR="00247260" w:rsidP="00247260" w:rsidRDefault="00247260" w14:paraId="51B79141" w14:textId="65C12DE5">
      <w:pPr>
        <w:rPr>
          <w:rFonts w:eastAsia="Aptos" w:cs="Aptos"/>
          <w:szCs w:val="18"/>
        </w:rPr>
      </w:pPr>
      <w:r w:rsidRPr="46775C5F">
        <w:rPr>
          <w:rFonts w:eastAsia="Aptos" w:cs="Aptos"/>
          <w:szCs w:val="18"/>
        </w:rPr>
        <w:t>De situatie in Spijk, waar circa 670.000 ton staalslak is toegepast en lokaal wordt gesproken over een saneringsopgave van circa € 100 miljoen, betreft een locatiespecifieke raming en geen landelijk vastgestelde kosteninschatting. Wie voor herstel- en saneringskosten opdraait, is niet generiek vast te stellen en hangt af van de concrete omstandigheden. In beginsel is de toepasser verantwoordelijk voor juiste toepassing</w:t>
      </w:r>
      <w:r w:rsidR="00B66B2A">
        <w:rPr>
          <w:rFonts w:eastAsia="Aptos" w:cs="Aptos"/>
          <w:szCs w:val="18"/>
        </w:rPr>
        <w:t>,</w:t>
      </w:r>
      <w:r w:rsidR="00424CCA">
        <w:rPr>
          <w:rFonts w:eastAsia="Aptos" w:cs="Aptos"/>
          <w:szCs w:val="18"/>
        </w:rPr>
        <w:t xml:space="preserve"> </w:t>
      </w:r>
      <w:r w:rsidRPr="46775C5F">
        <w:rPr>
          <w:rFonts w:eastAsia="Aptos" w:cs="Aptos"/>
          <w:szCs w:val="18"/>
        </w:rPr>
        <w:t>mogelijke aansprakelijkheid van producent of leverancier</w:t>
      </w:r>
      <w:r w:rsidR="00B66B2A">
        <w:rPr>
          <w:rFonts w:eastAsia="Aptos" w:cs="Aptos"/>
          <w:szCs w:val="18"/>
        </w:rPr>
        <w:t xml:space="preserve"> indien wettelijke verplichtingen niet zijn nageleefd</w:t>
      </w:r>
      <w:r w:rsidRPr="46775C5F">
        <w:rPr>
          <w:rFonts w:eastAsia="Aptos" w:cs="Aptos"/>
          <w:szCs w:val="18"/>
        </w:rPr>
        <w:t>.</w:t>
      </w:r>
    </w:p>
    <w:p w:rsidRPr="00464896" w:rsidR="00247260" w:rsidP="00247260" w:rsidRDefault="00247260" w14:paraId="0A4C5B75" w14:textId="77777777">
      <w:pPr>
        <w:rPr>
          <w:rFonts w:eastAsia="Aptos" w:cs="Aptos"/>
          <w:szCs w:val="18"/>
        </w:rPr>
      </w:pPr>
      <w:r>
        <w:rPr>
          <w:rFonts w:eastAsia="Aptos" w:cs="Aptos"/>
          <w:szCs w:val="18"/>
        </w:rPr>
        <w:t xml:space="preserve"> </w:t>
      </w:r>
    </w:p>
    <w:p w:rsidR="00247260" w:rsidP="00247260" w:rsidRDefault="00247260" w14:paraId="2E5D601C" w14:textId="77777777">
      <w:pPr>
        <w:rPr>
          <w:rFonts w:eastAsia="Aptos" w:cs="Aptos"/>
          <w:szCs w:val="18"/>
        </w:rPr>
      </w:pPr>
      <w:r w:rsidRPr="00464896">
        <w:rPr>
          <w:rFonts w:eastAsia="Aptos" w:cs="Aptos"/>
          <w:szCs w:val="18"/>
        </w:rPr>
        <w:t>14</w:t>
      </w:r>
    </w:p>
    <w:p w:rsidR="00247260" w:rsidP="00247260" w:rsidRDefault="00247260" w14:paraId="4F3CEC63" w14:textId="77777777">
      <w:pPr>
        <w:rPr>
          <w:rFonts w:eastAsia="Aptos" w:cs="Aptos"/>
          <w:szCs w:val="18"/>
        </w:rPr>
      </w:pPr>
      <w:r w:rsidRPr="00464896">
        <w:rPr>
          <w:rFonts w:eastAsia="Aptos" w:cs="Aptos"/>
          <w:szCs w:val="18"/>
        </w:rPr>
        <w:t xml:space="preserve">Zijn de kosten van staalslakkenverwerking en -sanering meegenomen in de totale businesscase van Tata Steel? Zo nee, wat is de reden hiervoor en wat is de omvang van deze kosten? </w:t>
      </w:r>
    </w:p>
    <w:p w:rsidR="000F0BFD" w:rsidRDefault="000F0BFD" w14:paraId="5E6EB3BD" w14:textId="6D4D44D5">
      <w:pPr>
        <w:spacing w:line="240" w:lineRule="auto"/>
        <w:rPr>
          <w:rFonts w:eastAsia="Aptos" w:cs="Aptos"/>
          <w:szCs w:val="18"/>
        </w:rPr>
      </w:pPr>
    </w:p>
    <w:p w:rsidR="00247260" w:rsidP="00247260" w:rsidRDefault="00247260" w14:paraId="538523AF" w14:textId="713A2372">
      <w:pPr>
        <w:rPr>
          <w:rFonts w:eastAsia="Aptos" w:cs="Aptos"/>
          <w:szCs w:val="18"/>
        </w:rPr>
      </w:pPr>
      <w:r>
        <w:rPr>
          <w:rFonts w:eastAsia="Aptos" w:cs="Aptos"/>
          <w:szCs w:val="18"/>
        </w:rPr>
        <w:t>Antwoord</w:t>
      </w:r>
    </w:p>
    <w:p w:rsidRPr="00464896" w:rsidR="00247260" w:rsidP="00247260" w:rsidRDefault="0010484C" w14:paraId="35B6C0D3" w14:textId="5D77ADE3">
      <w:pPr>
        <w:rPr>
          <w:rFonts w:eastAsia="Aptos" w:cs="Aptos"/>
          <w:szCs w:val="18"/>
        </w:rPr>
      </w:pPr>
      <w:r>
        <w:rPr>
          <w:rFonts w:eastAsia="Aptos" w:cs="Aptos"/>
          <w:szCs w:val="18"/>
        </w:rPr>
        <w:t xml:space="preserve">De beoogde maatwerksubsidie </w:t>
      </w:r>
      <w:r w:rsidR="0057473E">
        <w:rPr>
          <w:rFonts w:eastAsia="Aptos" w:cs="Aptos"/>
          <w:szCs w:val="18"/>
        </w:rPr>
        <w:t xml:space="preserve">van 2 miljard euro </w:t>
      </w:r>
      <w:r>
        <w:rPr>
          <w:rFonts w:eastAsia="Aptos" w:cs="Aptos"/>
          <w:szCs w:val="18"/>
        </w:rPr>
        <w:t xml:space="preserve">valt uiteen </w:t>
      </w:r>
      <w:r w:rsidR="0057473E">
        <w:rPr>
          <w:rFonts w:eastAsia="Aptos" w:cs="Aptos"/>
          <w:szCs w:val="18"/>
        </w:rPr>
        <w:t>twee delen: 1)</w:t>
      </w:r>
      <w:r>
        <w:rPr>
          <w:rFonts w:eastAsia="Aptos" w:cs="Aptos"/>
          <w:szCs w:val="18"/>
        </w:rPr>
        <w:t xml:space="preserve"> </w:t>
      </w:r>
      <w:r w:rsidR="00247260">
        <w:rPr>
          <w:rFonts w:eastAsia="Aptos" w:cs="Aptos"/>
          <w:szCs w:val="18"/>
        </w:rPr>
        <w:t>een lening van 200 miljoen</w:t>
      </w:r>
      <w:r w:rsidR="0057473E">
        <w:rPr>
          <w:rFonts w:eastAsia="Aptos" w:cs="Aptos"/>
          <w:szCs w:val="18"/>
        </w:rPr>
        <w:t xml:space="preserve"> euro</w:t>
      </w:r>
      <w:r w:rsidR="00247260">
        <w:rPr>
          <w:rFonts w:eastAsia="Aptos" w:cs="Aptos"/>
          <w:szCs w:val="18"/>
        </w:rPr>
        <w:t xml:space="preserve"> voor de aankoop van biomethaan en/of waterstof</w:t>
      </w:r>
      <w:r w:rsidR="00A1399B">
        <w:rPr>
          <w:rFonts w:eastAsia="Aptos" w:cs="Aptos"/>
          <w:szCs w:val="18"/>
        </w:rPr>
        <w:t>,</w:t>
      </w:r>
      <w:r w:rsidR="0057473E">
        <w:rPr>
          <w:rFonts w:eastAsia="Aptos" w:cs="Aptos"/>
          <w:szCs w:val="18"/>
        </w:rPr>
        <w:t xml:space="preserve"> en 2) </w:t>
      </w:r>
      <w:r w:rsidRPr="08621E89" w:rsidR="00247260">
        <w:rPr>
          <w:rFonts w:eastAsia="Aptos" w:cs="Aptos"/>
          <w:szCs w:val="18"/>
        </w:rPr>
        <w:t xml:space="preserve">1,8 miljard </w:t>
      </w:r>
      <w:r w:rsidR="0057473E">
        <w:rPr>
          <w:rFonts w:eastAsia="Aptos" w:cs="Aptos"/>
          <w:szCs w:val="18"/>
        </w:rPr>
        <w:t xml:space="preserve">euro </w:t>
      </w:r>
      <w:r w:rsidRPr="08621E89" w:rsidR="00247260">
        <w:rPr>
          <w:rFonts w:eastAsia="Aptos" w:cs="Aptos"/>
          <w:szCs w:val="18"/>
        </w:rPr>
        <w:t xml:space="preserve">aan investeringssteun voor de bouw van een </w:t>
      </w:r>
      <w:r w:rsidR="00247260">
        <w:rPr>
          <w:rFonts w:eastAsia="Aptos" w:cs="Aptos"/>
          <w:szCs w:val="18"/>
        </w:rPr>
        <w:t>Direct Reduction Plant en Electric Arc Furnace (</w:t>
      </w:r>
      <w:r w:rsidRPr="08621E89" w:rsidR="00247260">
        <w:rPr>
          <w:rFonts w:eastAsia="Aptos" w:cs="Aptos"/>
          <w:szCs w:val="18"/>
        </w:rPr>
        <w:t>DRP-EAF</w:t>
      </w:r>
      <w:r w:rsidR="0057473E">
        <w:rPr>
          <w:rFonts w:eastAsia="Aptos" w:cs="Aptos"/>
          <w:szCs w:val="18"/>
        </w:rPr>
        <w:t xml:space="preserve">) </w:t>
      </w:r>
      <w:r w:rsidRPr="08621E89" w:rsidR="00247260">
        <w:rPr>
          <w:rFonts w:eastAsia="Aptos" w:cs="Aptos"/>
          <w:szCs w:val="18"/>
        </w:rPr>
        <w:t>en de extra milieumaatregelen</w:t>
      </w:r>
      <w:r w:rsidR="0057473E">
        <w:rPr>
          <w:rFonts w:eastAsia="Aptos" w:cs="Aptos"/>
          <w:szCs w:val="18"/>
        </w:rPr>
        <w:t>. Alleen de investeringskosten</w:t>
      </w:r>
      <w:r>
        <w:rPr>
          <w:rFonts w:eastAsia="Aptos" w:cs="Aptos"/>
          <w:szCs w:val="18"/>
        </w:rPr>
        <w:t xml:space="preserve"> </w:t>
      </w:r>
      <w:r w:rsidR="0057473E">
        <w:rPr>
          <w:rFonts w:eastAsia="Aptos" w:cs="Aptos"/>
          <w:szCs w:val="18"/>
        </w:rPr>
        <w:t>van</w:t>
      </w:r>
      <w:r w:rsidR="00604036">
        <w:rPr>
          <w:rFonts w:eastAsia="Aptos" w:cs="Aptos"/>
          <w:szCs w:val="18"/>
        </w:rPr>
        <w:t xml:space="preserve"> de projecten uit de JLoI </w:t>
      </w:r>
      <w:r w:rsidR="0057473E">
        <w:rPr>
          <w:rFonts w:eastAsia="Aptos" w:cs="Aptos"/>
          <w:szCs w:val="18"/>
        </w:rPr>
        <w:t>komen in aanmerking voor deze investeringssteun van 1,8 miljard</w:t>
      </w:r>
      <w:r w:rsidR="00364D65">
        <w:rPr>
          <w:rFonts w:eastAsia="Aptos" w:cs="Aptos"/>
          <w:szCs w:val="18"/>
        </w:rPr>
        <w:t xml:space="preserve"> euro. </w:t>
      </w:r>
      <w:r w:rsidR="00247260">
        <w:rPr>
          <w:rFonts w:eastAsia="Aptos" w:cs="Aptos"/>
          <w:szCs w:val="18"/>
        </w:rPr>
        <w:t xml:space="preserve">Investeringskosten betreffen onder andere materiaal- en bouwkosten voor de DRP-EAF en </w:t>
      </w:r>
      <w:r w:rsidR="00604036">
        <w:rPr>
          <w:rFonts w:eastAsia="Aptos" w:cs="Aptos"/>
          <w:szCs w:val="18"/>
        </w:rPr>
        <w:t xml:space="preserve">voor </w:t>
      </w:r>
      <w:r w:rsidR="00247260">
        <w:rPr>
          <w:rFonts w:eastAsia="Aptos" w:cs="Aptos"/>
          <w:szCs w:val="18"/>
        </w:rPr>
        <w:t>de aanvullende milieumaatregelen. De huidige kosten voor staalslakkenverwerking en -sanering vallen hier</w:t>
      </w:r>
      <w:r>
        <w:rPr>
          <w:rFonts w:eastAsia="Aptos" w:cs="Aptos"/>
          <w:szCs w:val="18"/>
        </w:rPr>
        <w:t xml:space="preserve"> dus</w:t>
      </w:r>
      <w:r w:rsidR="00247260">
        <w:rPr>
          <w:rFonts w:eastAsia="Aptos" w:cs="Aptos"/>
          <w:szCs w:val="18"/>
        </w:rPr>
        <w:t xml:space="preserve"> niet onder. </w:t>
      </w:r>
    </w:p>
    <w:p w:rsidRPr="00464896" w:rsidR="00247260" w:rsidP="00247260" w:rsidRDefault="00247260" w14:paraId="3F1026BC" w14:textId="77777777">
      <w:pPr>
        <w:rPr>
          <w:rFonts w:eastAsia="Aptos" w:cs="Aptos"/>
          <w:szCs w:val="18"/>
        </w:rPr>
      </w:pPr>
    </w:p>
    <w:p w:rsidRPr="00752D90" w:rsidR="00247260" w:rsidP="00247260" w:rsidRDefault="00604036" w14:paraId="69AACA18" w14:textId="332E8CE6">
      <w:pPr>
        <w:rPr>
          <w:rFonts w:eastAsia="Aptos" w:cs="Aptos"/>
          <w:szCs w:val="18"/>
        </w:rPr>
      </w:pPr>
      <w:r>
        <w:rPr>
          <w:rFonts w:eastAsia="Aptos" w:cs="Aptos"/>
          <w:szCs w:val="18"/>
        </w:rPr>
        <w:t xml:space="preserve">Een van de projecten uit de JLoI is gericht op verbetering </w:t>
      </w:r>
      <w:r w:rsidRPr="08621E89" w:rsidR="00247260">
        <w:rPr>
          <w:rFonts w:eastAsia="Aptos" w:cs="Aptos"/>
          <w:szCs w:val="18"/>
        </w:rPr>
        <w:t xml:space="preserve">van de kwaliteit van </w:t>
      </w:r>
      <w:r w:rsidR="00247260">
        <w:rPr>
          <w:rFonts w:eastAsia="Aptos" w:cs="Aptos"/>
          <w:szCs w:val="18"/>
        </w:rPr>
        <w:t>staal</w:t>
      </w:r>
      <w:r w:rsidRPr="08621E89" w:rsidR="00247260">
        <w:rPr>
          <w:rFonts w:eastAsia="Aptos" w:cs="Aptos"/>
          <w:szCs w:val="18"/>
        </w:rPr>
        <w:t>slak (art. 3.3.b en 6.1.b.II JLoI en annex II onder 3.B). Dit betreft een innovatieve methode voor de verwerking van staalslak</w:t>
      </w:r>
      <w:r w:rsidR="00247260">
        <w:rPr>
          <w:rFonts w:eastAsia="Aptos" w:cs="Aptos"/>
          <w:szCs w:val="18"/>
        </w:rPr>
        <w:t xml:space="preserve"> in de toekomst</w:t>
      </w:r>
      <w:r w:rsidR="00364D65">
        <w:rPr>
          <w:rFonts w:eastAsia="Aptos" w:cs="Aptos"/>
          <w:szCs w:val="18"/>
        </w:rPr>
        <w:t xml:space="preserve">. </w:t>
      </w:r>
      <w:r w:rsidR="00247260">
        <w:rPr>
          <w:rFonts w:eastAsia="Aptos" w:cs="Aptos"/>
          <w:szCs w:val="18"/>
        </w:rPr>
        <w:t xml:space="preserve">Dit project is onderdeel van de JLoI (aanvullende milieumaatregelen) en zodoende wel meegenomen in de businesscase. </w:t>
      </w:r>
      <w:r w:rsidRPr="08621E89" w:rsidR="00247260">
        <w:rPr>
          <w:rFonts w:eastAsia="Aptos" w:cs="Aptos"/>
          <w:szCs w:val="18"/>
        </w:rPr>
        <w:t xml:space="preserve">Zoals in het antwoord op vraag 13 aangegeven is in beginsel de toepasser van staalslak verantwoordelijk voor de juiste </w:t>
      </w:r>
      <w:r w:rsidRPr="00752D90" w:rsidR="00247260">
        <w:rPr>
          <w:rFonts w:eastAsia="Aptos" w:cs="Aptos"/>
          <w:szCs w:val="18"/>
        </w:rPr>
        <w:t>toepassing.</w:t>
      </w:r>
    </w:p>
    <w:p w:rsidRPr="00752D90" w:rsidR="00247260" w:rsidP="00247260" w:rsidRDefault="00247260" w14:paraId="5817E5B7" w14:textId="77777777">
      <w:pPr>
        <w:rPr>
          <w:rFonts w:eastAsia="Aptos" w:cs="Aptos"/>
          <w:szCs w:val="18"/>
        </w:rPr>
      </w:pPr>
    </w:p>
    <w:p w:rsidRPr="00752D90" w:rsidR="00247260" w:rsidP="00247260" w:rsidRDefault="00247260" w14:paraId="27D48602" w14:textId="77777777">
      <w:pPr>
        <w:rPr>
          <w:rFonts w:eastAsia="Aptos" w:cs="Aptos"/>
          <w:szCs w:val="18"/>
        </w:rPr>
      </w:pPr>
      <w:r w:rsidRPr="00752D90">
        <w:rPr>
          <w:rFonts w:eastAsia="Aptos" w:cs="Aptos"/>
          <w:szCs w:val="18"/>
        </w:rPr>
        <w:t>15</w:t>
      </w:r>
    </w:p>
    <w:p w:rsidR="00247260" w:rsidP="00247260" w:rsidRDefault="00247260" w14:paraId="1F25BD1E" w14:textId="77777777">
      <w:pPr>
        <w:rPr>
          <w:rFonts w:eastAsia="Aptos" w:cs="Aptos"/>
          <w:szCs w:val="18"/>
        </w:rPr>
      </w:pPr>
      <w:r w:rsidRPr="00752D90">
        <w:rPr>
          <w:rFonts w:eastAsia="Aptos" w:cs="Aptos"/>
          <w:szCs w:val="18"/>
        </w:rPr>
        <w:t>Welke andere maatschappelijke kosten van Tata Steel’s operatie erkent u naast staalslakken, zoals gezondheidsschade door luchtvervuiling, stikstofuitstoot, en milieuschade? Kunt u deze kosten kwantificeren en aangeven in hoeverre deze worden meegewogen in de afweging over de subsidiedeal?</w:t>
      </w:r>
      <w:r w:rsidRPr="00464896">
        <w:rPr>
          <w:rFonts w:eastAsia="Aptos" w:cs="Aptos"/>
          <w:szCs w:val="18"/>
        </w:rPr>
        <w:t xml:space="preserve"> </w:t>
      </w:r>
    </w:p>
    <w:p w:rsidR="00247260" w:rsidP="00247260" w:rsidRDefault="00247260" w14:paraId="05D4D8D5" w14:textId="77777777">
      <w:pPr>
        <w:rPr>
          <w:rFonts w:eastAsia="Aptos" w:cs="Aptos"/>
          <w:szCs w:val="18"/>
        </w:rPr>
      </w:pPr>
    </w:p>
    <w:p w:rsidR="00247260" w:rsidP="00247260" w:rsidRDefault="00247260" w14:paraId="518F07F1" w14:textId="77777777">
      <w:pPr>
        <w:rPr>
          <w:rFonts w:eastAsia="Aptos" w:cs="Aptos"/>
          <w:szCs w:val="18"/>
        </w:rPr>
      </w:pPr>
      <w:r w:rsidRPr="63809FFE">
        <w:rPr>
          <w:rFonts w:eastAsia="Aptos" w:cs="Aptos"/>
          <w:szCs w:val="18"/>
        </w:rPr>
        <w:t xml:space="preserve">Antwoord </w:t>
      </w:r>
    </w:p>
    <w:p w:rsidRPr="00F84B66" w:rsidR="00F84B66" w:rsidP="00F84B66" w:rsidRDefault="00F84B66" w14:paraId="293E7825" w14:textId="5197EB36">
      <w:pPr>
        <w:rPr>
          <w:rFonts w:eastAsia="Aptos" w:cs="Aptos"/>
          <w:szCs w:val="18"/>
        </w:rPr>
      </w:pPr>
      <w:r w:rsidRPr="00F84B66">
        <w:rPr>
          <w:rFonts w:eastAsia="Aptos" w:cs="Aptos"/>
          <w:szCs w:val="18"/>
        </w:rPr>
        <w:t>De bedrijfsactiviteiten van TSN zorgen, net als de activiteiten van ieder industrieel bedrijf, voor maatschappelijke baten (o.a. werkgelegenheid; investeringen in onderzoek en innovatie; belastingopbrengsten; strategische autonomie) en kosten (o.a. emissies van vervuilende stoffen en als gevolg daarvan gezondheids- en milieuschade en -risico's; emissies van broeikasgassen en als gevolg daarvan klimaatverandering). Het PBL heeft becijferd</w:t>
      </w:r>
      <w:r w:rsidRPr="00F84B66">
        <w:rPr>
          <w:rFonts w:eastAsia="Aptos" w:cs="Aptos"/>
          <w:szCs w:val="18"/>
          <w:vertAlign w:val="superscript"/>
        </w:rPr>
        <w:t>9</w:t>
      </w:r>
      <w:r w:rsidRPr="00F84B66">
        <w:rPr>
          <w:rFonts w:eastAsia="Aptos" w:cs="Aptos"/>
          <w:szCs w:val="18"/>
        </w:rPr>
        <w:t xml:space="preserve"> dat de totale milieuschade door Nederlandse industrie in 2022 € 9,6 miljard bedroeg. De bruto toegevoegde </w:t>
      </w:r>
      <w:r w:rsidRPr="00F84B66">
        <w:rPr>
          <w:rFonts w:eastAsia="Aptos" w:cs="Aptos"/>
          <w:szCs w:val="18"/>
        </w:rPr>
        <w:lastRenderedPageBreak/>
        <w:t>waarde van de Nederlandse industrie bedroeg in 2022 volgens CBS-cijfers € 102,8 miljard</w:t>
      </w:r>
      <w:r w:rsidR="00CA477F">
        <w:rPr>
          <w:rFonts w:eastAsia="Aptos" w:cs="Aptos"/>
          <w:szCs w:val="18"/>
        </w:rPr>
        <w:t>.</w:t>
      </w:r>
      <w:r w:rsidRPr="00F84B66">
        <w:rPr>
          <w:rFonts w:eastAsia="Aptos" w:cs="Aptos"/>
          <w:szCs w:val="18"/>
        </w:rPr>
        <w:t xml:space="preserve"> </w:t>
      </w:r>
    </w:p>
    <w:p w:rsidRPr="00F84B66" w:rsidR="00F84B66" w:rsidP="00F84B66" w:rsidRDefault="00F84B66" w14:paraId="5C93F171" w14:textId="77777777">
      <w:pPr>
        <w:rPr>
          <w:rFonts w:eastAsia="Aptos" w:cs="Aptos"/>
          <w:szCs w:val="18"/>
        </w:rPr>
      </w:pPr>
      <w:r w:rsidRPr="00F84B66">
        <w:rPr>
          <w:rFonts w:eastAsia="Aptos" w:cs="Aptos"/>
          <w:szCs w:val="18"/>
        </w:rPr>
        <w:t xml:space="preserve"> </w:t>
      </w:r>
    </w:p>
    <w:p w:rsidRPr="00F84B66" w:rsidR="00F84B66" w:rsidP="00F84B66" w:rsidRDefault="00F84B66" w14:paraId="32A25943" w14:textId="77777777">
      <w:pPr>
        <w:rPr>
          <w:rFonts w:eastAsia="Aptos" w:cs="Aptos"/>
          <w:szCs w:val="18"/>
        </w:rPr>
      </w:pPr>
      <w:r w:rsidRPr="00F84B66">
        <w:rPr>
          <w:rFonts w:eastAsia="Aptos" w:cs="Aptos"/>
          <w:szCs w:val="18"/>
        </w:rPr>
        <w:t xml:space="preserve">Bij het toepassen van de door het PBL gehanteerde methode op de specifieke maatschappelijke kosten als gevolg van uitstoot door Tata Steel zouden veel methodologische slagen om de arm moeten worden gehouden. Een dergelijke berekening zou dan ook niet veel zeggingskracht hebben. Om deze reden is deze dan ook niet meegenomen in de afwegingen en onderhandelingen over het wel of niet inzetten op een maatwerkafspraak met Tata Steel. </w:t>
      </w:r>
    </w:p>
    <w:p w:rsidRPr="00F84B66" w:rsidR="00F84B66" w:rsidP="00F84B66" w:rsidRDefault="00F84B66" w14:paraId="194737AF" w14:textId="77777777">
      <w:pPr>
        <w:rPr>
          <w:rFonts w:eastAsia="Aptos" w:cs="Aptos"/>
          <w:szCs w:val="18"/>
        </w:rPr>
      </w:pPr>
    </w:p>
    <w:p w:rsidR="00F84B66" w:rsidP="00247260" w:rsidRDefault="00F84B66" w14:paraId="7A11A0D7" w14:textId="0DE3DD7E">
      <w:pPr>
        <w:rPr>
          <w:rFonts w:eastAsia="Aptos" w:cs="Aptos"/>
          <w:szCs w:val="18"/>
        </w:rPr>
      </w:pPr>
      <w:r w:rsidRPr="00F84B66">
        <w:rPr>
          <w:rFonts w:eastAsia="Aptos" w:cs="Aptos"/>
          <w:szCs w:val="18"/>
        </w:rPr>
        <w:t xml:space="preserve">Dat neemt niet weg dat de inzet van het kabinet is om de maatschappelijke kosten van de bedrijfsactiviteiten fors te doen afnemen. Voor gezondheid specifiek geldt dat het RIVM op verzoek van het kabinet in kaart heeft gebracht welk causaal verband bestaat tussen bepaalde emissies door Tata Steel en gezondheidsschade bij omwonenden. Deze schade is uiteraard zeer onwenselijk en daarom is een belangrijk doel van de maatwerkafspraak om schadelijke emissies fors te reduceren. Daarbij ligt de focus op die stoffen waarvoor het causale verband tussen uitstoot en gezondheidsschade (door blootstelling op immissieniveau) het duidelijkst is. Die aanpak is in lijn met het advies van de Expertgroep Gezondheid IJmond. </w:t>
      </w:r>
    </w:p>
    <w:p w:rsidRPr="00464896" w:rsidR="00247260" w:rsidP="00247260" w:rsidRDefault="00247260" w14:paraId="4FAC3CDD" w14:textId="77777777">
      <w:pPr>
        <w:rPr>
          <w:rFonts w:eastAsia="Aptos" w:cs="Aptos"/>
          <w:szCs w:val="18"/>
        </w:rPr>
      </w:pPr>
    </w:p>
    <w:p w:rsidR="00247260" w:rsidP="00247260" w:rsidRDefault="00247260" w14:paraId="1DA7CDB8" w14:textId="77777777">
      <w:pPr>
        <w:rPr>
          <w:rFonts w:eastAsia="Aptos" w:cs="Aptos"/>
          <w:szCs w:val="18"/>
        </w:rPr>
      </w:pPr>
      <w:r w:rsidRPr="00464896">
        <w:rPr>
          <w:rFonts w:eastAsia="Aptos" w:cs="Aptos"/>
          <w:szCs w:val="18"/>
        </w:rPr>
        <w:t>16</w:t>
      </w:r>
    </w:p>
    <w:p w:rsidR="00247260" w:rsidP="00247260" w:rsidRDefault="00247260" w14:paraId="116E1C02" w14:textId="65C0B0F5">
      <w:pPr>
        <w:rPr>
          <w:rFonts w:eastAsia="Aptos" w:cs="Aptos"/>
          <w:szCs w:val="18"/>
        </w:rPr>
      </w:pPr>
      <w:r w:rsidRPr="00464896">
        <w:rPr>
          <w:rFonts w:eastAsia="Aptos" w:cs="Aptos"/>
          <w:szCs w:val="18"/>
        </w:rPr>
        <w:t xml:space="preserve">Welke mechanismen voorziet u op te nemen in de definitieve maatwerkafspraak om te voorkomen dat </w:t>
      </w:r>
      <w:r w:rsidRPr="00464896" w:rsidR="00E76DD0">
        <w:rPr>
          <w:rFonts w:eastAsia="Aptos" w:cs="Aptos"/>
          <w:szCs w:val="18"/>
        </w:rPr>
        <w:t xml:space="preserve">Staat gedwongen wordt tot aanvullende investeringen om eerder geïnvesteerd kapitaal te beschermen? </w:t>
      </w:r>
    </w:p>
    <w:p w:rsidR="00C4755F" w:rsidP="00247260" w:rsidRDefault="00C4755F" w14:paraId="5BDDF58E" w14:textId="77777777">
      <w:pPr>
        <w:rPr>
          <w:rFonts w:eastAsia="Aptos" w:cs="Aptos"/>
          <w:szCs w:val="18"/>
        </w:rPr>
      </w:pPr>
    </w:p>
    <w:p w:rsidR="00247260" w:rsidP="00247260" w:rsidRDefault="00247260" w14:paraId="48352A2E" w14:textId="06D6072D">
      <w:pPr>
        <w:rPr>
          <w:rFonts w:eastAsia="Aptos" w:cs="Aptos"/>
          <w:szCs w:val="18"/>
        </w:rPr>
      </w:pPr>
      <w:r>
        <w:rPr>
          <w:rFonts w:eastAsia="Aptos" w:cs="Aptos"/>
          <w:szCs w:val="18"/>
        </w:rPr>
        <w:t xml:space="preserve">Antwoord </w:t>
      </w:r>
    </w:p>
    <w:p w:rsidR="00004508" w:rsidP="00247260" w:rsidRDefault="00004508" w14:paraId="2B159BE8" w14:textId="13C2245A">
      <w:pPr>
        <w:rPr>
          <w:rFonts w:eastAsia="Aptos" w:cs="Aptos"/>
          <w:szCs w:val="18"/>
        </w:rPr>
      </w:pPr>
      <w:r>
        <w:rPr>
          <w:rFonts w:eastAsia="Aptos" w:cs="Aptos"/>
          <w:szCs w:val="18"/>
        </w:rPr>
        <w:t xml:space="preserve">Zoals ook aangegeven in het antwoord op vraag 1 </w:t>
      </w:r>
      <w:r w:rsidRPr="1A78003A" w:rsidR="003D1D86">
        <w:rPr>
          <w:rFonts w:eastAsia="Aptos" w:cs="Aptos"/>
          <w:szCs w:val="18"/>
        </w:rPr>
        <w:t xml:space="preserve">committeert de staat zich </w:t>
      </w:r>
      <w:r w:rsidR="003D1D86">
        <w:rPr>
          <w:rFonts w:eastAsia="Aptos" w:cs="Aptos"/>
          <w:szCs w:val="18"/>
        </w:rPr>
        <w:t xml:space="preserve">met de JLoI </w:t>
      </w:r>
      <w:r w:rsidRPr="1A78003A" w:rsidR="003D1D86">
        <w:rPr>
          <w:rFonts w:eastAsia="Aptos" w:cs="Aptos"/>
          <w:szCs w:val="18"/>
        </w:rPr>
        <w:t xml:space="preserve">op geen enkele manier aan </w:t>
      </w:r>
      <w:r w:rsidR="003D1D86">
        <w:rPr>
          <w:rFonts w:eastAsia="Aptos" w:cs="Aptos"/>
          <w:szCs w:val="18"/>
        </w:rPr>
        <w:t xml:space="preserve">aanvullende investeringen </w:t>
      </w:r>
      <w:r w:rsidRPr="1A78003A" w:rsidR="003D1D86">
        <w:rPr>
          <w:rFonts w:eastAsia="Aptos" w:cs="Aptos"/>
          <w:szCs w:val="18"/>
        </w:rPr>
        <w:t>boven op de beoogde maatwerksubsidie van 2 miljard euro</w:t>
      </w:r>
      <w:r w:rsidR="00A704D1">
        <w:rPr>
          <w:rFonts w:eastAsia="Aptos" w:cs="Aptos"/>
          <w:szCs w:val="18"/>
        </w:rPr>
        <w:t xml:space="preserve">. </w:t>
      </w:r>
    </w:p>
    <w:p w:rsidR="003D1D86" w:rsidP="00247260" w:rsidRDefault="003D1D86" w14:paraId="5078CF71" w14:textId="77777777">
      <w:pPr>
        <w:rPr>
          <w:rFonts w:eastAsia="Aptos" w:cs="Aptos"/>
          <w:szCs w:val="18"/>
        </w:rPr>
      </w:pPr>
    </w:p>
    <w:p w:rsidRPr="00464896" w:rsidR="00247260" w:rsidP="00247260" w:rsidRDefault="00247260" w14:paraId="3A9FFC0E" w14:textId="4BC3A6A2">
      <w:pPr>
        <w:rPr>
          <w:rFonts w:eastAsia="Aptos" w:cs="Aptos"/>
          <w:szCs w:val="18"/>
        </w:rPr>
      </w:pPr>
      <w:r w:rsidRPr="16C55BDF">
        <w:rPr>
          <w:rFonts w:eastAsia="Aptos" w:cs="Aptos"/>
          <w:szCs w:val="18"/>
        </w:rPr>
        <w:t>In de JLoI staan een aantal mechanisme</w:t>
      </w:r>
      <w:r>
        <w:rPr>
          <w:rFonts w:eastAsia="Aptos" w:cs="Aptos"/>
          <w:szCs w:val="18"/>
        </w:rPr>
        <w:t>n</w:t>
      </w:r>
      <w:r w:rsidRPr="16C55BDF">
        <w:rPr>
          <w:rFonts w:eastAsia="Aptos" w:cs="Aptos"/>
          <w:szCs w:val="18"/>
        </w:rPr>
        <w:t xml:space="preserve"> genoemd</w:t>
      </w:r>
      <w:r w:rsidR="00AA708B">
        <w:rPr>
          <w:rFonts w:eastAsia="Aptos" w:cs="Aptos"/>
          <w:szCs w:val="18"/>
        </w:rPr>
        <w:t xml:space="preserve"> </w:t>
      </w:r>
      <w:r w:rsidR="00C323E0">
        <w:rPr>
          <w:rFonts w:eastAsia="Aptos" w:cs="Aptos"/>
          <w:szCs w:val="18"/>
        </w:rPr>
        <w:t>waarmee wordt geborgd</w:t>
      </w:r>
      <w:r w:rsidR="00E32D08">
        <w:rPr>
          <w:rFonts w:eastAsia="Aptos" w:cs="Aptos"/>
          <w:szCs w:val="18"/>
        </w:rPr>
        <w:t xml:space="preserve"> dat de </w:t>
      </w:r>
      <w:r w:rsidR="006A068A">
        <w:rPr>
          <w:rFonts w:eastAsia="Aptos" w:cs="Aptos"/>
          <w:szCs w:val="18"/>
        </w:rPr>
        <w:t>maatwerk</w:t>
      </w:r>
      <w:r w:rsidR="00E32D08">
        <w:rPr>
          <w:rFonts w:eastAsia="Aptos" w:cs="Aptos"/>
          <w:szCs w:val="18"/>
        </w:rPr>
        <w:t>subsidie</w:t>
      </w:r>
      <w:r w:rsidR="006A068A">
        <w:rPr>
          <w:rFonts w:eastAsia="Aptos" w:cs="Aptos"/>
          <w:szCs w:val="18"/>
        </w:rPr>
        <w:t xml:space="preserve"> wordt gebruikt voor het </w:t>
      </w:r>
      <w:r w:rsidR="00C323E0">
        <w:rPr>
          <w:rFonts w:eastAsia="Aptos" w:cs="Aptos"/>
          <w:szCs w:val="18"/>
        </w:rPr>
        <w:t>realiseren</w:t>
      </w:r>
      <w:r w:rsidR="006A068A">
        <w:rPr>
          <w:rFonts w:eastAsia="Aptos" w:cs="Aptos"/>
          <w:szCs w:val="18"/>
        </w:rPr>
        <w:t xml:space="preserve"> van de maatschappelijke doelen</w:t>
      </w:r>
      <w:r w:rsidRPr="16C55BDF">
        <w:rPr>
          <w:rFonts w:eastAsia="Aptos" w:cs="Aptos"/>
          <w:szCs w:val="18"/>
        </w:rPr>
        <w:t xml:space="preserve">. Allereerst is er vooraf een grondige beoordeling van de businesscase gemaakt, waarin mogelijke financiële risico’s worden geïdentificeerd. De businesscase </w:t>
      </w:r>
      <w:r>
        <w:rPr>
          <w:rFonts w:eastAsia="Aptos" w:cs="Aptos"/>
          <w:szCs w:val="18"/>
        </w:rPr>
        <w:t>wordt</w:t>
      </w:r>
      <w:r w:rsidRPr="16C55BDF">
        <w:rPr>
          <w:rFonts w:eastAsia="Aptos" w:cs="Aptos"/>
          <w:szCs w:val="18"/>
        </w:rPr>
        <w:t xml:space="preserve"> getoetst door </w:t>
      </w:r>
      <w:r>
        <w:rPr>
          <w:rFonts w:eastAsia="Aptos" w:cs="Aptos"/>
          <w:szCs w:val="18"/>
        </w:rPr>
        <w:t xml:space="preserve">een </w:t>
      </w:r>
      <w:r w:rsidRPr="16C55BDF">
        <w:rPr>
          <w:rFonts w:eastAsia="Aptos" w:cs="Aptos"/>
          <w:szCs w:val="18"/>
        </w:rPr>
        <w:t>financieel adviseur</w:t>
      </w:r>
      <w:r>
        <w:rPr>
          <w:rFonts w:eastAsia="Aptos" w:cs="Aptos"/>
          <w:szCs w:val="18"/>
        </w:rPr>
        <w:t xml:space="preserve"> </w:t>
      </w:r>
      <w:r w:rsidRPr="16C55BDF">
        <w:rPr>
          <w:rFonts w:eastAsia="Aptos" w:cs="Aptos"/>
          <w:szCs w:val="18"/>
        </w:rPr>
        <w:t>van de staat. Daarnaast zal tijdens de projectperiode de subsidie worden uitgekeerd in tranches</w:t>
      </w:r>
      <w:r>
        <w:rPr>
          <w:rFonts w:eastAsia="Aptos" w:cs="Aptos"/>
          <w:szCs w:val="18"/>
        </w:rPr>
        <w:t>;</w:t>
      </w:r>
      <w:r w:rsidRPr="16C55BDF">
        <w:rPr>
          <w:rFonts w:eastAsia="Aptos" w:cs="Aptos"/>
          <w:szCs w:val="18"/>
        </w:rPr>
        <w:t xml:space="preserve"> na het behalen van vooraf vastgestelde mijlpalen</w:t>
      </w:r>
      <w:r>
        <w:rPr>
          <w:rFonts w:eastAsia="Aptos" w:cs="Aptos"/>
          <w:szCs w:val="18"/>
        </w:rPr>
        <w:t xml:space="preserve"> wordt een tranche voorlopig uitgekeerd</w:t>
      </w:r>
      <w:r w:rsidRPr="16C55BDF">
        <w:rPr>
          <w:rFonts w:eastAsia="Aptos" w:cs="Aptos"/>
          <w:szCs w:val="18"/>
        </w:rPr>
        <w:t xml:space="preserve">. Dat betekent dat de staat de </w:t>
      </w:r>
      <w:r>
        <w:rPr>
          <w:rFonts w:eastAsia="Aptos" w:cs="Aptos"/>
          <w:szCs w:val="18"/>
        </w:rPr>
        <w:t xml:space="preserve">volgende tranche van de </w:t>
      </w:r>
      <w:r w:rsidRPr="16C55BDF">
        <w:rPr>
          <w:rFonts w:eastAsia="Aptos" w:cs="Aptos"/>
          <w:szCs w:val="18"/>
        </w:rPr>
        <w:t>subsidie pas overmaakt als er voldoende voortgang is in de projecten</w:t>
      </w:r>
      <w:r>
        <w:rPr>
          <w:rFonts w:eastAsia="Aptos" w:cs="Aptos"/>
          <w:szCs w:val="18"/>
        </w:rPr>
        <w:t xml:space="preserve"> en de subsidie wordt pas definitief vastgesteld als de afgesproken doelen zijn behaald</w:t>
      </w:r>
      <w:r w:rsidRPr="16C55BDF">
        <w:rPr>
          <w:rFonts w:eastAsia="Aptos" w:cs="Aptos"/>
          <w:szCs w:val="18"/>
        </w:rPr>
        <w:t xml:space="preserve">. </w:t>
      </w:r>
      <w:r>
        <w:rPr>
          <w:rFonts w:eastAsia="Aptos" w:cs="Aptos"/>
          <w:szCs w:val="18"/>
        </w:rPr>
        <w:t xml:space="preserve">De laatste tranche van de subsidie </w:t>
      </w:r>
      <w:r w:rsidRPr="16C55BDF">
        <w:rPr>
          <w:rFonts w:eastAsia="Aptos" w:cs="Aptos"/>
          <w:szCs w:val="18"/>
        </w:rPr>
        <w:t xml:space="preserve">wordt pas overgemaakt nadat alle projecten zijn opgeleverd. </w:t>
      </w:r>
      <w:r>
        <w:rPr>
          <w:rFonts w:eastAsia="Aptos" w:cs="Aptos"/>
          <w:szCs w:val="18"/>
        </w:rPr>
        <w:t xml:space="preserve">De staat heeft ook de mogelijkheid om de subsidie op te schorten als er een tekort blijkt om de projecten te realiseren. </w:t>
      </w:r>
      <w:r w:rsidRPr="16C55BDF">
        <w:rPr>
          <w:rFonts w:eastAsia="Aptos" w:cs="Aptos"/>
          <w:szCs w:val="18"/>
        </w:rPr>
        <w:t xml:space="preserve">Ook zal een clawback mechanisme worden ingesteld om overcompensatie te voorkomen. In de JLoI staan ook de financiële verplichtingen van TSN en TSL, waaronder dat alle kosten voor de projecten buiten de €2 miljard </w:t>
      </w:r>
      <w:r>
        <w:rPr>
          <w:rFonts w:eastAsia="Aptos" w:cs="Aptos"/>
          <w:szCs w:val="18"/>
        </w:rPr>
        <w:t xml:space="preserve">bijdrage van de </w:t>
      </w:r>
      <w:r w:rsidRPr="16C55BDF">
        <w:rPr>
          <w:rFonts w:eastAsia="Aptos" w:cs="Aptos"/>
          <w:szCs w:val="18"/>
        </w:rPr>
        <w:t xml:space="preserve">staat voor rekening van </w:t>
      </w:r>
      <w:r>
        <w:rPr>
          <w:rFonts w:eastAsia="Aptos" w:cs="Aptos"/>
          <w:szCs w:val="18"/>
        </w:rPr>
        <w:t>Tata Steel zijn</w:t>
      </w:r>
      <w:r w:rsidRPr="16C55BDF">
        <w:rPr>
          <w:rFonts w:eastAsia="Aptos" w:cs="Aptos"/>
          <w:szCs w:val="18"/>
        </w:rPr>
        <w:t xml:space="preserve">. </w:t>
      </w:r>
      <w:r>
        <w:rPr>
          <w:rFonts w:eastAsia="Aptos" w:cs="Aptos"/>
          <w:szCs w:val="18"/>
        </w:rPr>
        <w:t xml:space="preserve">De staat zal ook zekerheden krijgen om de verstrekte subsidie te beschermen. </w:t>
      </w:r>
      <w:r w:rsidRPr="16C55BDF">
        <w:rPr>
          <w:rFonts w:eastAsia="Aptos" w:cs="Aptos"/>
          <w:szCs w:val="18"/>
        </w:rPr>
        <w:t xml:space="preserve">In de </w:t>
      </w:r>
      <w:r w:rsidRPr="16C55BDF">
        <w:rPr>
          <w:rFonts w:eastAsia="Aptos" w:cs="Aptos"/>
          <w:szCs w:val="18"/>
        </w:rPr>
        <w:lastRenderedPageBreak/>
        <w:t xml:space="preserve">definitieve maatwerkafspraak zullen de afspraken </w:t>
      </w:r>
      <w:r>
        <w:rPr>
          <w:rFonts w:eastAsia="Aptos" w:cs="Aptos"/>
          <w:szCs w:val="18"/>
        </w:rPr>
        <w:t xml:space="preserve">en mechanismen nader </w:t>
      </w:r>
      <w:r w:rsidRPr="16C55BDF">
        <w:rPr>
          <w:rFonts w:eastAsia="Aptos" w:cs="Aptos"/>
          <w:szCs w:val="18"/>
        </w:rPr>
        <w:t xml:space="preserve">worden uitgewerkt. </w:t>
      </w:r>
    </w:p>
    <w:p w:rsidR="00247260" w:rsidP="00247260" w:rsidRDefault="00247260" w14:paraId="26957AA8" w14:textId="77777777">
      <w:pPr>
        <w:rPr>
          <w:rFonts w:eastAsia="Aptos" w:cs="Aptos"/>
          <w:szCs w:val="18"/>
        </w:rPr>
      </w:pPr>
    </w:p>
    <w:p w:rsidR="00247260" w:rsidP="00247260" w:rsidRDefault="00247260" w14:paraId="4F8F4324" w14:textId="77777777">
      <w:pPr>
        <w:rPr>
          <w:rFonts w:eastAsia="Aptos" w:cs="Aptos"/>
          <w:szCs w:val="18"/>
        </w:rPr>
      </w:pPr>
      <w:r w:rsidRPr="00464896">
        <w:rPr>
          <w:rFonts w:eastAsia="Aptos" w:cs="Aptos"/>
          <w:szCs w:val="18"/>
        </w:rPr>
        <w:t>17</w:t>
      </w:r>
    </w:p>
    <w:p w:rsidR="00247260" w:rsidP="00247260" w:rsidRDefault="00247260" w14:paraId="460F9A30" w14:textId="77777777">
      <w:pPr>
        <w:rPr>
          <w:rFonts w:eastAsia="Aptos" w:cs="Aptos"/>
          <w:szCs w:val="18"/>
        </w:rPr>
      </w:pPr>
      <w:r w:rsidRPr="00464896">
        <w:rPr>
          <w:rFonts w:eastAsia="Aptos" w:cs="Aptos"/>
          <w:szCs w:val="18"/>
        </w:rPr>
        <w:t xml:space="preserve">Wat betekent de formulering 'as it currently stands' in Artikel 7 van de JLoI? Onder welke omstandigheden zou deze formulering niet meer gelden en zou vervolgfinanciering alsnog worden overwogen? Erkent u dat dit ruimte biedt voor toekomstige subsidieverzoeken? </w:t>
      </w:r>
    </w:p>
    <w:p w:rsidR="00247260" w:rsidP="00247260" w:rsidRDefault="00247260" w14:paraId="5F9B02AB" w14:textId="77777777">
      <w:pPr>
        <w:rPr>
          <w:rFonts w:eastAsia="Aptos" w:cs="Aptos"/>
          <w:szCs w:val="18"/>
        </w:rPr>
      </w:pPr>
    </w:p>
    <w:p w:rsidR="00247260" w:rsidP="00247260" w:rsidRDefault="00247260" w14:paraId="58C25527" w14:textId="77777777">
      <w:pPr>
        <w:rPr>
          <w:rFonts w:eastAsia="Aptos" w:cs="Aptos"/>
          <w:szCs w:val="18"/>
        </w:rPr>
      </w:pPr>
      <w:r w:rsidRPr="6E14E838">
        <w:rPr>
          <w:rFonts w:eastAsia="Aptos" w:cs="Aptos"/>
          <w:szCs w:val="18"/>
        </w:rPr>
        <w:t xml:space="preserve">Antwoord </w:t>
      </w:r>
    </w:p>
    <w:p w:rsidR="00247260" w:rsidP="00247260" w:rsidRDefault="00247260" w14:paraId="32499CC0" w14:textId="7DCB22C1">
      <w:pPr>
        <w:rPr>
          <w:rFonts w:eastAsia="Aptos" w:cs="Aptos"/>
          <w:szCs w:val="18"/>
        </w:rPr>
      </w:pPr>
      <w:r w:rsidRPr="63809FFE">
        <w:rPr>
          <w:rFonts w:eastAsia="Aptos" w:cs="Aptos"/>
          <w:szCs w:val="18"/>
        </w:rPr>
        <w:t xml:space="preserve">Dit betekent dat de staat op dit moment geen realistisch scenario voor zich ziet waarin de tweede fase van de verduurzaming van TSN in aanmerking komt voor maatwerkondersteuning. Ten eerste is de kans op goedkeuring van de </w:t>
      </w:r>
      <w:r>
        <w:rPr>
          <w:rFonts w:eastAsia="Aptos" w:cs="Aptos"/>
          <w:szCs w:val="18"/>
        </w:rPr>
        <w:t>EC</w:t>
      </w:r>
      <w:r w:rsidRPr="63809FFE">
        <w:rPr>
          <w:rFonts w:eastAsia="Aptos" w:cs="Aptos"/>
          <w:szCs w:val="18"/>
        </w:rPr>
        <w:t xml:space="preserve"> voor een tweede steunverzoek voor één bedrijf klein. Daarnaast zal de tweede fase pas medio </w:t>
      </w:r>
      <w:r w:rsidR="00CA6799">
        <w:rPr>
          <w:rFonts w:eastAsia="Aptos" w:cs="Aptos"/>
          <w:szCs w:val="18"/>
        </w:rPr>
        <w:t>jaren ‘</w:t>
      </w:r>
      <w:r w:rsidRPr="63809FFE">
        <w:rPr>
          <w:rFonts w:eastAsia="Aptos" w:cs="Aptos"/>
          <w:szCs w:val="18"/>
        </w:rPr>
        <w:t>30 worden uitgevoerd. Op dat moment zijn naar verwachting hoge EU ETS kosten</w:t>
      </w:r>
      <w:r w:rsidR="004211E5">
        <w:rPr>
          <w:rFonts w:eastAsia="Aptos" w:cs="Aptos"/>
          <w:szCs w:val="18"/>
        </w:rPr>
        <w:t xml:space="preserve"> en een goedwerkende CBAM</w:t>
      </w:r>
      <w:r w:rsidRPr="63809FFE">
        <w:rPr>
          <w:rFonts w:eastAsia="Aptos" w:cs="Aptos"/>
          <w:szCs w:val="18"/>
        </w:rPr>
        <w:t xml:space="preserve"> in combinatie met een</w:t>
      </w:r>
      <w:r w:rsidR="004211E5">
        <w:rPr>
          <w:rFonts w:eastAsia="Aptos" w:cs="Aptos"/>
          <w:szCs w:val="18"/>
        </w:rPr>
        <w:t xml:space="preserve"> mogelijk</w:t>
      </w:r>
      <w:r w:rsidRPr="63809FFE">
        <w:rPr>
          <w:rFonts w:eastAsia="Aptos" w:cs="Aptos"/>
          <w:szCs w:val="18"/>
        </w:rPr>
        <w:t xml:space="preserve"> kolenverbod aan de orde, waarmee er vermoedelijk geen sprake is van een onrendabele top</w:t>
      </w:r>
      <w:r>
        <w:rPr>
          <w:rFonts w:eastAsia="Aptos" w:cs="Aptos"/>
          <w:szCs w:val="18"/>
        </w:rPr>
        <w:t xml:space="preserve"> en/of bovenwettelijke maatregelen</w:t>
      </w:r>
      <w:r w:rsidRPr="63809FFE">
        <w:rPr>
          <w:rFonts w:eastAsia="Aptos" w:cs="Aptos"/>
          <w:szCs w:val="18"/>
        </w:rPr>
        <w:t>. Dit alles maakt het zeer onwaarschijnlijk dat er überhaupt subsidie mag worden verstrekt</w:t>
      </w:r>
      <w:r w:rsidR="0052508C">
        <w:rPr>
          <w:rFonts w:eastAsia="Aptos" w:cs="Aptos"/>
          <w:szCs w:val="18"/>
        </w:rPr>
        <w:t xml:space="preserve"> voor deze fase</w:t>
      </w:r>
      <w:r w:rsidRPr="63809FFE">
        <w:rPr>
          <w:rFonts w:eastAsia="Aptos" w:cs="Aptos"/>
          <w:szCs w:val="18"/>
        </w:rPr>
        <w:t xml:space="preserve">. </w:t>
      </w:r>
    </w:p>
    <w:p w:rsidR="00247260" w:rsidP="00247260" w:rsidRDefault="00247260" w14:paraId="4D0F3496" w14:textId="77777777">
      <w:pPr>
        <w:rPr>
          <w:rFonts w:eastAsia="Aptos" w:cs="Aptos"/>
          <w:szCs w:val="18"/>
        </w:rPr>
      </w:pPr>
    </w:p>
    <w:p w:rsidR="00247260" w:rsidP="00247260" w:rsidRDefault="00247260" w14:paraId="5B61393B" w14:textId="77777777">
      <w:pPr>
        <w:rPr>
          <w:rFonts w:eastAsia="Aptos" w:cs="Aptos"/>
          <w:szCs w:val="18"/>
        </w:rPr>
      </w:pPr>
      <w:r w:rsidRPr="63809FFE">
        <w:rPr>
          <w:rFonts w:eastAsia="Aptos" w:cs="Aptos"/>
          <w:szCs w:val="18"/>
        </w:rPr>
        <w:t xml:space="preserve">Tegelijkertijd kan dit scenario nooit volledig uitgesloten worden, omdat zowel wet- en regelgeving als klimaatbeleid in de toekomst kunnen wijzigen en een bedrijf niet op voorhand uitgesloten kan worden van </w:t>
      </w:r>
      <w:r>
        <w:rPr>
          <w:rFonts w:eastAsia="Aptos" w:cs="Aptos"/>
          <w:szCs w:val="18"/>
        </w:rPr>
        <w:t xml:space="preserve">eventueel in de toekomst bestaande generieke subsidie-instrumenten. </w:t>
      </w:r>
      <w:r w:rsidRPr="63809FFE">
        <w:rPr>
          <w:rFonts w:eastAsia="Aptos" w:cs="Aptos"/>
          <w:szCs w:val="18"/>
        </w:rPr>
        <w:t xml:space="preserve">Zoals </w:t>
      </w:r>
      <w:r>
        <w:rPr>
          <w:rFonts w:eastAsia="Aptos" w:cs="Aptos"/>
          <w:szCs w:val="18"/>
        </w:rPr>
        <w:t xml:space="preserve">ook </w:t>
      </w:r>
      <w:r w:rsidRPr="63809FFE">
        <w:rPr>
          <w:rFonts w:eastAsia="Aptos" w:cs="Aptos"/>
          <w:szCs w:val="18"/>
        </w:rPr>
        <w:t xml:space="preserve">in het antwoord op vraag 1 is beschreven geldt </w:t>
      </w:r>
      <w:r>
        <w:rPr>
          <w:rFonts w:eastAsia="Aptos" w:cs="Aptos"/>
          <w:szCs w:val="18"/>
        </w:rPr>
        <w:t xml:space="preserve">daarnaast </w:t>
      </w:r>
      <w:r w:rsidRPr="63809FFE">
        <w:rPr>
          <w:rFonts w:eastAsia="Aptos" w:cs="Aptos"/>
          <w:szCs w:val="18"/>
        </w:rPr>
        <w:t xml:space="preserve">dat het ontvangen van een eventuele maatwerksubsidie niet betekent dat het bedrijf geen aanspraak kan maken op andere generieke duurzaamheidssubsidies, zoals bijvoorbeeld de SDE++ voor CCS. </w:t>
      </w:r>
    </w:p>
    <w:p w:rsidR="00C4458F" w:rsidP="00247260" w:rsidRDefault="00C4458F" w14:paraId="1BC67359" w14:textId="77777777">
      <w:pPr>
        <w:rPr>
          <w:rFonts w:eastAsia="Aptos" w:cs="Aptos"/>
          <w:szCs w:val="18"/>
        </w:rPr>
      </w:pPr>
    </w:p>
    <w:p w:rsidRPr="0053094B" w:rsidR="00247260" w:rsidP="00247260" w:rsidRDefault="00247260" w14:paraId="37787F4D" w14:textId="566FD836">
      <w:pPr>
        <w:rPr>
          <w:rFonts w:eastAsia="Aptos" w:cs="Aptos"/>
          <w:szCs w:val="18"/>
        </w:rPr>
      </w:pPr>
      <w:r w:rsidRPr="0053094B">
        <w:rPr>
          <w:rFonts w:eastAsia="Aptos" w:cs="Aptos"/>
          <w:szCs w:val="18"/>
        </w:rPr>
        <w:t>18</w:t>
      </w:r>
    </w:p>
    <w:p w:rsidR="00247260" w:rsidP="00247260" w:rsidRDefault="00247260" w14:paraId="24B87FB2" w14:textId="77777777">
      <w:pPr>
        <w:rPr>
          <w:rFonts w:eastAsia="Aptos" w:cs="Aptos"/>
          <w:szCs w:val="18"/>
        </w:rPr>
      </w:pPr>
      <w:r w:rsidRPr="0053094B">
        <w:rPr>
          <w:rFonts w:eastAsia="Aptos" w:cs="Aptos"/>
          <w:szCs w:val="18"/>
        </w:rPr>
        <w:t>Welke garanties (naast het terugbetalen van 200 miljoen euro) heeft de Staat dat de klimaatdoelstellingen daadwerkelijk worden behaald indien biomethaan niet beschikbaar of betaalbaar blijkt, gezien de analyse door SOMO dat als de biomethaanmarkt niet van de grond komt, Tata Steel afhankelijk blijft van LNG-import, waardoor de CO₂-besparing grotendeels teniet wordt gedaan?</w:t>
      </w:r>
      <w:r w:rsidRPr="00464896">
        <w:rPr>
          <w:rFonts w:eastAsia="Aptos" w:cs="Aptos"/>
          <w:szCs w:val="18"/>
        </w:rPr>
        <w:t xml:space="preserve"> </w:t>
      </w:r>
    </w:p>
    <w:p w:rsidR="00247260" w:rsidP="00247260" w:rsidRDefault="00247260" w14:paraId="55079785" w14:textId="77777777">
      <w:pPr>
        <w:rPr>
          <w:rFonts w:eastAsia="Aptos" w:cs="Aptos"/>
          <w:szCs w:val="18"/>
        </w:rPr>
      </w:pPr>
    </w:p>
    <w:p w:rsidR="00247260" w:rsidP="00247260" w:rsidRDefault="00247260" w14:paraId="1F4CAA93" w14:textId="77777777">
      <w:pPr>
        <w:rPr>
          <w:rFonts w:eastAsia="Aptos" w:cs="Aptos"/>
          <w:szCs w:val="18"/>
        </w:rPr>
      </w:pPr>
      <w:r>
        <w:rPr>
          <w:rFonts w:eastAsia="Aptos" w:cs="Aptos"/>
          <w:szCs w:val="18"/>
        </w:rPr>
        <w:t>Antwoord</w:t>
      </w:r>
    </w:p>
    <w:p w:rsidR="00247260" w:rsidP="00247260" w:rsidRDefault="00247260" w14:paraId="25882275" w14:textId="392E7A8E">
      <w:pPr>
        <w:rPr>
          <w:rFonts w:eastAsia="Aptos" w:cs="Aptos"/>
          <w:szCs w:val="18"/>
        </w:rPr>
      </w:pPr>
      <w:r w:rsidRPr="1ED45C64">
        <w:rPr>
          <w:rFonts w:eastAsia="Aptos" w:cs="Aptos"/>
        </w:rPr>
        <w:t>De grootste CO2 reductie wordt bereikt door over te stappen van kolen op aardgas. In de JLoI is overeengekomen dat TSN in de periode 2032-2037 het aardgas in de DRP zal vervangen door groene waterstof en/of biomethaan. Voor de aankoop van deze groene energiebronnen verstrekt de staat een lening van 200 miljoen euro. Indien er in de gehele periode geen groene waterstof en/of biomethaan wordt gekocht door TSN, moet de lening inclusief rente en een (eventuele) boete worden terugbetaald. Als de waterstof en/of biomethaan wel wordt ingekocht, wordt de lening (proportioneel) omgezet in een subsidie. Zie hiervoor ook artikel 7.2.2 van</w:t>
      </w:r>
      <w:r w:rsidR="00CA477F">
        <w:rPr>
          <w:rFonts w:eastAsia="Aptos" w:cs="Aptos"/>
          <w:szCs w:val="18"/>
        </w:rPr>
        <w:t xml:space="preserve"> </w:t>
      </w:r>
      <w:r w:rsidRPr="17D28085">
        <w:rPr>
          <w:rFonts w:eastAsia="Aptos" w:cs="Aptos"/>
          <w:szCs w:val="18"/>
        </w:rPr>
        <w:t xml:space="preserve">de JLoI. Verdere juridische waarborgen worden de komende tijd uitgewerkt en opgenomen in de maatwerkafspraak. Daarbij is het voorkomen van een lock-in op aardgas een van de eisen uit het relevante </w:t>
      </w:r>
      <w:r w:rsidRPr="17D28085">
        <w:rPr>
          <w:rFonts w:eastAsia="Aptos" w:cs="Aptos"/>
          <w:szCs w:val="18"/>
        </w:rPr>
        <w:lastRenderedPageBreak/>
        <w:t xml:space="preserve">staatssteunkader van de EC, de </w:t>
      </w:r>
      <w:r w:rsidRPr="17D28085">
        <w:rPr>
          <w:rFonts w:eastAsia="Aptos" w:cs="Aptos"/>
          <w:i/>
          <w:iCs/>
          <w:szCs w:val="18"/>
        </w:rPr>
        <w:t>Guidelines on State aid for climate, environmental protection and energy</w:t>
      </w:r>
      <w:r w:rsidRPr="17D28085">
        <w:rPr>
          <w:rFonts w:eastAsia="Aptos" w:cs="Aptos"/>
          <w:szCs w:val="18"/>
        </w:rPr>
        <w:t xml:space="preserve"> (CEEAG). </w:t>
      </w:r>
    </w:p>
    <w:p w:rsidRPr="00464896" w:rsidR="00247260" w:rsidP="00247260" w:rsidRDefault="00247260" w14:paraId="729EAF74" w14:textId="77777777">
      <w:pPr>
        <w:rPr>
          <w:rFonts w:eastAsia="Aptos" w:cs="Aptos"/>
          <w:szCs w:val="18"/>
        </w:rPr>
      </w:pPr>
    </w:p>
    <w:p w:rsidR="00247260" w:rsidP="00247260" w:rsidRDefault="00247260" w14:paraId="4CBDE3E2" w14:textId="77777777">
      <w:pPr>
        <w:rPr>
          <w:rFonts w:eastAsia="Aptos" w:cs="Aptos"/>
          <w:szCs w:val="18"/>
        </w:rPr>
      </w:pPr>
      <w:r w:rsidRPr="00464896">
        <w:rPr>
          <w:rFonts w:eastAsia="Aptos" w:cs="Aptos"/>
          <w:szCs w:val="18"/>
        </w:rPr>
        <w:t>19</w:t>
      </w:r>
    </w:p>
    <w:p w:rsidR="00247260" w:rsidP="00247260" w:rsidRDefault="00247260" w14:paraId="2BDC40ED" w14:textId="77777777">
      <w:pPr>
        <w:rPr>
          <w:rFonts w:eastAsia="Aptos" w:cs="Aptos"/>
          <w:szCs w:val="18"/>
        </w:rPr>
      </w:pPr>
      <w:r w:rsidRPr="00464896">
        <w:rPr>
          <w:rFonts w:eastAsia="Aptos" w:cs="Aptos"/>
          <w:szCs w:val="18"/>
        </w:rPr>
        <w:t xml:space="preserve">Zullen de CO2-reductiedoelstellingen via CCS (Carbon Capture and Storage) en biomethaan in de JLoI in de maatwerkafspraak worden omgezet in resultaatverplichtingen, of blijven het inspanningsverplichtingen? </w:t>
      </w:r>
    </w:p>
    <w:p w:rsidR="00247260" w:rsidP="00247260" w:rsidRDefault="00247260" w14:paraId="3BB3862F" w14:textId="77777777">
      <w:pPr>
        <w:rPr>
          <w:rFonts w:eastAsia="Aptos" w:cs="Aptos"/>
          <w:szCs w:val="18"/>
        </w:rPr>
      </w:pPr>
    </w:p>
    <w:p w:rsidR="00247260" w:rsidP="00247260" w:rsidRDefault="00247260" w14:paraId="712F9ADA" w14:textId="77777777">
      <w:pPr>
        <w:rPr>
          <w:rFonts w:eastAsia="Aptos" w:cs="Aptos"/>
          <w:szCs w:val="18"/>
        </w:rPr>
      </w:pPr>
      <w:r>
        <w:rPr>
          <w:rFonts w:eastAsia="Aptos" w:cs="Aptos"/>
          <w:szCs w:val="18"/>
        </w:rPr>
        <w:t>Antwoord</w:t>
      </w:r>
    </w:p>
    <w:p w:rsidRPr="00475878" w:rsidR="00247260" w:rsidP="00247260" w:rsidRDefault="00247260" w14:paraId="4A549EF9" w14:textId="77777777">
      <w:pPr>
        <w:rPr>
          <w:rFonts w:eastAsia="Aptos" w:cs="Aptos"/>
          <w:szCs w:val="18"/>
        </w:rPr>
      </w:pPr>
      <w:r w:rsidRPr="17D28085">
        <w:rPr>
          <w:rFonts w:eastAsia="Aptos" w:cs="Aptos"/>
          <w:szCs w:val="18"/>
        </w:rPr>
        <w:t>Zoals ook aangegeven in het antwoord op de vorige vraag, is het voorkomen van een lock-in op aardgas een van de eisen die volgt uit het relevante staatssteunkader</w:t>
      </w:r>
      <w:r>
        <w:rPr>
          <w:rFonts w:eastAsia="Aptos" w:cs="Aptos"/>
          <w:szCs w:val="18"/>
        </w:rPr>
        <w:t xml:space="preserve"> en zal TSN daar dus de benodigde stappen voor moeten zetten</w:t>
      </w:r>
      <w:r w:rsidRPr="17D28085">
        <w:rPr>
          <w:rFonts w:eastAsia="Aptos" w:cs="Aptos"/>
          <w:szCs w:val="18"/>
        </w:rPr>
        <w:t>. De komende tijd zal verder worden uitgewerkt hoe dit als resultaatsverplichting kan worden vastgelegd in de definitieve maatwerkafspraak.</w:t>
      </w:r>
    </w:p>
    <w:p w:rsidRPr="00464896" w:rsidR="00247260" w:rsidP="00247260" w:rsidRDefault="00247260" w14:paraId="2B638103" w14:textId="77777777">
      <w:pPr>
        <w:rPr>
          <w:rFonts w:eastAsia="Aptos" w:cs="Aptos"/>
          <w:szCs w:val="18"/>
        </w:rPr>
      </w:pPr>
    </w:p>
    <w:p w:rsidR="00247260" w:rsidP="00247260" w:rsidRDefault="00247260" w14:paraId="23591FAA" w14:textId="77777777">
      <w:pPr>
        <w:rPr>
          <w:rFonts w:eastAsia="Aptos" w:cs="Aptos"/>
          <w:szCs w:val="18"/>
        </w:rPr>
      </w:pPr>
      <w:r w:rsidRPr="00464896">
        <w:rPr>
          <w:rFonts w:eastAsia="Aptos" w:cs="Aptos"/>
          <w:szCs w:val="18"/>
        </w:rPr>
        <w:t>20</w:t>
      </w:r>
    </w:p>
    <w:p w:rsidRPr="00464896" w:rsidR="00247260" w:rsidP="00247260" w:rsidRDefault="00247260" w14:paraId="2D2092DA" w14:textId="77777777">
      <w:pPr>
        <w:rPr>
          <w:rFonts w:eastAsia="Aptos" w:cs="Aptos"/>
          <w:szCs w:val="18"/>
        </w:rPr>
      </w:pPr>
      <w:r w:rsidRPr="00464896">
        <w:rPr>
          <w:rFonts w:eastAsia="Aptos" w:cs="Aptos"/>
          <w:szCs w:val="18"/>
        </w:rPr>
        <w:t xml:space="preserve">Hoeveel kubieke meter aardgas moet worden vervangen door biomethaan om de uitstoot van Tata Steel tussen 2032 en 2037 jaarlijks met 1,2 megaton omlaag te brengen? </w:t>
      </w:r>
    </w:p>
    <w:p w:rsidR="00247260" w:rsidP="00247260" w:rsidRDefault="00247260" w14:paraId="55AE83B8" w14:textId="77777777">
      <w:pPr>
        <w:rPr>
          <w:rFonts w:eastAsia="Aptos" w:cs="Aptos"/>
          <w:szCs w:val="18"/>
        </w:rPr>
      </w:pPr>
    </w:p>
    <w:p w:rsidR="00247260" w:rsidP="00247260" w:rsidRDefault="00247260" w14:paraId="23001179" w14:textId="77777777">
      <w:pPr>
        <w:rPr>
          <w:rFonts w:eastAsia="Aptos" w:cs="Aptos"/>
          <w:szCs w:val="18"/>
        </w:rPr>
      </w:pPr>
      <w:r>
        <w:rPr>
          <w:rFonts w:eastAsia="Aptos" w:cs="Aptos"/>
          <w:szCs w:val="18"/>
        </w:rPr>
        <w:t>Antwoord</w:t>
      </w:r>
    </w:p>
    <w:p w:rsidR="00247260" w:rsidP="00247260" w:rsidRDefault="00247260" w14:paraId="54AB0A73" w14:textId="77777777">
      <w:pPr>
        <w:rPr>
          <w:rFonts w:eastAsia="Aptos" w:cs="Aptos"/>
          <w:szCs w:val="18"/>
        </w:rPr>
      </w:pPr>
      <w:r w:rsidRPr="17D28085">
        <w:rPr>
          <w:rFonts w:eastAsia="Aptos" w:cs="Aptos"/>
          <w:szCs w:val="18"/>
        </w:rPr>
        <w:t xml:space="preserve">Vanaf 2032 begint TSN met het inzetten van maximaal 0,5 bcm biomethaan per jaar in de DRP ter vervanging van aardgas. Hiermee kan </w:t>
      </w:r>
      <w:r>
        <w:rPr>
          <w:rFonts w:eastAsia="Aptos" w:cs="Aptos"/>
          <w:szCs w:val="18"/>
        </w:rPr>
        <w:t xml:space="preserve">een extra </w:t>
      </w:r>
      <w:r w:rsidRPr="17D28085">
        <w:rPr>
          <w:rFonts w:eastAsia="Aptos" w:cs="Aptos"/>
          <w:szCs w:val="18"/>
        </w:rPr>
        <w:t xml:space="preserve">CO2-reductie </w:t>
      </w:r>
      <w:r>
        <w:rPr>
          <w:rFonts w:eastAsia="Aptos" w:cs="Aptos"/>
          <w:szCs w:val="18"/>
        </w:rPr>
        <w:t>tot</w:t>
      </w:r>
      <w:r w:rsidRPr="17D28085">
        <w:rPr>
          <w:rFonts w:eastAsia="Aptos" w:cs="Aptos"/>
          <w:szCs w:val="18"/>
        </w:rPr>
        <w:t xml:space="preserve"> 1,2 Mton per jaar worden bereikt.</w:t>
      </w:r>
    </w:p>
    <w:p w:rsidR="00247260" w:rsidP="00247260" w:rsidRDefault="00247260" w14:paraId="40BCC029" w14:textId="77777777">
      <w:pPr>
        <w:rPr>
          <w:rFonts w:eastAsia="Aptos" w:cs="Aptos"/>
          <w:szCs w:val="18"/>
        </w:rPr>
      </w:pPr>
    </w:p>
    <w:p w:rsidR="00247260" w:rsidP="00247260" w:rsidRDefault="00247260" w14:paraId="2424AB54" w14:textId="77777777">
      <w:pPr>
        <w:rPr>
          <w:rFonts w:eastAsia="Aptos" w:cs="Aptos"/>
          <w:szCs w:val="18"/>
        </w:rPr>
      </w:pPr>
      <w:r w:rsidRPr="00464896">
        <w:rPr>
          <w:rFonts w:eastAsia="Aptos" w:cs="Aptos"/>
          <w:szCs w:val="18"/>
        </w:rPr>
        <w:t>21</w:t>
      </w:r>
    </w:p>
    <w:p w:rsidR="00247260" w:rsidP="00247260" w:rsidRDefault="00247260" w14:paraId="2DCD8577" w14:textId="77777777">
      <w:pPr>
        <w:rPr>
          <w:rFonts w:eastAsia="Aptos" w:cs="Aptos"/>
          <w:szCs w:val="18"/>
        </w:rPr>
      </w:pPr>
      <w:r w:rsidRPr="3F0A562C">
        <w:rPr>
          <w:rFonts w:eastAsia="Aptos" w:cs="Aptos"/>
          <w:szCs w:val="18"/>
        </w:rPr>
        <w:t xml:space="preserve">Welke analyse heeft het kabinet gemaakt van het risico dat biomethaansubsidies de transitie naar een landbouwsysteem met minder dieren vertragen, gegeven dat mest als grondstof een economische prikkel vormt voor het in stand houden van de huidige veestapel? </w:t>
      </w:r>
    </w:p>
    <w:p w:rsidR="00247260" w:rsidP="00247260" w:rsidRDefault="00247260" w14:paraId="4085F8CD" w14:textId="77777777">
      <w:pPr>
        <w:rPr>
          <w:rFonts w:eastAsia="Aptos" w:cs="Aptos"/>
          <w:szCs w:val="18"/>
        </w:rPr>
      </w:pPr>
    </w:p>
    <w:p w:rsidR="00247260" w:rsidP="00247260" w:rsidRDefault="00247260" w14:paraId="6EA6B0C1" w14:textId="77777777">
      <w:pPr>
        <w:rPr>
          <w:rFonts w:eastAsia="Aptos" w:cs="Aptos"/>
          <w:szCs w:val="18"/>
        </w:rPr>
      </w:pPr>
      <w:r w:rsidRPr="722A31B9">
        <w:rPr>
          <w:rFonts w:eastAsia="Aptos" w:cs="Aptos"/>
          <w:szCs w:val="18"/>
        </w:rPr>
        <w:t xml:space="preserve">Antwoord </w:t>
      </w:r>
    </w:p>
    <w:p w:rsidR="00247260" w:rsidP="00247260" w:rsidRDefault="00247260" w14:paraId="0BD7C59E" w14:textId="77777777">
      <w:pPr>
        <w:rPr>
          <w:rFonts w:eastAsia="Aptos" w:cs="Aptos"/>
          <w:szCs w:val="18"/>
        </w:rPr>
      </w:pPr>
      <w:r>
        <w:rPr>
          <w:rFonts w:eastAsia="Aptos" w:cs="Aptos"/>
          <w:szCs w:val="18"/>
        </w:rPr>
        <w:t>Gezien er andere rest- en afvalstromen zijn die ook benut kunnen worden voor de productie van biomethaan, is er geen afhankelijkheid van mest. Daarnaast wordt ook import van biomethaan voorzien.</w:t>
      </w:r>
    </w:p>
    <w:p w:rsidR="00247260" w:rsidP="00247260" w:rsidRDefault="00247260" w14:paraId="6FC4E848" w14:textId="77777777">
      <w:pPr>
        <w:rPr>
          <w:rFonts w:eastAsia="Aptos" w:cs="Aptos"/>
          <w:szCs w:val="18"/>
        </w:rPr>
      </w:pPr>
    </w:p>
    <w:p w:rsidR="00247260" w:rsidP="00247260" w:rsidRDefault="00247260" w14:paraId="70100099" w14:textId="5EF5A802">
      <w:pPr>
        <w:rPr>
          <w:rFonts w:eastAsia="Aptos" w:cs="Aptos"/>
          <w:szCs w:val="18"/>
        </w:rPr>
      </w:pPr>
      <w:r w:rsidRPr="2FBE57F5">
        <w:rPr>
          <w:rFonts w:eastAsia="Aptos" w:cs="Aptos"/>
          <w:szCs w:val="18"/>
        </w:rPr>
        <w:t xml:space="preserve">Het </w:t>
      </w:r>
      <w:r>
        <w:rPr>
          <w:rFonts w:eastAsia="Aptos" w:cs="Aptos"/>
          <w:szCs w:val="18"/>
        </w:rPr>
        <w:t xml:space="preserve">milieubeleid en de bijbehorende regelgeving in de landbouw, waar een vermindering van de omvang van de veestapel onderdeel van uitmaakt, bepaalt de </w:t>
      </w:r>
      <w:r w:rsidRPr="2FBE57F5">
        <w:rPr>
          <w:rFonts w:eastAsia="Aptos" w:cs="Aptos"/>
          <w:szCs w:val="18"/>
        </w:rPr>
        <w:t xml:space="preserve">hoeveelheid mest die geproduceerd wordt in Nederland. </w:t>
      </w:r>
      <w:r>
        <w:rPr>
          <w:rFonts w:eastAsia="Aptos" w:cs="Aptos"/>
          <w:szCs w:val="18"/>
        </w:rPr>
        <w:t>Het is</w:t>
      </w:r>
      <w:r w:rsidRPr="2FBE57F5">
        <w:rPr>
          <w:rFonts w:eastAsia="Aptos" w:cs="Aptos"/>
          <w:szCs w:val="18"/>
        </w:rPr>
        <w:t xml:space="preserve"> verstandig om </w:t>
      </w:r>
      <w:r>
        <w:rPr>
          <w:rFonts w:eastAsia="Aptos" w:cs="Aptos"/>
          <w:szCs w:val="18"/>
        </w:rPr>
        <w:t>mest</w:t>
      </w:r>
      <w:r w:rsidRPr="2FBE57F5">
        <w:rPr>
          <w:rFonts w:eastAsia="Aptos" w:cs="Aptos"/>
          <w:szCs w:val="18"/>
        </w:rPr>
        <w:t xml:space="preserve"> nuttig te gebruiken, zowel vanuit het oogpunt van het benutten van laagwaardige reststromen als vanuit de noodzaak om methaanemissie </w:t>
      </w:r>
      <w:r>
        <w:rPr>
          <w:rFonts w:eastAsia="Aptos" w:cs="Aptos"/>
          <w:szCs w:val="18"/>
        </w:rPr>
        <w:t>uit mest in</w:t>
      </w:r>
      <w:r w:rsidRPr="2FBE57F5">
        <w:rPr>
          <w:rFonts w:eastAsia="Aptos" w:cs="Aptos"/>
          <w:szCs w:val="18"/>
        </w:rPr>
        <w:t xml:space="preserve"> stallen te voorkomen. Het kabinet houdt bij de vormgeving van </w:t>
      </w:r>
      <w:r>
        <w:rPr>
          <w:rFonts w:eastAsia="Aptos" w:cs="Aptos"/>
          <w:szCs w:val="18"/>
        </w:rPr>
        <w:t>biomethaan</w:t>
      </w:r>
      <w:r w:rsidRPr="2FBE57F5">
        <w:rPr>
          <w:rFonts w:eastAsia="Aptos" w:cs="Aptos"/>
          <w:szCs w:val="18"/>
        </w:rPr>
        <w:t>beleid rekening met een krimp van de veestapel</w:t>
      </w:r>
      <w:r w:rsidRPr="2FBE57F5">
        <w:rPr>
          <w:rStyle w:val="Voetnootmarkering"/>
          <w:rFonts w:eastAsia="Aptos" w:cs="Aptos"/>
          <w:szCs w:val="18"/>
        </w:rPr>
        <w:footnoteReference w:id="6"/>
      </w:r>
      <w:r w:rsidRPr="2FBE57F5">
        <w:rPr>
          <w:rFonts w:eastAsia="Aptos" w:cs="Aptos"/>
          <w:szCs w:val="18"/>
        </w:rPr>
        <w:t>.</w:t>
      </w:r>
      <w:r>
        <w:rPr>
          <w:rFonts w:eastAsia="Aptos" w:cs="Aptos"/>
          <w:szCs w:val="18"/>
        </w:rPr>
        <w:t xml:space="preserve"> Waarbij een daling in de hoeveelheid beschikbare mest geen risico vormt voor het </w:t>
      </w:r>
      <w:r w:rsidR="006E4344">
        <w:rPr>
          <w:rFonts w:eastAsia="Aptos" w:cs="Aptos"/>
          <w:szCs w:val="18"/>
        </w:rPr>
        <w:t>biomethaan</w:t>
      </w:r>
      <w:r>
        <w:rPr>
          <w:rFonts w:eastAsia="Aptos" w:cs="Aptos"/>
          <w:szCs w:val="18"/>
        </w:rPr>
        <w:t xml:space="preserve"> beleid. </w:t>
      </w:r>
      <w:r w:rsidRPr="2FBE57F5">
        <w:rPr>
          <w:rFonts w:eastAsia="Aptos" w:cs="Aptos"/>
          <w:szCs w:val="18"/>
        </w:rPr>
        <w:t xml:space="preserve">Het kabinet zet samen met de landbouwsector in op innovaties, zoals stikstof- en </w:t>
      </w:r>
      <w:r w:rsidRPr="2FBE57F5">
        <w:rPr>
          <w:rFonts w:eastAsia="Aptos" w:cs="Aptos"/>
          <w:szCs w:val="18"/>
        </w:rPr>
        <w:lastRenderedPageBreak/>
        <w:t xml:space="preserve">ammoniakstrippers, om de bijdrage van vergisters aan de reductie van stikstof- en methaanemissies te vergroten. </w:t>
      </w:r>
    </w:p>
    <w:p w:rsidR="00247260" w:rsidP="00247260" w:rsidRDefault="00247260" w14:paraId="30F3E3E5" w14:textId="77777777">
      <w:pPr>
        <w:ind w:left="360"/>
        <w:rPr>
          <w:rFonts w:eastAsia="Aptos" w:cs="Aptos"/>
          <w:szCs w:val="18"/>
        </w:rPr>
      </w:pPr>
    </w:p>
    <w:p w:rsidR="00247260" w:rsidP="00247260" w:rsidRDefault="00247260" w14:paraId="177A9AD7" w14:textId="77777777">
      <w:pPr>
        <w:rPr>
          <w:rFonts w:eastAsia="Aptos" w:cs="Aptos"/>
          <w:szCs w:val="18"/>
        </w:rPr>
      </w:pPr>
      <w:r w:rsidRPr="00464896">
        <w:rPr>
          <w:rFonts w:eastAsia="Aptos" w:cs="Aptos"/>
          <w:szCs w:val="18"/>
        </w:rPr>
        <w:t>22</w:t>
      </w:r>
    </w:p>
    <w:p w:rsidR="00247260" w:rsidP="00247260" w:rsidRDefault="00247260" w14:paraId="5592EAFE" w14:textId="77777777">
      <w:pPr>
        <w:rPr>
          <w:rFonts w:eastAsia="Aptos" w:cs="Aptos"/>
          <w:szCs w:val="18"/>
        </w:rPr>
      </w:pPr>
      <w:r w:rsidRPr="00464896">
        <w:rPr>
          <w:rFonts w:eastAsia="Aptos" w:cs="Aptos"/>
          <w:szCs w:val="18"/>
        </w:rPr>
        <w:t xml:space="preserve">Welk percentage van de productiekosten van biomethaan wordt momenteel gedekt door subsidies? Welke exitstrategie hanteert het kabinet om te voorkomen dat publieke middelen langdurig worden ingezet voor een sector die zonder subsidie niet rendabel is? </w:t>
      </w:r>
    </w:p>
    <w:p w:rsidR="00247260" w:rsidP="00247260" w:rsidRDefault="00247260" w14:paraId="004DF7A8" w14:textId="77777777">
      <w:pPr>
        <w:rPr>
          <w:rFonts w:eastAsia="Aptos" w:cs="Aptos"/>
          <w:szCs w:val="18"/>
        </w:rPr>
      </w:pPr>
    </w:p>
    <w:p w:rsidR="00247260" w:rsidP="00247260" w:rsidRDefault="00247260" w14:paraId="4A22924A" w14:textId="77777777">
      <w:pPr>
        <w:rPr>
          <w:rFonts w:eastAsia="Aptos" w:cs="Aptos"/>
          <w:szCs w:val="18"/>
        </w:rPr>
      </w:pPr>
      <w:r>
        <w:rPr>
          <w:rFonts w:eastAsia="Aptos" w:cs="Aptos"/>
          <w:szCs w:val="18"/>
        </w:rPr>
        <w:t xml:space="preserve">Antwoord </w:t>
      </w:r>
    </w:p>
    <w:p w:rsidR="00247260" w:rsidP="00247260" w:rsidRDefault="00247260" w14:paraId="2B530BCF" w14:textId="77777777">
      <w:pPr>
        <w:rPr>
          <w:rFonts w:eastAsia="Aptos" w:cs="Aptos"/>
          <w:szCs w:val="18"/>
        </w:rPr>
      </w:pPr>
      <w:r w:rsidRPr="3805740B">
        <w:rPr>
          <w:rFonts w:eastAsia="Aptos" w:cs="Aptos"/>
          <w:szCs w:val="18"/>
        </w:rPr>
        <w:t xml:space="preserve">De binnenlandse productie van </w:t>
      </w:r>
      <w:r>
        <w:rPr>
          <w:rFonts w:eastAsia="Aptos" w:cs="Aptos"/>
          <w:szCs w:val="18"/>
        </w:rPr>
        <w:t>biomethaan</w:t>
      </w:r>
      <w:r w:rsidRPr="3805740B">
        <w:rPr>
          <w:rFonts w:eastAsia="Aptos" w:cs="Aptos"/>
          <w:szCs w:val="18"/>
        </w:rPr>
        <w:t xml:space="preserve"> wordt o.a. gesubsidieerd via de SDE++. De SDE++ dekt de onrendabele top af, de hoogte van de subsidie ligt niet vast en hangt onder meer af van de opbrengsten uit de geleverde energie en hangt dus af van de marktprijs van </w:t>
      </w:r>
      <w:r>
        <w:rPr>
          <w:rFonts w:eastAsia="Aptos" w:cs="Aptos"/>
          <w:szCs w:val="18"/>
        </w:rPr>
        <w:t>biomethaan</w:t>
      </w:r>
      <w:r w:rsidRPr="3805740B">
        <w:rPr>
          <w:rFonts w:eastAsia="Aptos" w:cs="Aptos"/>
          <w:szCs w:val="18"/>
        </w:rPr>
        <w:t>.</w:t>
      </w:r>
      <w:r>
        <w:rPr>
          <w:rFonts w:eastAsia="Aptos" w:cs="Aptos"/>
          <w:szCs w:val="18"/>
        </w:rPr>
        <w:t xml:space="preserve"> </w:t>
      </w:r>
    </w:p>
    <w:p w:rsidRPr="007705EE" w:rsidR="00247260" w:rsidP="00247260" w:rsidRDefault="00247260" w14:paraId="2BF8CDC8" w14:textId="77777777">
      <w:pPr>
        <w:rPr>
          <w:rFonts w:eastAsia="Aptos" w:cs="Aptos"/>
          <w:szCs w:val="18"/>
        </w:rPr>
      </w:pPr>
    </w:p>
    <w:p w:rsidRPr="00BB0EE2" w:rsidR="00247260" w:rsidP="00247260" w:rsidRDefault="00247260" w14:paraId="02FB335F" w14:textId="3D6DF6C4">
      <w:pPr>
        <w:rPr>
          <w:rFonts w:eastAsia="Aptos" w:cs="Aptos"/>
          <w:szCs w:val="18"/>
        </w:rPr>
      </w:pPr>
      <w:r w:rsidRPr="62AAC949">
        <w:rPr>
          <w:rFonts w:eastAsia="Aptos" w:cs="Aptos"/>
          <w:szCs w:val="18"/>
        </w:rPr>
        <w:t>Het doel van de maatwerkafspraak met TSN is, naast de realisatie van schone en groene staalproductie in de IJmond, juist ook om een duurzaam verdienmodel te realiseren</w:t>
      </w:r>
      <w:r w:rsidR="0052508C">
        <w:rPr>
          <w:rFonts w:eastAsia="Aptos" w:cs="Aptos"/>
          <w:szCs w:val="18"/>
        </w:rPr>
        <w:t xml:space="preserve"> (zonder structurele subsidies)</w:t>
      </w:r>
      <w:r w:rsidRPr="62AAC949">
        <w:rPr>
          <w:rFonts w:eastAsia="Aptos" w:cs="Aptos"/>
          <w:szCs w:val="18"/>
        </w:rPr>
        <w:t xml:space="preserve">. Er moet </w:t>
      </w:r>
      <w:r w:rsidR="0052508C">
        <w:rPr>
          <w:rFonts w:eastAsia="Aptos" w:cs="Aptos"/>
          <w:szCs w:val="18"/>
        </w:rPr>
        <w:t xml:space="preserve">daarbij </w:t>
      </w:r>
      <w:r w:rsidRPr="62AAC949">
        <w:rPr>
          <w:rFonts w:eastAsia="Aptos" w:cs="Aptos"/>
          <w:szCs w:val="18"/>
        </w:rPr>
        <w:t>zicht zijn op winstgevendheid van de onderneming, voordat een eventuele subsidie toegekend wordt. Het Groen Staal Plan betreft een zeer omvangrijke investering van TSN en het moederbedrijf Tata Steel Limited (TSL). Het bedrijf zal niet investeren zonder zicht op een lange termijn verdienmodel. Daarnaast zijn ook strenge voorwaarden verbonden aan een subsidie die verleend wordt door de overheid. Op basis van de Europese regels voor staatssteun voor verduurzaming die van toepassing zijn</w:t>
      </w:r>
      <w:r>
        <w:rPr>
          <w:rFonts w:eastAsia="Aptos" w:cs="Aptos"/>
          <w:szCs w:val="18"/>
        </w:rPr>
        <w:t>,</w:t>
      </w:r>
      <w:r w:rsidRPr="62AAC949">
        <w:rPr>
          <w:rFonts w:eastAsia="Aptos" w:cs="Aptos"/>
          <w:szCs w:val="18"/>
        </w:rPr>
        <w:t xml:space="preserve"> geldt dat steun niet ingezet mag worden om een verlieslatend bedrijf overeind te houden. De EC toetst hier streng op.</w:t>
      </w:r>
    </w:p>
    <w:p w:rsidR="00247260" w:rsidP="00247260" w:rsidRDefault="00247260" w14:paraId="79EE8273" w14:textId="77777777">
      <w:pPr>
        <w:rPr>
          <w:rFonts w:eastAsia="Aptos" w:cs="Aptos"/>
          <w:szCs w:val="18"/>
        </w:rPr>
      </w:pPr>
    </w:p>
    <w:p w:rsidR="00247260" w:rsidP="00247260" w:rsidRDefault="00247260" w14:paraId="4E0F65CC" w14:textId="77777777">
      <w:pPr>
        <w:rPr>
          <w:rFonts w:eastAsia="Aptos" w:cs="Aptos"/>
          <w:szCs w:val="18"/>
        </w:rPr>
      </w:pPr>
      <w:r w:rsidRPr="00464896">
        <w:rPr>
          <w:rFonts w:eastAsia="Aptos" w:cs="Aptos"/>
          <w:szCs w:val="18"/>
        </w:rPr>
        <w:t>23</w:t>
      </w:r>
    </w:p>
    <w:p w:rsidR="00247260" w:rsidP="00247260" w:rsidRDefault="00247260" w14:paraId="3FC122CB" w14:textId="656ABC59">
      <w:pPr>
        <w:rPr>
          <w:rFonts w:eastAsia="Aptos" w:cs="Aptos"/>
          <w:szCs w:val="18"/>
        </w:rPr>
      </w:pPr>
      <w:r w:rsidRPr="00464896">
        <w:rPr>
          <w:rFonts w:eastAsia="Aptos" w:cs="Aptos"/>
          <w:szCs w:val="18"/>
        </w:rPr>
        <w:t>Hebt u kennisgenomen van de conclusie van het Planbureau voor de Leefomgeving (PBL)</w:t>
      </w:r>
      <w:r w:rsidR="000F0BFD">
        <w:rPr>
          <w:rFonts w:eastAsia="Aptos" w:cs="Aptos"/>
          <w:szCs w:val="18"/>
        </w:rPr>
        <w:t xml:space="preserve"> </w:t>
      </w:r>
      <w:r w:rsidRPr="00464896">
        <w:rPr>
          <w:rFonts w:eastAsia="Aptos" w:cs="Aptos"/>
          <w:szCs w:val="18"/>
        </w:rPr>
        <w:t xml:space="preserve">dat 'verlies van biodiversiteit een reëel risico' is bij grootschalige biomassaproductie? Welke maximale hoeveelheid biomethaan acht het kabinet duurzaam produceerbaar in Nederland zonder negatieve effecten op biodiversiteit en landgebruik? </w:t>
      </w:r>
    </w:p>
    <w:p w:rsidR="00247260" w:rsidP="00247260" w:rsidRDefault="00247260" w14:paraId="6F609DDC" w14:textId="77777777">
      <w:pPr>
        <w:rPr>
          <w:rFonts w:eastAsia="Aptos" w:cs="Aptos"/>
          <w:szCs w:val="18"/>
        </w:rPr>
      </w:pPr>
    </w:p>
    <w:p w:rsidR="00247260" w:rsidP="2694E30F" w:rsidRDefault="00247260" w14:paraId="6894F223" w14:textId="21B1E55D">
      <w:pPr>
        <w:rPr>
          <w:rFonts w:eastAsia="Aptos" w:cs="Aptos"/>
          <w:highlight w:val="yellow"/>
        </w:rPr>
      </w:pPr>
      <w:r w:rsidRPr="2694E30F">
        <w:rPr>
          <w:rFonts w:eastAsia="Aptos" w:cs="Aptos"/>
        </w:rPr>
        <w:t>Antwoord</w:t>
      </w:r>
    </w:p>
    <w:p w:rsidRPr="00464896" w:rsidR="00247260" w:rsidP="00247260" w:rsidRDefault="00247260" w14:paraId="351A143D" w14:textId="48A892CE">
      <w:pPr>
        <w:rPr>
          <w:rFonts w:eastAsia="Aptos" w:cs="Aptos"/>
          <w:szCs w:val="18"/>
          <w:highlight w:val="yellow"/>
        </w:rPr>
      </w:pPr>
      <w:r w:rsidRPr="25E6FD93">
        <w:rPr>
          <w:rFonts w:eastAsia="Aptos" w:cs="Aptos"/>
          <w:szCs w:val="18"/>
        </w:rPr>
        <w:t xml:space="preserve">Het kabinet heeft kennisgenomen van de conclusie van het Planbureau voor de Leefomgeving. Om te waarborgen dat de productie van </w:t>
      </w:r>
      <w:r>
        <w:rPr>
          <w:rFonts w:eastAsia="Aptos" w:cs="Aptos"/>
          <w:szCs w:val="18"/>
        </w:rPr>
        <w:t xml:space="preserve">biomethaan </w:t>
      </w:r>
      <w:r w:rsidRPr="25E6FD93">
        <w:rPr>
          <w:rFonts w:eastAsia="Aptos" w:cs="Aptos"/>
          <w:szCs w:val="18"/>
        </w:rPr>
        <w:t xml:space="preserve">op duurzame wijze gebeurt, hanteert het kabinet te alle tijde de duurzaamheidseisen van de RED en het duurzaamheidskader biogrondstoffen voor de </w:t>
      </w:r>
      <w:r>
        <w:rPr>
          <w:rFonts w:eastAsia="Aptos" w:cs="Aptos"/>
          <w:szCs w:val="18"/>
        </w:rPr>
        <w:t>inzet</w:t>
      </w:r>
      <w:r w:rsidRPr="25E6FD93">
        <w:rPr>
          <w:rFonts w:eastAsia="Aptos" w:cs="Aptos"/>
          <w:szCs w:val="18"/>
        </w:rPr>
        <w:t xml:space="preserve"> van </w:t>
      </w:r>
      <w:r>
        <w:rPr>
          <w:rFonts w:eastAsia="Aptos" w:cs="Aptos"/>
          <w:szCs w:val="18"/>
        </w:rPr>
        <w:t>biomethaan</w:t>
      </w:r>
      <w:r w:rsidRPr="25E6FD93">
        <w:rPr>
          <w:rFonts w:eastAsia="Aptos" w:cs="Aptos"/>
          <w:szCs w:val="18"/>
        </w:rPr>
        <w:t xml:space="preserve">. Omdat </w:t>
      </w:r>
      <w:r>
        <w:rPr>
          <w:rFonts w:eastAsia="Aptos" w:cs="Aptos"/>
          <w:szCs w:val="18"/>
        </w:rPr>
        <w:t>biomethaan</w:t>
      </w:r>
      <w:r w:rsidRPr="25E6FD93">
        <w:rPr>
          <w:rFonts w:eastAsia="Aptos" w:cs="Aptos"/>
          <w:szCs w:val="18"/>
        </w:rPr>
        <w:t xml:space="preserve"> wordt geproduceerd uit restproducten en afvalproducten en omdat het gebruik van primaire grondstoffen niet past in de businesscase, ook niet in geval van subsidiëring, zijn de risico’s t.a.v. biodiversiteitsverlies en landgebruik niet te vergelijken met de casussen waar </w:t>
      </w:r>
      <w:r>
        <w:rPr>
          <w:rFonts w:eastAsia="Aptos" w:cs="Aptos"/>
          <w:szCs w:val="18"/>
        </w:rPr>
        <w:t xml:space="preserve">het </w:t>
      </w:r>
      <w:r w:rsidRPr="25E6FD93">
        <w:rPr>
          <w:rFonts w:eastAsia="Aptos" w:cs="Aptos"/>
          <w:szCs w:val="18"/>
        </w:rPr>
        <w:t>P</w:t>
      </w:r>
      <w:r>
        <w:rPr>
          <w:rFonts w:eastAsia="Aptos" w:cs="Aptos"/>
          <w:szCs w:val="18"/>
        </w:rPr>
        <w:t xml:space="preserve">lanbureau voor de Leefomgeving </w:t>
      </w:r>
      <w:r w:rsidRPr="25E6FD93">
        <w:rPr>
          <w:rFonts w:eastAsia="Aptos" w:cs="Aptos"/>
          <w:szCs w:val="18"/>
        </w:rPr>
        <w:t>over spreekt in bovengenoemd rapport.</w:t>
      </w:r>
    </w:p>
    <w:p w:rsidRPr="00464896" w:rsidR="00247260" w:rsidP="00247260" w:rsidRDefault="00247260" w14:paraId="448734BD" w14:textId="77777777">
      <w:pPr>
        <w:rPr>
          <w:rFonts w:eastAsia="Aptos" w:cs="Aptos"/>
          <w:szCs w:val="18"/>
          <w:highlight w:val="yellow"/>
        </w:rPr>
      </w:pPr>
    </w:p>
    <w:p w:rsidR="00247260" w:rsidP="00247260" w:rsidRDefault="00247260" w14:paraId="11FF0291" w14:textId="77777777">
      <w:pPr>
        <w:rPr>
          <w:rFonts w:eastAsia="Aptos" w:cs="Aptos"/>
          <w:szCs w:val="18"/>
        </w:rPr>
      </w:pPr>
      <w:r w:rsidRPr="00464896">
        <w:rPr>
          <w:rFonts w:eastAsia="Aptos" w:cs="Aptos"/>
          <w:szCs w:val="18"/>
        </w:rPr>
        <w:t>24</w:t>
      </w:r>
    </w:p>
    <w:p w:rsidR="00247260" w:rsidP="00247260" w:rsidRDefault="00247260" w14:paraId="7F122839" w14:textId="77777777">
      <w:pPr>
        <w:rPr>
          <w:rFonts w:eastAsia="Aptos" w:cs="Aptos"/>
          <w:szCs w:val="18"/>
        </w:rPr>
      </w:pPr>
      <w:r w:rsidRPr="00464896">
        <w:rPr>
          <w:rFonts w:eastAsia="Aptos" w:cs="Aptos"/>
          <w:szCs w:val="18"/>
        </w:rPr>
        <w:t xml:space="preserve">Hoeveel hectare landbouwgrond of organisch restmateriaal is nodig voor de productie van 0,5 miljard m³ biomethaan per jaar die Tata Steel beoogt af te nemen? </w:t>
      </w:r>
    </w:p>
    <w:p w:rsidR="00247260" w:rsidP="00247260" w:rsidRDefault="00247260" w14:paraId="769E11B5" w14:textId="77777777">
      <w:pPr>
        <w:rPr>
          <w:rFonts w:eastAsia="Aptos" w:cs="Aptos"/>
          <w:szCs w:val="18"/>
        </w:rPr>
      </w:pPr>
    </w:p>
    <w:p w:rsidR="00247260" w:rsidP="00247260" w:rsidRDefault="00247260" w14:paraId="291A4876" w14:textId="77777777">
      <w:pPr>
        <w:rPr>
          <w:rFonts w:eastAsia="Aptos" w:cs="Aptos"/>
          <w:szCs w:val="18"/>
        </w:rPr>
      </w:pPr>
      <w:r>
        <w:rPr>
          <w:rFonts w:eastAsia="Aptos" w:cs="Aptos"/>
          <w:szCs w:val="18"/>
        </w:rPr>
        <w:t xml:space="preserve">Antwoord </w:t>
      </w:r>
    </w:p>
    <w:p w:rsidR="00247260" w:rsidP="00247260" w:rsidRDefault="00247260" w14:paraId="705AAC82" w14:textId="0F7371D6">
      <w:pPr>
        <w:rPr>
          <w:rFonts w:eastAsia="Verdana" w:cs="Verdana"/>
          <w:szCs w:val="18"/>
        </w:rPr>
      </w:pPr>
      <w:r>
        <w:rPr>
          <w:rFonts w:eastAsia="Aptos" w:cs="Aptos"/>
          <w:szCs w:val="18"/>
        </w:rPr>
        <w:t>Biomethaan</w:t>
      </w:r>
      <w:r w:rsidRPr="51332AAB">
        <w:rPr>
          <w:rFonts w:eastAsia="Aptos" w:cs="Aptos"/>
          <w:szCs w:val="18"/>
        </w:rPr>
        <w:t xml:space="preserve"> kan via verschillende methodes en op basis van verschillende reststromen </w:t>
      </w:r>
      <w:r w:rsidRPr="6664235F">
        <w:rPr>
          <w:rFonts w:eastAsia="Aptos" w:cs="Aptos"/>
          <w:szCs w:val="18"/>
        </w:rPr>
        <w:t>geproduceerd worden. E</w:t>
      </w:r>
      <w:r w:rsidRPr="51332AAB">
        <w:rPr>
          <w:rFonts w:eastAsia="Aptos" w:cs="Aptos"/>
          <w:szCs w:val="18"/>
        </w:rPr>
        <w:t xml:space="preserve">r kan daarom niet een generiek aantal hectares gekoppeld worden aan de productie van 0,5 bcm biomethaan. De mogelijke </w:t>
      </w:r>
      <w:r>
        <w:rPr>
          <w:rFonts w:eastAsia="Aptos" w:cs="Aptos"/>
          <w:szCs w:val="18"/>
        </w:rPr>
        <w:t>nationale biomethaan</w:t>
      </w:r>
      <w:r w:rsidRPr="51332AAB">
        <w:rPr>
          <w:rFonts w:eastAsia="Aptos" w:cs="Aptos"/>
          <w:szCs w:val="18"/>
        </w:rPr>
        <w:t xml:space="preserve"> productie is afhankelijk van de hoeveelheid grondstoffen (doorgaans rest- en afvalstromen) die beschikbaar komen in de maatschappij, niet andersom. In een recent rapport</w:t>
      </w:r>
      <w:r w:rsidRPr="51332AAB">
        <w:rPr>
          <w:rStyle w:val="Voetnootmarkering"/>
          <w:rFonts w:eastAsia="Aptos" w:cs="Aptos"/>
          <w:szCs w:val="18"/>
        </w:rPr>
        <w:footnoteReference w:id="7"/>
      </w:r>
      <w:r w:rsidRPr="51332AAB">
        <w:rPr>
          <w:rFonts w:eastAsia="Aptos" w:cs="Aptos"/>
          <w:szCs w:val="18"/>
        </w:rPr>
        <w:t xml:space="preserve"> dat is opgesteld in opdracht van het kabinet, is becijferd dat in Nederland een productiepotentie is die oploopt van 1,4 bcm in 2035 tot 2,8 bcm in 2050. Daarnaast is het voor TSN ook mogelijk om </w:t>
      </w:r>
      <w:r>
        <w:rPr>
          <w:rFonts w:eastAsia="Aptos" w:cs="Aptos"/>
          <w:szCs w:val="18"/>
        </w:rPr>
        <w:t>biomethaan</w:t>
      </w:r>
      <w:r w:rsidRPr="51332AAB">
        <w:rPr>
          <w:rFonts w:eastAsia="Aptos" w:cs="Aptos"/>
          <w:szCs w:val="18"/>
        </w:rPr>
        <w:t xml:space="preserve"> te importeren vanuit bijvoorbeeld Europese landen, via het bestaande gasnetwerk.</w:t>
      </w:r>
      <w:r>
        <w:rPr>
          <w:rFonts w:eastAsia="Aptos" w:cs="Aptos"/>
          <w:szCs w:val="18"/>
        </w:rPr>
        <w:t xml:space="preserve"> Het importpotentieel</w:t>
      </w:r>
      <w:r w:rsidRPr="51332AAB">
        <w:rPr>
          <w:rFonts w:eastAsia="Aptos" w:cs="Aptos"/>
          <w:szCs w:val="18"/>
        </w:rPr>
        <w:t xml:space="preserve"> </w:t>
      </w:r>
      <w:r>
        <w:rPr>
          <w:rFonts w:eastAsia="Aptos" w:cs="Aptos"/>
          <w:szCs w:val="18"/>
        </w:rPr>
        <w:t>voor Nederland</w:t>
      </w:r>
      <w:r w:rsidRPr="51332AAB">
        <w:rPr>
          <w:rFonts w:eastAsia="Aptos" w:cs="Aptos"/>
          <w:szCs w:val="18"/>
        </w:rPr>
        <w:t xml:space="preserve"> </w:t>
      </w:r>
      <w:r>
        <w:rPr>
          <w:rFonts w:eastAsia="Aptos" w:cs="Aptos"/>
          <w:szCs w:val="18"/>
        </w:rPr>
        <w:t>loopt</w:t>
      </w:r>
      <w:r w:rsidRPr="51332AAB">
        <w:rPr>
          <w:rFonts w:eastAsia="Aptos" w:cs="Aptos"/>
          <w:szCs w:val="18"/>
        </w:rPr>
        <w:t xml:space="preserve"> volgens dit rapport tussen</w:t>
      </w:r>
      <w:r>
        <w:rPr>
          <w:rFonts w:eastAsia="Aptos" w:cs="Aptos"/>
          <w:szCs w:val="18"/>
        </w:rPr>
        <w:t xml:space="preserve"> op van</w:t>
      </w:r>
      <w:r w:rsidRPr="51332AAB">
        <w:rPr>
          <w:rFonts w:eastAsia="Aptos" w:cs="Aptos"/>
          <w:szCs w:val="18"/>
        </w:rPr>
        <w:t xml:space="preserve"> 3,3 bcm in 2035 </w:t>
      </w:r>
      <w:r>
        <w:rPr>
          <w:rFonts w:eastAsia="Aptos" w:cs="Aptos"/>
          <w:szCs w:val="18"/>
        </w:rPr>
        <w:t>tot</w:t>
      </w:r>
      <w:r w:rsidRPr="51332AAB">
        <w:rPr>
          <w:rFonts w:eastAsia="Aptos" w:cs="Aptos"/>
          <w:szCs w:val="18"/>
        </w:rPr>
        <w:t xml:space="preserve"> 7,4 bcm in 2050. E</w:t>
      </w:r>
      <w:r w:rsidRPr="6150D59A">
        <w:rPr>
          <w:rFonts w:eastAsia="Verdana" w:cs="Verdana"/>
          <w:szCs w:val="18"/>
        </w:rPr>
        <w:t xml:space="preserve">xterne adviseur Common Futures schat het </w:t>
      </w:r>
      <w:r>
        <w:rPr>
          <w:rFonts w:eastAsia="Verdana" w:cs="Verdana"/>
          <w:szCs w:val="18"/>
        </w:rPr>
        <w:t>Europese productie</w:t>
      </w:r>
      <w:r w:rsidRPr="6150D59A">
        <w:rPr>
          <w:rFonts w:eastAsia="Verdana" w:cs="Verdana"/>
          <w:szCs w:val="18"/>
        </w:rPr>
        <w:t xml:space="preserve">potentieel voor biomethaan productie op 100 bcm, </w:t>
      </w:r>
      <w:r w:rsidR="00153B9D">
        <w:rPr>
          <w:rFonts w:eastAsia="Verdana" w:cs="Verdana"/>
          <w:szCs w:val="18"/>
        </w:rPr>
        <w:t>meer dan genoeg</w:t>
      </w:r>
      <w:r w:rsidRPr="6150D59A">
        <w:rPr>
          <w:rFonts w:eastAsia="Verdana" w:cs="Verdana"/>
          <w:szCs w:val="18"/>
        </w:rPr>
        <w:t xml:space="preserve"> om aan de vraag van TSN te voldoen</w:t>
      </w:r>
      <w:r w:rsidRPr="6F589E0B">
        <w:rPr>
          <w:rStyle w:val="Voetnootmarkering"/>
          <w:rFonts w:eastAsia="Verdana" w:cs="Verdana"/>
          <w:szCs w:val="18"/>
        </w:rPr>
        <w:footnoteReference w:id="8"/>
      </w:r>
      <w:r w:rsidRPr="6F589E0B">
        <w:rPr>
          <w:rFonts w:eastAsia="Verdana" w:cs="Verdana"/>
          <w:szCs w:val="18"/>
        </w:rPr>
        <w:t>. Het rapport van Common Futures is meegestuurd bij verzending van de JLoI</w:t>
      </w:r>
      <w:r>
        <w:rPr>
          <w:rFonts w:eastAsia="Verdana" w:cs="Verdana"/>
          <w:szCs w:val="18"/>
        </w:rPr>
        <w:t xml:space="preserve"> aan de Tweede Kamer</w:t>
      </w:r>
      <w:r w:rsidRPr="6F589E0B">
        <w:rPr>
          <w:rFonts w:eastAsia="Verdana" w:cs="Verdana"/>
          <w:szCs w:val="18"/>
        </w:rPr>
        <w:t>.</w:t>
      </w:r>
    </w:p>
    <w:p w:rsidR="00247260" w:rsidP="00247260" w:rsidRDefault="00247260" w14:paraId="6198E8AB" w14:textId="77777777">
      <w:pPr>
        <w:rPr>
          <w:rFonts w:eastAsia="Verdana" w:cs="Verdana"/>
          <w:szCs w:val="18"/>
        </w:rPr>
      </w:pPr>
    </w:p>
    <w:p w:rsidR="00247260" w:rsidP="00247260" w:rsidRDefault="00247260" w14:paraId="4222C243" w14:textId="77777777">
      <w:pPr>
        <w:rPr>
          <w:rFonts w:eastAsia="Aptos" w:cs="Aptos"/>
          <w:szCs w:val="18"/>
        </w:rPr>
      </w:pPr>
      <w:r w:rsidRPr="00464896">
        <w:rPr>
          <w:rFonts w:eastAsia="Aptos" w:cs="Aptos"/>
          <w:szCs w:val="18"/>
        </w:rPr>
        <w:t>25</w:t>
      </w:r>
    </w:p>
    <w:p w:rsidR="00247260" w:rsidP="00247260" w:rsidRDefault="00247260" w14:paraId="4A834B85" w14:textId="77777777">
      <w:pPr>
        <w:rPr>
          <w:rFonts w:eastAsia="Aptos" w:cs="Aptos"/>
          <w:szCs w:val="18"/>
        </w:rPr>
      </w:pPr>
      <w:r w:rsidRPr="00464896">
        <w:rPr>
          <w:rFonts w:eastAsia="Aptos" w:cs="Aptos"/>
          <w:szCs w:val="18"/>
        </w:rPr>
        <w:t xml:space="preserve">Onder welke omstandigheden zou het kabinet overwegen om voor fase 2 van het verduurzamingsplan alsnog subsidie te verstrekken, hetzij via maatwerk, hetzij via generieke instrumenten, zoals SDE++ of NIKI? Welk maximumbedrag is hiervoor denkbaar? </w:t>
      </w:r>
    </w:p>
    <w:p w:rsidR="00247260" w:rsidP="00247260" w:rsidRDefault="00247260" w14:paraId="29F51C96" w14:textId="77777777">
      <w:pPr>
        <w:rPr>
          <w:rFonts w:eastAsia="Aptos" w:cs="Aptos"/>
          <w:szCs w:val="18"/>
        </w:rPr>
      </w:pPr>
    </w:p>
    <w:p w:rsidR="00247260" w:rsidP="00247260" w:rsidRDefault="00247260" w14:paraId="3B567637" w14:textId="77777777">
      <w:pPr>
        <w:rPr>
          <w:rFonts w:eastAsia="Aptos" w:cs="Aptos"/>
          <w:szCs w:val="18"/>
        </w:rPr>
      </w:pPr>
      <w:r>
        <w:rPr>
          <w:rFonts w:eastAsia="Aptos" w:cs="Aptos"/>
          <w:szCs w:val="18"/>
        </w:rPr>
        <w:t>Antwoord</w:t>
      </w:r>
    </w:p>
    <w:p w:rsidR="00247260" w:rsidP="00247260" w:rsidRDefault="00247260" w14:paraId="7F020002" w14:textId="451F7FB2">
      <w:pPr>
        <w:rPr>
          <w:rFonts w:eastAsia="Aptos" w:cs="Aptos"/>
          <w:szCs w:val="18"/>
        </w:rPr>
      </w:pPr>
      <w:r>
        <w:rPr>
          <w:rFonts w:eastAsia="Aptos" w:cs="Aptos"/>
          <w:szCs w:val="18"/>
        </w:rPr>
        <w:t>Zie het antwoord op vraag 17.</w:t>
      </w:r>
    </w:p>
    <w:p w:rsidRPr="00464896" w:rsidR="00247260" w:rsidP="00247260" w:rsidRDefault="00247260" w14:paraId="0AC73960" w14:textId="77777777">
      <w:pPr>
        <w:rPr>
          <w:rFonts w:eastAsia="Aptos" w:cs="Aptos"/>
          <w:szCs w:val="18"/>
        </w:rPr>
      </w:pPr>
    </w:p>
    <w:p w:rsidR="00247260" w:rsidP="00247260" w:rsidRDefault="00247260" w14:paraId="17F0DA0A" w14:textId="77777777">
      <w:pPr>
        <w:rPr>
          <w:rFonts w:eastAsia="Aptos" w:cs="Aptos"/>
          <w:szCs w:val="18"/>
        </w:rPr>
      </w:pPr>
      <w:r w:rsidRPr="00464896">
        <w:rPr>
          <w:rFonts w:eastAsia="Aptos" w:cs="Aptos"/>
          <w:szCs w:val="18"/>
        </w:rPr>
        <w:t>26</w:t>
      </w:r>
    </w:p>
    <w:p w:rsidR="00247260" w:rsidP="00247260" w:rsidRDefault="00247260" w14:paraId="0DE97406" w14:textId="18D6E277">
      <w:pPr>
        <w:rPr>
          <w:rFonts w:eastAsia="Aptos" w:cs="Aptos"/>
          <w:szCs w:val="18"/>
        </w:rPr>
      </w:pPr>
      <w:r w:rsidRPr="00464896">
        <w:rPr>
          <w:rFonts w:eastAsia="Aptos" w:cs="Aptos"/>
          <w:szCs w:val="18"/>
        </w:rPr>
        <w:t xml:space="preserve">Bent u bekend met de uitspraken van de CFO van Tata Steel Limited tijdens de kwartaalcijferpresentatie, waarin hij stelt: "We did not want to go that hydrogen route. </w:t>
      </w:r>
      <w:r w:rsidRPr="00464896">
        <w:rPr>
          <w:rFonts w:eastAsia="Aptos" w:cs="Aptos"/>
          <w:szCs w:val="18"/>
          <w:lang w:val="en-GB"/>
        </w:rPr>
        <w:t xml:space="preserve">Hydrogen is uncertain on availability and economics, so we are focused on natural gas with an optionality of the auctioning of biomethane"? </w:t>
      </w:r>
      <w:r w:rsidRPr="00464896">
        <w:rPr>
          <w:rFonts w:eastAsia="Aptos" w:cs="Aptos"/>
          <w:szCs w:val="18"/>
        </w:rPr>
        <w:t xml:space="preserve">Komen deze uitspraken overeen met de aannames in de JLoI over de toekomstige energiedragers? </w:t>
      </w:r>
    </w:p>
    <w:p w:rsidR="00247260" w:rsidP="00247260" w:rsidRDefault="00247260" w14:paraId="5014BB1B" w14:textId="77777777">
      <w:pPr>
        <w:rPr>
          <w:rFonts w:eastAsia="Aptos" w:cs="Aptos"/>
          <w:szCs w:val="18"/>
        </w:rPr>
      </w:pPr>
    </w:p>
    <w:p w:rsidR="00247260" w:rsidP="00247260" w:rsidRDefault="00247260" w14:paraId="465AEC1A" w14:textId="77777777">
      <w:pPr>
        <w:rPr>
          <w:rFonts w:eastAsia="Aptos" w:cs="Aptos"/>
          <w:szCs w:val="18"/>
        </w:rPr>
      </w:pPr>
      <w:r>
        <w:rPr>
          <w:rFonts w:eastAsia="Aptos" w:cs="Aptos"/>
          <w:szCs w:val="18"/>
        </w:rPr>
        <w:t xml:space="preserve">Antwoord </w:t>
      </w:r>
    </w:p>
    <w:p w:rsidRPr="00744911" w:rsidR="00247260" w:rsidP="00247260" w:rsidRDefault="00247260" w14:paraId="29206D80" w14:textId="06A31634">
      <w:pPr>
        <w:rPr>
          <w:rFonts w:eastAsia="Aptos" w:cs="Aptos"/>
          <w:szCs w:val="18"/>
        </w:rPr>
      </w:pPr>
      <w:r w:rsidRPr="63809FFE">
        <w:rPr>
          <w:rFonts w:eastAsia="Aptos" w:cs="Aptos"/>
          <w:szCs w:val="18"/>
        </w:rPr>
        <w:t xml:space="preserve">Het verduurzamingsplan van TSN </w:t>
      </w:r>
      <w:r>
        <w:rPr>
          <w:rFonts w:eastAsia="Aptos" w:cs="Aptos"/>
          <w:szCs w:val="18"/>
        </w:rPr>
        <w:t>uit</w:t>
      </w:r>
      <w:r w:rsidRPr="63809FFE">
        <w:rPr>
          <w:rFonts w:eastAsia="Aptos" w:cs="Aptos"/>
          <w:szCs w:val="18"/>
        </w:rPr>
        <w:t xml:space="preserve"> november 2023 waarin wordt uitgegaan van de bouw van een DRP-EAF op waterstof vormt nog altijd de basis voor de JLoI met TSN. Het beeld dat de CFO van TSL schetst dat de beschikbaarheid en prijzen van waterstof onzeker zijn, wordt herkend. De ontwikkeling van de waterstofmarkt gaat trager dan voorzien ten tijde van </w:t>
      </w:r>
      <w:r>
        <w:rPr>
          <w:rFonts w:eastAsia="Aptos" w:cs="Aptos"/>
          <w:szCs w:val="18"/>
        </w:rPr>
        <w:t xml:space="preserve">het opstellen </w:t>
      </w:r>
      <w:r w:rsidRPr="63809FFE">
        <w:rPr>
          <w:rFonts w:eastAsia="Aptos" w:cs="Aptos"/>
          <w:szCs w:val="18"/>
        </w:rPr>
        <w:t xml:space="preserve">van het verduurzamingsplan door TSN. </w:t>
      </w:r>
      <w:r>
        <w:rPr>
          <w:rFonts w:eastAsia="Aptos" w:cs="Aptos"/>
          <w:szCs w:val="18"/>
        </w:rPr>
        <w:t xml:space="preserve">Om deze reden zijn de plannen van TSN ook verder doorontwikkeld en heeft biomethaan een rol gekregen. </w:t>
      </w:r>
      <w:r w:rsidRPr="63809FFE">
        <w:rPr>
          <w:rFonts w:eastAsia="Aptos" w:cs="Aptos"/>
          <w:szCs w:val="18"/>
        </w:rPr>
        <w:t xml:space="preserve">Echter, om de beoogde CO2-reductie te realiseren en aan de eisen van het staatssteunkader te voldoen zal TSN moeten overstappen op groene energiebronnen. De staat wil deze overstap ondersteunen </w:t>
      </w:r>
      <w:r w:rsidRPr="63809FFE">
        <w:rPr>
          <w:rFonts w:eastAsia="Aptos" w:cs="Aptos"/>
          <w:szCs w:val="18"/>
        </w:rPr>
        <w:lastRenderedPageBreak/>
        <w:t>met een subsidie in de vorm van een lening die TSN moet gebruiken om groene waterstof en/of biomethaan aan te kopen via tenders. De tenders voor biomethaan en groene waterstof moeten in de markt worden gezet, deze zogenaamde ‘auctioning’ is verplicht en geen ‘optionality’. Indien TSN in de periode 2032-2037 geen waterstof of biomethaan koopt, zal de lening moeten worden terugbetaald met rente en een eventuele boete.</w:t>
      </w:r>
    </w:p>
    <w:p w:rsidRPr="00464896" w:rsidR="00247260" w:rsidP="00247260" w:rsidRDefault="00247260" w14:paraId="5C1588FC" w14:textId="77777777">
      <w:pPr>
        <w:rPr>
          <w:rFonts w:eastAsia="Aptos" w:cs="Aptos"/>
          <w:szCs w:val="18"/>
        </w:rPr>
      </w:pPr>
    </w:p>
    <w:p w:rsidR="00247260" w:rsidP="00247260" w:rsidRDefault="00247260" w14:paraId="4135224F" w14:textId="27345918">
      <w:pPr>
        <w:rPr>
          <w:rFonts w:eastAsia="Aptos" w:cs="Aptos"/>
          <w:szCs w:val="18"/>
        </w:rPr>
      </w:pPr>
      <w:r w:rsidRPr="00464896">
        <w:rPr>
          <w:rFonts w:eastAsia="Aptos" w:cs="Aptos"/>
          <w:szCs w:val="18"/>
        </w:rPr>
        <w:t>27</w:t>
      </w:r>
    </w:p>
    <w:p w:rsidR="00247260" w:rsidP="00247260" w:rsidRDefault="00247260" w14:paraId="2E7206B8" w14:textId="2EA516B1">
      <w:pPr>
        <w:rPr>
          <w:rFonts w:eastAsia="Aptos" w:cs="Aptos"/>
          <w:szCs w:val="18"/>
        </w:rPr>
      </w:pPr>
      <w:r w:rsidRPr="00464896">
        <w:rPr>
          <w:rFonts w:eastAsia="Aptos" w:cs="Aptos"/>
          <w:szCs w:val="18"/>
        </w:rPr>
        <w:t xml:space="preserve">Heeft u er kennis van genomen dat de CFO van Tata Steel Limited stelt dat biomethaan pas 'much later, post 2035' relevant wordt voor Tata Steel Nederland, terwijl de JLoI uitgaat van overschakeling naar biomethaan vanaf 2032? Welke van deze twee tijdlijnen is correct? </w:t>
      </w:r>
    </w:p>
    <w:p w:rsidR="00247260" w:rsidP="00247260" w:rsidRDefault="00247260" w14:paraId="67788866" w14:textId="77777777">
      <w:pPr>
        <w:rPr>
          <w:rFonts w:eastAsia="Aptos" w:cs="Aptos"/>
          <w:szCs w:val="18"/>
        </w:rPr>
      </w:pPr>
    </w:p>
    <w:p w:rsidR="00247260" w:rsidP="00247260" w:rsidRDefault="00247260" w14:paraId="16159CCE" w14:textId="77777777">
      <w:pPr>
        <w:rPr>
          <w:rFonts w:eastAsia="Aptos" w:cs="Aptos"/>
          <w:szCs w:val="18"/>
        </w:rPr>
      </w:pPr>
      <w:r>
        <w:rPr>
          <w:rFonts w:eastAsia="Aptos" w:cs="Aptos"/>
          <w:szCs w:val="18"/>
        </w:rPr>
        <w:t xml:space="preserve">Antwoord </w:t>
      </w:r>
    </w:p>
    <w:p w:rsidR="00247260" w:rsidP="00247260" w:rsidRDefault="00247260" w14:paraId="21E1878C" w14:textId="54485643">
      <w:pPr>
        <w:rPr>
          <w:rFonts w:eastAsia="Aptos" w:cs="Aptos"/>
          <w:szCs w:val="18"/>
        </w:rPr>
      </w:pPr>
      <w:r>
        <w:rPr>
          <w:rFonts w:eastAsia="Aptos" w:cs="Aptos"/>
          <w:szCs w:val="18"/>
        </w:rPr>
        <w:t xml:space="preserve">In de JLoI is afgesproken dat TSN in de periode 2032-2037 gaat overstappen op groene waterstof en/of biomethaan. Zoals in het antwoord op de vorige vraag aangegeven gaat TSN hiervoor </w:t>
      </w:r>
      <w:r w:rsidR="004E26AB">
        <w:rPr>
          <w:rFonts w:eastAsia="Aptos" w:cs="Aptos"/>
          <w:szCs w:val="18"/>
        </w:rPr>
        <w:t>tenders in de markt zetten.</w:t>
      </w:r>
      <w:r w:rsidR="00487D0F">
        <w:rPr>
          <w:rFonts w:eastAsia="Aptos" w:cs="Aptos"/>
          <w:szCs w:val="18"/>
        </w:rPr>
        <w:t xml:space="preserve"> </w:t>
      </w:r>
      <w:bookmarkStart w:name="_Hlk220933968" w:id="0"/>
      <w:r w:rsidR="00D24138">
        <w:rPr>
          <w:rFonts w:eastAsia="Aptos" w:cs="Aptos"/>
          <w:szCs w:val="18"/>
        </w:rPr>
        <w:t>Over d</w:t>
      </w:r>
      <w:r w:rsidR="00487D0F">
        <w:rPr>
          <w:rFonts w:eastAsia="Aptos" w:cs="Aptos"/>
          <w:szCs w:val="18"/>
        </w:rPr>
        <w:t xml:space="preserve">e </w:t>
      </w:r>
      <w:r w:rsidR="00D24138">
        <w:rPr>
          <w:rFonts w:eastAsia="Aptos" w:cs="Aptos"/>
          <w:szCs w:val="18"/>
        </w:rPr>
        <w:t xml:space="preserve">precieze </w:t>
      </w:r>
      <w:r w:rsidR="00F911E7">
        <w:rPr>
          <w:rFonts w:eastAsia="Aptos" w:cs="Aptos"/>
          <w:szCs w:val="18"/>
        </w:rPr>
        <w:t xml:space="preserve">voorwaarden van deze tenders zullen </w:t>
      </w:r>
      <w:r w:rsidR="00D24138">
        <w:rPr>
          <w:rFonts w:eastAsia="Aptos" w:cs="Aptos"/>
          <w:szCs w:val="18"/>
        </w:rPr>
        <w:t xml:space="preserve">afspraken worden gemaakt </w:t>
      </w:r>
      <w:r w:rsidR="005F2B6C">
        <w:rPr>
          <w:rFonts w:eastAsia="Aptos" w:cs="Aptos"/>
          <w:szCs w:val="18"/>
        </w:rPr>
        <w:t xml:space="preserve">tussen </w:t>
      </w:r>
      <w:r w:rsidR="00F911E7">
        <w:rPr>
          <w:rFonts w:eastAsia="Aptos" w:cs="Aptos"/>
          <w:szCs w:val="18"/>
        </w:rPr>
        <w:t>de overheid en het bedrijf.</w:t>
      </w:r>
      <w:r w:rsidR="00D40BE0">
        <w:rPr>
          <w:rFonts w:eastAsia="Aptos" w:cs="Aptos"/>
          <w:szCs w:val="18"/>
        </w:rPr>
        <w:t xml:space="preserve"> </w:t>
      </w:r>
      <w:bookmarkEnd w:id="0"/>
      <w:r>
        <w:rPr>
          <w:rFonts w:eastAsia="Aptos" w:cs="Aptos"/>
          <w:szCs w:val="18"/>
        </w:rPr>
        <w:t>Wanneer exact wordt overgestapt is afhankelijk van het slagen van deze tenders. H</w:t>
      </w:r>
      <w:r w:rsidRPr="00197BE1">
        <w:rPr>
          <w:rFonts w:eastAsia="Aptos" w:cs="Aptos"/>
          <w:szCs w:val="18"/>
        </w:rPr>
        <w:t>et</w:t>
      </w:r>
      <w:r>
        <w:rPr>
          <w:rFonts w:eastAsia="Aptos" w:cs="Aptos"/>
          <w:szCs w:val="18"/>
        </w:rPr>
        <w:t xml:space="preserve"> zou dus kunnen voorkomen dat het in 2032 niet gelijk lukt om de volledige volumes in te kopen</w:t>
      </w:r>
      <w:r w:rsidRPr="00495E10">
        <w:rPr>
          <w:rFonts w:eastAsia="Aptos" w:cs="Aptos"/>
          <w:szCs w:val="18"/>
        </w:rPr>
        <w:t>. Dan zou de overstap op groene energiebronnen later in de tijd gemaakt worden en wordt de bijbehorende CO2-reductie dus ook later gerealiseerd.</w:t>
      </w:r>
      <w:r w:rsidR="000856A2">
        <w:rPr>
          <w:rFonts w:eastAsia="Aptos" w:cs="Aptos"/>
          <w:szCs w:val="18"/>
        </w:rPr>
        <w:t xml:space="preserve"> De doelen en waarborgen voor het behalen van deze doelen </w:t>
      </w:r>
      <w:r w:rsidRPr="17D28085" w:rsidR="000856A2">
        <w:rPr>
          <w:rFonts w:eastAsia="Aptos" w:cs="Aptos"/>
          <w:szCs w:val="18"/>
        </w:rPr>
        <w:t>worden de komende tijd uitgewerkt en opgenomen in de maatwerkafspraak</w:t>
      </w:r>
      <w:r w:rsidR="000856A2">
        <w:rPr>
          <w:rFonts w:eastAsia="Aptos" w:cs="Aptos"/>
          <w:szCs w:val="18"/>
        </w:rPr>
        <w:t>.</w:t>
      </w:r>
    </w:p>
    <w:p w:rsidR="00016D70" w:rsidP="00247260" w:rsidRDefault="00016D70" w14:paraId="2CD6A30C" w14:textId="77777777">
      <w:pPr>
        <w:rPr>
          <w:rFonts w:eastAsia="Aptos" w:cs="Aptos"/>
          <w:szCs w:val="18"/>
        </w:rPr>
      </w:pPr>
    </w:p>
    <w:p w:rsidR="00247260" w:rsidP="00247260" w:rsidRDefault="00247260" w14:paraId="6419BA88" w14:textId="2D518E8E">
      <w:pPr>
        <w:rPr>
          <w:rFonts w:eastAsia="Aptos" w:cs="Aptos"/>
          <w:szCs w:val="18"/>
        </w:rPr>
      </w:pPr>
      <w:r w:rsidRPr="00464896">
        <w:rPr>
          <w:rFonts w:eastAsia="Aptos" w:cs="Aptos"/>
          <w:szCs w:val="18"/>
        </w:rPr>
        <w:t>28</w:t>
      </w:r>
    </w:p>
    <w:p w:rsidR="00247260" w:rsidP="00247260" w:rsidRDefault="00247260" w14:paraId="4A15E7D8" w14:textId="35C8B68D">
      <w:pPr>
        <w:rPr>
          <w:rFonts w:eastAsia="Aptos" w:cs="Aptos"/>
          <w:szCs w:val="18"/>
        </w:rPr>
      </w:pPr>
      <w:r w:rsidRPr="00464896">
        <w:rPr>
          <w:rFonts w:eastAsia="Aptos" w:cs="Aptos"/>
          <w:szCs w:val="18"/>
        </w:rPr>
        <w:t>Hoe interpreteert u de uitspraak van de CFO die stelt dat het "possible [is] to buy it on paper, as a hedge, if the physical does not flow"? Betekent dit dat Tata Steel voornemens is biomethaan slechts administratief in te kopen via certificaten, zonder daadwerkelijk fysiek biomethaan te gebruiken?</w:t>
      </w:r>
    </w:p>
    <w:p w:rsidRPr="00464896" w:rsidR="00247260" w:rsidP="00247260" w:rsidRDefault="00247260" w14:paraId="456C2DA6" w14:textId="77777777">
      <w:pPr>
        <w:rPr>
          <w:rFonts w:eastAsia="Aptos" w:cs="Aptos"/>
          <w:szCs w:val="18"/>
        </w:rPr>
      </w:pPr>
    </w:p>
    <w:p w:rsidR="00247260" w:rsidP="00247260" w:rsidRDefault="00247260" w14:paraId="62200D86" w14:textId="77777777">
      <w:pPr>
        <w:rPr>
          <w:rFonts w:eastAsia="Aptos" w:cs="Aptos"/>
          <w:szCs w:val="18"/>
        </w:rPr>
      </w:pPr>
      <w:r w:rsidRPr="00464896">
        <w:rPr>
          <w:rFonts w:eastAsia="Aptos" w:cs="Aptos"/>
          <w:szCs w:val="18"/>
        </w:rPr>
        <w:t>29</w:t>
      </w:r>
    </w:p>
    <w:p w:rsidR="00247260" w:rsidP="00247260" w:rsidRDefault="00247260" w14:paraId="02B3ADD1" w14:textId="77777777">
      <w:pPr>
        <w:rPr>
          <w:rFonts w:eastAsia="Aptos" w:cs="Aptos"/>
          <w:szCs w:val="18"/>
        </w:rPr>
      </w:pPr>
      <w:r w:rsidRPr="00464896">
        <w:rPr>
          <w:rFonts w:eastAsia="Aptos" w:cs="Aptos"/>
          <w:szCs w:val="18"/>
        </w:rPr>
        <w:t xml:space="preserve">Welke consequenties heeft het voor de daadwerkelijke CO₂-reductie als Tata Steel inderdaad biomethaan "op papier" zou inkopen in plaats van fysiek? En welke consequenties heeft dit voor de gezondheidswinst van omwonenden die met deze deal beoogd worden? </w:t>
      </w:r>
    </w:p>
    <w:p w:rsidR="00247260" w:rsidP="00247260" w:rsidRDefault="00247260" w14:paraId="421FE020" w14:textId="77777777">
      <w:pPr>
        <w:rPr>
          <w:rFonts w:eastAsia="Aptos" w:cs="Aptos"/>
          <w:szCs w:val="18"/>
        </w:rPr>
      </w:pPr>
    </w:p>
    <w:p w:rsidR="00247260" w:rsidP="00247260" w:rsidRDefault="00247260" w14:paraId="5BE6041E" w14:textId="77777777">
      <w:pPr>
        <w:rPr>
          <w:rFonts w:eastAsia="Aptos" w:cs="Aptos"/>
          <w:szCs w:val="18"/>
        </w:rPr>
      </w:pPr>
      <w:r>
        <w:rPr>
          <w:rFonts w:eastAsia="Aptos" w:cs="Aptos"/>
          <w:szCs w:val="18"/>
        </w:rPr>
        <w:t xml:space="preserve">Antwoord 28 en 29 </w:t>
      </w:r>
    </w:p>
    <w:p w:rsidR="00247260" w:rsidP="1ED45C64" w:rsidRDefault="00247260" w14:paraId="2238D13C" w14:textId="700C71E8">
      <w:pPr>
        <w:rPr>
          <w:rFonts w:eastAsia="Aptos" w:cs="Aptos"/>
        </w:rPr>
      </w:pPr>
      <w:r w:rsidRPr="1ED45C64">
        <w:rPr>
          <w:rFonts w:eastAsia="Aptos" w:cs="Aptos"/>
        </w:rPr>
        <w:t xml:space="preserve">Het proces met certificaten bij biomethaan werkt vergelijkbaar met het aankopen van groene elektriciteit met certificaten. Omdat transport via pijpleiding de meest duurzame en efficiënte transportmethode voor gassen is worden biomethaan en aardgas beiden in het reguliere Europese gasnet ingevoed. Hiermee ontstaat een mix van biomethaan en aardgas die alleen onderscheiden kan worden middels certificering. Met de certificaten kan de duurzame herkomst van de biomethaan worden aangetoond en de CO2-reductie van het gebruik van biomethaan worden toegekend. </w:t>
      </w:r>
    </w:p>
    <w:p w:rsidR="00247260" w:rsidP="00247260" w:rsidRDefault="00247260" w14:paraId="78BFB892" w14:textId="77777777">
      <w:pPr>
        <w:rPr>
          <w:rFonts w:eastAsia="Aptos" w:cs="Aptos"/>
          <w:szCs w:val="18"/>
        </w:rPr>
      </w:pPr>
    </w:p>
    <w:p w:rsidR="00247260" w:rsidP="00247260" w:rsidRDefault="00247260" w14:paraId="6E18A7B5" w14:textId="77777777">
      <w:pPr>
        <w:rPr>
          <w:rFonts w:eastAsia="Aptos" w:cs="Aptos"/>
          <w:szCs w:val="18"/>
        </w:rPr>
      </w:pPr>
      <w:r>
        <w:rPr>
          <w:rFonts w:eastAsia="Aptos" w:cs="Aptos"/>
          <w:szCs w:val="18"/>
        </w:rPr>
        <w:lastRenderedPageBreak/>
        <w:t>In de JLoI staat opgenomen dat TSN alleen biomethaan mag gebruiken dat voldoet aan de duurzaamheidseisen van de Europese Unie (RED II). TSN zal de duurzaamheid van de gekochte biomethaan moeten aantonen met zowel een Garantie van Oorsprong (GvO) als een Proof of Sustainability certificaat. Hiermee is de duurzaamheid en de CO2-reductie die gepaard gaat met het gebruik van biomethaan geborgd.</w:t>
      </w:r>
    </w:p>
    <w:p w:rsidR="00247260" w:rsidP="00247260" w:rsidRDefault="00247260" w14:paraId="42E6AF88" w14:textId="77777777">
      <w:pPr>
        <w:rPr>
          <w:rFonts w:eastAsia="Aptos" w:cs="Aptos"/>
          <w:szCs w:val="18"/>
        </w:rPr>
      </w:pPr>
    </w:p>
    <w:p w:rsidR="00247260" w:rsidP="1ED45C64" w:rsidRDefault="00247260" w14:paraId="26E8DA16" w14:textId="1CE6F491">
      <w:pPr>
        <w:rPr>
          <w:rFonts w:eastAsia="Aptos" w:cs="Aptos"/>
        </w:rPr>
      </w:pPr>
      <w:r w:rsidRPr="1ED45C64">
        <w:rPr>
          <w:rFonts w:eastAsia="Aptos" w:cs="Aptos"/>
        </w:rPr>
        <w:t xml:space="preserve">Om de benodigde hoeveelheid biomethaan te kunnen inkopen zal TSN, naast het inkopen van in Nederland geproduceerde biomethaan, ook biomethaan (via certificaten) moeten importeren uit andere Europese landen. </w:t>
      </w:r>
      <w:r w:rsidRPr="1ED45C64" w:rsidR="3DED6751">
        <w:rPr>
          <w:rFonts w:eastAsia="Verdana" w:cs="Verdana"/>
          <w:szCs w:val="18"/>
        </w:rPr>
        <w:t>Vanwege de mondiale afspraken over emissiestatistieken tellen buitenlandse G</w:t>
      </w:r>
      <w:r w:rsidR="00B935CF">
        <w:rPr>
          <w:rFonts w:eastAsia="Verdana" w:cs="Verdana"/>
          <w:szCs w:val="18"/>
        </w:rPr>
        <w:t>v</w:t>
      </w:r>
      <w:r w:rsidRPr="1ED45C64" w:rsidR="3DED6751">
        <w:rPr>
          <w:rFonts w:eastAsia="Verdana" w:cs="Verdana"/>
          <w:szCs w:val="18"/>
        </w:rPr>
        <w:t xml:space="preserve">O’s niet mee voor de doelen in de nationale Klimaatwet, omdat de emissiereductie meetelt in het land </w:t>
      </w:r>
      <w:r w:rsidR="006E4344">
        <w:rPr>
          <w:rFonts w:eastAsia="Verdana" w:cs="Verdana"/>
          <w:szCs w:val="18"/>
        </w:rPr>
        <w:t>waar biomethaan wordt geïnjecteerd in het gasnet</w:t>
      </w:r>
      <w:r w:rsidRPr="1ED45C64" w:rsidR="3DED6751">
        <w:rPr>
          <w:rFonts w:eastAsia="Verdana" w:cs="Verdana"/>
          <w:szCs w:val="18"/>
        </w:rPr>
        <w:t>. Het telt juridisch gezien wel mee als emissiereductie onder het EU-ETS.</w:t>
      </w:r>
      <w:r w:rsidRPr="1ED45C64" w:rsidR="3DED6751">
        <w:rPr>
          <w:rFonts w:eastAsia="Verdana" w:cs="Verdana"/>
          <w:i/>
          <w:iCs/>
          <w:szCs w:val="18"/>
        </w:rPr>
        <w:t xml:space="preserve"> </w:t>
      </w:r>
      <w:r w:rsidRPr="1ED45C64">
        <w:rPr>
          <w:rFonts w:eastAsia="Aptos" w:cs="Aptos"/>
        </w:rPr>
        <w:t xml:space="preserve">Echter, vanwege praktische beperkingen is dit </w:t>
      </w:r>
      <w:r w:rsidRPr="1ED45C64" w:rsidR="625529A4">
        <w:rPr>
          <w:rFonts w:eastAsia="Aptos" w:cs="Aptos"/>
        </w:rPr>
        <w:t xml:space="preserve">binnen het ETS </w:t>
      </w:r>
      <w:r w:rsidRPr="1ED45C64">
        <w:rPr>
          <w:rFonts w:eastAsia="Aptos" w:cs="Aptos"/>
        </w:rPr>
        <w:t xml:space="preserve">op het moment nog niet mogelijk. Er is namelijk nog geen Europese databank/monitoringssysteem om dubbeltelling van GvO’s te voorkomen. Hierdoor tellen momenteel in Nederland alleen Nederlandse GvO’s voor CO2-reductie onder het EU ETS. Op basis van gesprekken met de EC en de Nederlandse Emissieautoriteit (NEa) is de verwachting dat tegen de tijd dat TSN overstapt op biomethaan de Europese Union Database for Biofuels is geïmplementeerd, waardoor dubbeltelling van GvO’s wordt voorkomen en ook buitenlandse GvO’s kunnen meetellen onder EU ETS. </w:t>
      </w:r>
    </w:p>
    <w:p w:rsidR="00247260" w:rsidP="00247260" w:rsidRDefault="00247260" w14:paraId="4E034420" w14:textId="77777777">
      <w:pPr>
        <w:rPr>
          <w:rFonts w:eastAsia="Aptos" w:cs="Aptos"/>
          <w:szCs w:val="18"/>
        </w:rPr>
      </w:pPr>
    </w:p>
    <w:p w:rsidR="00247260" w:rsidP="00247260" w:rsidRDefault="00247260" w14:paraId="6E595A10" w14:textId="77777777">
      <w:pPr>
        <w:rPr>
          <w:rFonts w:eastAsia="Aptos" w:cs="Aptos"/>
          <w:szCs w:val="18"/>
        </w:rPr>
      </w:pPr>
      <w:r w:rsidRPr="63809FFE">
        <w:rPr>
          <w:rFonts w:eastAsia="Aptos" w:cs="Aptos"/>
          <w:szCs w:val="18"/>
        </w:rPr>
        <w:t xml:space="preserve">Voor de gezondheidswinst van de omwonenden maakt het niet uit of TSN aardgas of biomethaan gebruikt. Deze gassen zijn chemisch gezien namelijk exact hetzelfde samengesteld, waardoor de effecten op gezondheid ook gelijk zijn. </w:t>
      </w:r>
      <w:r>
        <w:rPr>
          <w:rFonts w:eastAsia="Aptos" w:cs="Aptos"/>
          <w:szCs w:val="18"/>
        </w:rPr>
        <w:t xml:space="preserve">De grootste gezondheidswinst wordt gerealiseerd door de overstap van kolen op aardgas. </w:t>
      </w:r>
    </w:p>
    <w:p w:rsidRPr="00183758" w:rsidR="00247260" w:rsidP="00247260" w:rsidRDefault="00247260" w14:paraId="74E0FADD" w14:textId="77777777">
      <w:pPr>
        <w:rPr>
          <w:rFonts w:eastAsia="Aptos" w:cs="Aptos"/>
          <w:szCs w:val="18"/>
        </w:rPr>
      </w:pPr>
    </w:p>
    <w:p w:rsidR="00247260" w:rsidP="00247260" w:rsidRDefault="00247260" w14:paraId="7604F594" w14:textId="77777777">
      <w:pPr>
        <w:rPr>
          <w:rFonts w:eastAsia="Aptos" w:cs="Aptos"/>
          <w:szCs w:val="18"/>
        </w:rPr>
      </w:pPr>
      <w:r w:rsidRPr="00464896">
        <w:rPr>
          <w:rFonts w:eastAsia="Aptos" w:cs="Aptos"/>
          <w:szCs w:val="18"/>
        </w:rPr>
        <w:t>30</w:t>
      </w:r>
    </w:p>
    <w:p w:rsidRPr="009D5001" w:rsidR="00247260" w:rsidP="00247260" w:rsidRDefault="00247260" w14:paraId="374E345D" w14:textId="77777777">
      <w:pPr>
        <w:rPr>
          <w:rFonts w:eastAsia="Aptos" w:cs="Aptos"/>
          <w:szCs w:val="18"/>
        </w:rPr>
      </w:pPr>
      <w:r w:rsidRPr="63809FFE">
        <w:rPr>
          <w:rFonts w:eastAsia="Aptos" w:cs="Aptos"/>
          <w:szCs w:val="18"/>
        </w:rPr>
        <w:t xml:space="preserve">Wanneer is het idee van het gebruik van biomethaan precies op tafel gekomen, wie heeft dat precies ingebracht (Tata Steel Nederland, Tata Steel India, de Nederlandse Staat, of anders) en welke afwegingen lagen hieraan ten grondslag? Kunt u daar een tijdlijn van schetsen? Kunt u ons alle correspondentie sturen die te maken heeft met biomethaan en Tata Steel tussen het ministerie en externen en ook de interne correspondentie hierover sinds de onderhandelingen zijn begonnen (conform informatieplicht)? </w:t>
      </w:r>
    </w:p>
    <w:p w:rsidR="00247260" w:rsidP="00247260" w:rsidRDefault="00247260" w14:paraId="4E3BA887" w14:textId="77777777">
      <w:pPr>
        <w:rPr>
          <w:rFonts w:eastAsia="Aptos" w:cs="Aptos"/>
          <w:szCs w:val="18"/>
        </w:rPr>
      </w:pPr>
    </w:p>
    <w:p w:rsidR="00247260" w:rsidP="00247260" w:rsidRDefault="00247260" w14:paraId="61BD2D97" w14:textId="77777777">
      <w:pPr>
        <w:rPr>
          <w:rFonts w:eastAsia="Aptos" w:cs="Aptos"/>
          <w:szCs w:val="18"/>
        </w:rPr>
      </w:pPr>
      <w:r>
        <w:rPr>
          <w:rFonts w:eastAsia="Aptos" w:cs="Aptos"/>
          <w:szCs w:val="18"/>
        </w:rPr>
        <w:t xml:space="preserve">Antwoord </w:t>
      </w:r>
    </w:p>
    <w:p w:rsidR="00247260" w:rsidP="00247260" w:rsidRDefault="00247260" w14:paraId="318ADEEF" w14:textId="77777777">
      <w:pPr>
        <w:rPr>
          <w:rFonts w:eastAsia="Aptos" w:cs="Aptos"/>
          <w:szCs w:val="18"/>
        </w:rPr>
      </w:pPr>
      <w:r w:rsidRPr="62AAC949">
        <w:rPr>
          <w:rFonts w:eastAsia="Aptos" w:cs="Aptos"/>
          <w:szCs w:val="18"/>
        </w:rPr>
        <w:t>Het uitgangpunt voor de verduurzaming van TSN is nog altijd het plan van TSN: het bouwen van een DRP-EAF op groene waterstof. In landen om ons heen zien we dat staalproducenten hun verduurzamingsplannen op basis van waterstof heroverwegen (ThyssenKrupp in Duitsland), uitstellen (ArcelorMittal in België) of niet uitvoeren en de verkregen subsidie teruggeven (ArcelorMittal in Duitsland).</w:t>
      </w:r>
      <w:r>
        <w:rPr>
          <w:rFonts w:eastAsia="Aptos" w:cs="Aptos"/>
          <w:szCs w:val="18"/>
        </w:rPr>
        <w:t xml:space="preserve"> Daarnaast is de afgelopen jaren de ontwikkeling van de waterstofmarkt langzamer op gang gekomen dan eerder verwacht. Vanwege het belang om uiteindelijk over te gaan op groene energiebronnen en verdere CO</w:t>
      </w:r>
      <w:r w:rsidRPr="009C51B9">
        <w:rPr>
          <w:rFonts w:eastAsia="Aptos" w:cs="Aptos"/>
          <w:sz w:val="16"/>
          <w:szCs w:val="16"/>
        </w:rPr>
        <w:t>2</w:t>
      </w:r>
      <w:r>
        <w:rPr>
          <w:rFonts w:eastAsia="Aptos" w:cs="Aptos"/>
          <w:szCs w:val="18"/>
        </w:rPr>
        <w:t xml:space="preserve">-reductie te realiseren, is daarom door partijen onderzocht of een andere groene energiebron een mogelijkheid zou zijn.  </w:t>
      </w:r>
    </w:p>
    <w:p w:rsidR="00247260" w:rsidP="00247260" w:rsidRDefault="00247260" w14:paraId="379751F0" w14:textId="77777777">
      <w:pPr>
        <w:rPr>
          <w:rFonts w:eastAsia="Aptos" w:cs="Aptos"/>
          <w:szCs w:val="18"/>
        </w:rPr>
      </w:pPr>
    </w:p>
    <w:p w:rsidR="00247260" w:rsidP="00247260" w:rsidRDefault="00247260" w14:paraId="432F393B" w14:textId="77777777">
      <w:pPr>
        <w:rPr>
          <w:rFonts w:eastAsia="Aptos" w:cs="Aptos"/>
          <w:szCs w:val="18"/>
        </w:rPr>
      </w:pPr>
      <w:r w:rsidRPr="63809FFE">
        <w:rPr>
          <w:rFonts w:eastAsia="Aptos" w:cs="Aptos"/>
          <w:szCs w:val="18"/>
        </w:rPr>
        <w:t xml:space="preserve">In het staalproductieproces is koolstof nodig als grondstof om van ijzer staal te maken. Ook bij staalproductie op basis van waterstof is er altijd nog een koolstofbron nodig om staal te kunnen maken. Een duurzame koolstofbron hiervoor is biomethaan. Momenteel gebruikt TSN al biomethaan ter vervanging van aardgas in </w:t>
      </w:r>
      <w:r>
        <w:rPr>
          <w:rFonts w:eastAsia="Aptos" w:cs="Aptos"/>
          <w:szCs w:val="18"/>
        </w:rPr>
        <w:t xml:space="preserve">een </w:t>
      </w:r>
      <w:r w:rsidRPr="63809FFE">
        <w:rPr>
          <w:rFonts w:eastAsia="Aptos" w:cs="Aptos"/>
          <w:szCs w:val="18"/>
        </w:rPr>
        <w:t xml:space="preserve">aantal processen. TSN heeft dus al ervaring opgedaan met het aankopen en inzetten van biomethaan. </w:t>
      </w:r>
    </w:p>
    <w:p w:rsidR="00247260" w:rsidP="00247260" w:rsidRDefault="00247260" w14:paraId="05B36C7F" w14:textId="77777777">
      <w:pPr>
        <w:rPr>
          <w:rFonts w:eastAsia="Aptos" w:cs="Aptos"/>
          <w:szCs w:val="18"/>
        </w:rPr>
      </w:pPr>
    </w:p>
    <w:p w:rsidR="00247260" w:rsidP="00247260" w:rsidRDefault="00247260" w14:paraId="4F55F25E" w14:textId="77777777">
      <w:pPr>
        <w:rPr>
          <w:rFonts w:eastAsia="Aptos" w:cs="Aptos"/>
          <w:szCs w:val="18"/>
        </w:rPr>
      </w:pPr>
      <w:r>
        <w:rPr>
          <w:rFonts w:eastAsia="Aptos" w:cs="Aptos"/>
          <w:szCs w:val="18"/>
        </w:rPr>
        <w:t>De overheid ziet biomethaan als een belangrijke duurzame koolstof- en energiebron voor processen waar andere technologieën zoals elektrificatie niet toereikend zijn. Om de biomethaan-markt verder op te schalen wordt biomethaan-productie gestimuleerd middels de SDE++ en aan de afname kant komt er een bijmengverplichting voor ETS2 sectoren voor biomethaan. Daarbij, zoals de AMVI in haar advies ook onderstreept, kan de vraag van grote industriële afnemers zoals TSN ook bijdragen aan marktontwikkeling door het bieden van lange termijn afnamezekerheid aan producenten. Uit het recent door Guidehouse afgeronde onderzoek naar de lange termijn productie en inzet van biomethaan komt staal naar voren als een van de sectoren waar biomethaan een goedkoper alternatief is dan waterstof, mede door de hoogwaardige inzet als grondstof</w:t>
      </w:r>
      <w:r>
        <w:rPr>
          <w:rStyle w:val="Voetnootmarkering"/>
          <w:rFonts w:eastAsia="Aptos" w:cs="Aptos"/>
          <w:szCs w:val="18"/>
        </w:rPr>
        <w:t xml:space="preserve"> </w:t>
      </w:r>
      <w:r>
        <w:rPr>
          <w:rStyle w:val="Voetnootmarkering"/>
          <w:rFonts w:eastAsia="Aptos" w:cs="Aptos"/>
          <w:szCs w:val="18"/>
        </w:rPr>
        <w:footnoteReference w:id="9"/>
      </w:r>
      <w:r>
        <w:rPr>
          <w:rFonts w:eastAsia="Aptos" w:cs="Aptos"/>
          <w:szCs w:val="18"/>
        </w:rPr>
        <w:t xml:space="preserve">. </w:t>
      </w:r>
    </w:p>
    <w:p w:rsidR="00247260" w:rsidP="00247260" w:rsidRDefault="00247260" w14:paraId="2F3FDCC3" w14:textId="77777777">
      <w:pPr>
        <w:rPr>
          <w:rFonts w:eastAsia="Aptos" w:cs="Aptos"/>
          <w:szCs w:val="18"/>
        </w:rPr>
      </w:pPr>
    </w:p>
    <w:p w:rsidR="00247260" w:rsidP="00247260" w:rsidRDefault="00247260" w14:paraId="4004EBCC" w14:textId="77777777">
      <w:pPr>
        <w:rPr>
          <w:rFonts w:eastAsia="Aptos" w:cs="Aptos"/>
          <w:szCs w:val="18"/>
        </w:rPr>
      </w:pPr>
      <w:r>
        <w:rPr>
          <w:rFonts w:eastAsia="Aptos" w:cs="Aptos"/>
          <w:szCs w:val="18"/>
        </w:rPr>
        <w:t xml:space="preserve">Gegeven de hierboven geschetste ontwikkelingen en nieuwe inzichten is de inzet van biomethaan (naast waterstof) opgenomen in het plan van TSN. De mogelijkheid om biomethaan of waterstof in te zetten in plaats van alleen waterstof geeft meer mogelijkheden om uiteindelijk een verdere verduurzamingsslag te maken. Het is aan de onderneming om – afhankelijk van de ontwikkelingen – te kiezen voor biomethaan of groene waterstof. </w:t>
      </w:r>
    </w:p>
    <w:p w:rsidR="00247260" w:rsidP="00247260" w:rsidRDefault="00247260" w14:paraId="17D6CB7A" w14:textId="77777777">
      <w:pPr>
        <w:rPr>
          <w:rFonts w:eastAsia="Aptos" w:cs="Aptos"/>
          <w:szCs w:val="18"/>
        </w:rPr>
      </w:pPr>
    </w:p>
    <w:p w:rsidR="00247260" w:rsidP="00247260" w:rsidRDefault="00247260" w14:paraId="4F8931E7" w14:textId="62D0B0B8">
      <w:pPr>
        <w:rPr>
          <w:rFonts w:eastAsia="Aptos" w:cs="Aptos"/>
          <w:szCs w:val="18"/>
        </w:rPr>
      </w:pPr>
      <w:r>
        <w:rPr>
          <w:rFonts w:eastAsia="Aptos" w:cs="Aptos"/>
          <w:szCs w:val="18"/>
        </w:rPr>
        <w:t>Bij het versturen van de Kamerbrief over de ondertekening van de JLoI is ook het rapport van Common Futures meegestuurd</w:t>
      </w:r>
      <w:r>
        <w:rPr>
          <w:rStyle w:val="Voetnootmarkering"/>
          <w:rFonts w:eastAsia="Aptos" w:cs="Aptos"/>
          <w:szCs w:val="18"/>
        </w:rPr>
        <w:footnoteReference w:id="10"/>
      </w:r>
      <w:r>
        <w:rPr>
          <w:rFonts w:eastAsia="Aptos" w:cs="Aptos"/>
          <w:szCs w:val="18"/>
        </w:rPr>
        <w:t xml:space="preserve">. Dit rapport gaat nader in op de mogelijkheden van biomethaan. In bovengenoemd antwoord is geschetst hoe, naast de mogelijkheid van waterstof, ook de mogelijkheid van biomethaan is opgenomen in de JLoI. </w:t>
      </w:r>
      <w:r w:rsidR="009F6CF8">
        <w:rPr>
          <w:rFonts w:eastAsia="Aptos" w:cs="Aptos"/>
          <w:szCs w:val="18"/>
        </w:rPr>
        <w:t xml:space="preserve">Het is op dit moment niet mogelijk om alle correspondentie sinds de onderhandelingen over biomethaan te delen, dit zou namelijk de onderhandelingspositie van de staat kunnen benadelen.  </w:t>
      </w:r>
    </w:p>
    <w:p w:rsidR="00311F5B" w:rsidP="00247260" w:rsidRDefault="00311F5B" w14:paraId="77E5BD86" w14:textId="77777777">
      <w:pPr>
        <w:rPr>
          <w:rFonts w:eastAsia="Aptos" w:cs="Aptos"/>
          <w:szCs w:val="18"/>
        </w:rPr>
      </w:pPr>
    </w:p>
    <w:p w:rsidR="00247260" w:rsidP="00247260" w:rsidRDefault="00247260" w14:paraId="5D4C3BC4" w14:textId="45FF8D8A">
      <w:pPr>
        <w:rPr>
          <w:rFonts w:eastAsia="Aptos" w:cs="Aptos"/>
          <w:szCs w:val="18"/>
        </w:rPr>
      </w:pPr>
      <w:r w:rsidRPr="00464896">
        <w:rPr>
          <w:rFonts w:eastAsia="Aptos" w:cs="Aptos"/>
          <w:szCs w:val="18"/>
        </w:rPr>
        <w:t>31</w:t>
      </w:r>
    </w:p>
    <w:p w:rsidR="00247260" w:rsidP="00247260" w:rsidRDefault="00247260" w14:paraId="509DA7AB" w14:textId="123FAF9C">
      <w:pPr>
        <w:rPr>
          <w:rFonts w:eastAsia="Aptos" w:cs="Aptos"/>
          <w:szCs w:val="18"/>
        </w:rPr>
      </w:pPr>
      <w:r w:rsidRPr="00464896">
        <w:rPr>
          <w:rFonts w:eastAsia="Aptos" w:cs="Aptos"/>
          <w:szCs w:val="18"/>
        </w:rPr>
        <w:t xml:space="preserve">Hoe strookt de timing van deze verandering van het idee om waterstof te gebruiken naar het idee om biomethaan te gebruiken met het feit dat de technische review van het groen staalplan mid 2024 is uitgevoerd, en de economische review begin 2025 al is afgerond? Heeft Mott Macdonald daarmee de meest recente plannen beoordeeld? </w:t>
      </w:r>
    </w:p>
    <w:p w:rsidR="00247260" w:rsidP="00247260" w:rsidRDefault="00247260" w14:paraId="4B362050" w14:textId="77777777">
      <w:pPr>
        <w:rPr>
          <w:rFonts w:eastAsia="Aptos" w:cs="Aptos"/>
          <w:szCs w:val="18"/>
        </w:rPr>
      </w:pPr>
    </w:p>
    <w:p w:rsidR="00247260" w:rsidP="00247260" w:rsidRDefault="00247260" w14:paraId="76828B0E" w14:textId="77777777">
      <w:pPr>
        <w:rPr>
          <w:rFonts w:eastAsia="Aptos" w:cs="Aptos"/>
          <w:szCs w:val="18"/>
        </w:rPr>
      </w:pPr>
      <w:r>
        <w:rPr>
          <w:rFonts w:eastAsia="Aptos" w:cs="Aptos"/>
          <w:szCs w:val="18"/>
        </w:rPr>
        <w:t>Antwoord</w:t>
      </w:r>
    </w:p>
    <w:p w:rsidR="00247260" w:rsidP="00247260" w:rsidRDefault="00247260" w14:paraId="091D8ACE" w14:textId="77777777">
      <w:pPr>
        <w:rPr>
          <w:rFonts w:eastAsia="Aptos" w:cs="Aptos"/>
          <w:szCs w:val="18"/>
        </w:rPr>
      </w:pPr>
      <w:r w:rsidRPr="63809FFE">
        <w:rPr>
          <w:rFonts w:eastAsia="Aptos" w:cs="Aptos"/>
          <w:szCs w:val="18"/>
        </w:rPr>
        <w:t xml:space="preserve">De technische en financiële adviseurs van de staat hebben hun reviews </w:t>
      </w:r>
      <w:r>
        <w:rPr>
          <w:rFonts w:eastAsia="Aptos" w:cs="Aptos"/>
          <w:szCs w:val="18"/>
        </w:rPr>
        <w:t xml:space="preserve">voortdurend </w:t>
      </w:r>
      <w:r w:rsidRPr="63809FFE">
        <w:rPr>
          <w:rFonts w:eastAsia="Aptos" w:cs="Aptos"/>
          <w:szCs w:val="18"/>
        </w:rPr>
        <w:t>gedaan</w:t>
      </w:r>
      <w:r>
        <w:rPr>
          <w:rFonts w:eastAsia="Aptos" w:cs="Aptos"/>
          <w:szCs w:val="18"/>
        </w:rPr>
        <w:t xml:space="preserve">, en dus ook </w:t>
      </w:r>
      <w:r w:rsidRPr="63809FFE">
        <w:rPr>
          <w:rFonts w:eastAsia="Aptos" w:cs="Aptos"/>
          <w:szCs w:val="18"/>
        </w:rPr>
        <w:t>op basis van de laatste</w:t>
      </w:r>
      <w:r>
        <w:rPr>
          <w:rFonts w:eastAsia="Aptos" w:cs="Aptos"/>
          <w:szCs w:val="18"/>
        </w:rPr>
        <w:t>, doorontwikkelde</w:t>
      </w:r>
      <w:r w:rsidRPr="63809FFE">
        <w:rPr>
          <w:rFonts w:eastAsia="Aptos" w:cs="Aptos"/>
          <w:szCs w:val="18"/>
        </w:rPr>
        <w:t xml:space="preserve"> versie </w:t>
      </w:r>
      <w:r w:rsidRPr="63809FFE">
        <w:rPr>
          <w:rFonts w:eastAsia="Aptos" w:cs="Aptos"/>
          <w:szCs w:val="18"/>
        </w:rPr>
        <w:lastRenderedPageBreak/>
        <w:t>van de plannen, zoals deze ook in de JLoI zijn opgenomen. De DRP-EAF is flexibel voor wat betreft het gebruik van aardgas, waterstof en biomethaan. Omdat aardgas en biomethaan chemisch exact hetzelfde zijn heeft een aanpassing van gebruikte volumes geen invloed op de technische review. Waterstof is sinds het begin van dit traject onderdeel van de plannen en is ook meegenomen in de technische review. De review van de te behalen CO2-reductie met biomethaan was onderdeel van de environmental review van begin 2025.</w:t>
      </w:r>
    </w:p>
    <w:p w:rsidRPr="00AA1B1A" w:rsidR="00247260" w:rsidP="00247260" w:rsidRDefault="00247260" w14:paraId="4D62B7E8" w14:textId="77777777">
      <w:pPr>
        <w:rPr>
          <w:rFonts w:eastAsia="Aptos" w:cs="Aptos"/>
          <w:szCs w:val="18"/>
        </w:rPr>
      </w:pPr>
    </w:p>
    <w:p w:rsidR="00247260" w:rsidP="00247260" w:rsidRDefault="00247260" w14:paraId="5F362C86" w14:textId="77777777">
      <w:pPr>
        <w:rPr>
          <w:rFonts w:eastAsia="Aptos" w:cs="Aptos"/>
          <w:szCs w:val="18"/>
        </w:rPr>
      </w:pPr>
      <w:r w:rsidRPr="00464896">
        <w:rPr>
          <w:rFonts w:eastAsia="Aptos" w:cs="Aptos"/>
          <w:szCs w:val="18"/>
        </w:rPr>
        <w:t>32</w:t>
      </w:r>
    </w:p>
    <w:p w:rsidR="00247260" w:rsidP="00247260" w:rsidRDefault="00247260" w14:paraId="3C570A70" w14:textId="77777777">
      <w:pPr>
        <w:rPr>
          <w:rFonts w:eastAsia="Aptos" w:cs="Aptos"/>
          <w:szCs w:val="18"/>
        </w:rPr>
      </w:pPr>
      <w:r w:rsidRPr="00464896">
        <w:rPr>
          <w:rFonts w:eastAsia="Aptos" w:cs="Aptos"/>
          <w:szCs w:val="18"/>
        </w:rPr>
        <w:t>Heeft u de uitspraken van de CFO van Tata Steel Limited tijdens de earnings call van 6 november 2025 voorgelegd aan Tata Steel Nederland met het verzoek om opheldering? Zo ja, wat was de reactie? Zo nee, bent u bereid dit alsnog te doen en de Kamer over de uitkomst te informeren?</w:t>
      </w:r>
    </w:p>
    <w:p w:rsidR="00247260" w:rsidP="00247260" w:rsidRDefault="00247260" w14:paraId="72384AE5" w14:textId="77777777">
      <w:pPr>
        <w:rPr>
          <w:rFonts w:eastAsia="Aptos" w:cs="Aptos"/>
          <w:szCs w:val="18"/>
        </w:rPr>
      </w:pPr>
    </w:p>
    <w:p w:rsidR="00247260" w:rsidP="00247260" w:rsidRDefault="00247260" w14:paraId="749E15B8" w14:textId="77777777">
      <w:pPr>
        <w:rPr>
          <w:rFonts w:eastAsia="Aptos" w:cs="Aptos"/>
          <w:szCs w:val="18"/>
        </w:rPr>
      </w:pPr>
      <w:r>
        <w:rPr>
          <w:rFonts w:eastAsia="Aptos" w:cs="Aptos"/>
          <w:szCs w:val="18"/>
        </w:rPr>
        <w:t>Antwoord</w:t>
      </w:r>
    </w:p>
    <w:p w:rsidR="00247260" w:rsidP="00247260" w:rsidRDefault="00247260" w14:paraId="6FB42EA6" w14:textId="77777777">
      <w:pPr>
        <w:rPr>
          <w:rFonts w:eastAsia="Aptos" w:cs="Aptos"/>
          <w:szCs w:val="18"/>
        </w:rPr>
      </w:pPr>
      <w:r w:rsidRPr="63809FFE">
        <w:rPr>
          <w:rFonts w:eastAsia="Aptos" w:cs="Aptos"/>
          <w:szCs w:val="18"/>
        </w:rPr>
        <w:t>De uitspraken die TSN en TSL in dit soort bijeenkomsten voor aandeelhouders doen zijn aan hen. De in de JLoI vastgelegde doelen, projecten en het financiële kader zijn overeengekomen door  alle partijen. Op basis hiervan wordt de definitieve maatwerkafspraak uit onderhandeld.</w:t>
      </w:r>
    </w:p>
    <w:p w:rsidRPr="00464896" w:rsidR="00247260" w:rsidP="00247260" w:rsidRDefault="00247260" w14:paraId="6E6E8B6A" w14:textId="77777777">
      <w:pPr>
        <w:rPr>
          <w:rFonts w:eastAsia="Aptos" w:cs="Aptos"/>
          <w:szCs w:val="18"/>
        </w:rPr>
      </w:pPr>
    </w:p>
    <w:p w:rsidR="00247260" w:rsidP="00247260" w:rsidRDefault="00247260" w14:paraId="21E75E1E" w14:textId="77777777">
      <w:pPr>
        <w:rPr>
          <w:rFonts w:eastAsia="Aptos" w:cs="Aptos"/>
          <w:szCs w:val="18"/>
        </w:rPr>
      </w:pPr>
      <w:r w:rsidRPr="00464896">
        <w:rPr>
          <w:rFonts w:eastAsia="Aptos" w:cs="Aptos"/>
          <w:szCs w:val="18"/>
        </w:rPr>
        <w:t>33</w:t>
      </w:r>
    </w:p>
    <w:p w:rsidR="00247260" w:rsidP="00247260" w:rsidRDefault="00247260" w14:paraId="44125B12" w14:textId="77777777">
      <w:pPr>
        <w:rPr>
          <w:rFonts w:eastAsia="Aptos" w:cs="Aptos"/>
          <w:szCs w:val="18"/>
        </w:rPr>
      </w:pPr>
      <w:r w:rsidRPr="00464896">
        <w:rPr>
          <w:rFonts w:eastAsia="Aptos" w:cs="Aptos"/>
          <w:szCs w:val="18"/>
        </w:rPr>
        <w:t xml:space="preserve">Is het een voorwaarde voor de uitkering van de maatwerksubsidie van 200 miljoen euro dat Tata Steel biomethaan of groene waterstof fysiek bijmengt in de installaties? Is het ook toegestaan dat Tata Steel met die subsidie groencertificaten inkoopt uit het buitenland? Zo ja, hoe draagt dit dan bij aan het behalen van de Nederlandse klimaat- en biodiversiteitsdoelen? </w:t>
      </w:r>
    </w:p>
    <w:p w:rsidR="00247260" w:rsidP="00247260" w:rsidRDefault="00247260" w14:paraId="0F3CA7E5" w14:textId="77777777">
      <w:pPr>
        <w:rPr>
          <w:rFonts w:eastAsia="Aptos" w:cs="Aptos"/>
          <w:szCs w:val="18"/>
        </w:rPr>
      </w:pPr>
    </w:p>
    <w:p w:rsidR="00247260" w:rsidP="00247260" w:rsidRDefault="00247260" w14:paraId="2501B451" w14:textId="77777777">
      <w:pPr>
        <w:rPr>
          <w:rFonts w:eastAsia="Aptos" w:cs="Aptos"/>
          <w:szCs w:val="18"/>
        </w:rPr>
      </w:pPr>
      <w:r>
        <w:rPr>
          <w:rFonts w:eastAsia="Aptos" w:cs="Aptos"/>
          <w:szCs w:val="18"/>
        </w:rPr>
        <w:t xml:space="preserve">Antwoord </w:t>
      </w:r>
    </w:p>
    <w:p w:rsidR="00EE3B5C" w:rsidP="007E3CEE" w:rsidRDefault="007E3CEE" w14:paraId="42E2A808" w14:textId="17D13FA5">
      <w:pPr>
        <w:rPr>
          <w:rFonts w:eastAsia="Aptos" w:cs="Aptos"/>
          <w:szCs w:val="18"/>
        </w:rPr>
      </w:pPr>
      <w:r w:rsidRPr="63809FFE">
        <w:rPr>
          <w:rFonts w:eastAsia="Aptos" w:cs="Aptos"/>
          <w:szCs w:val="18"/>
        </w:rPr>
        <w:t>Nee, dat is geen voorwaarde. TSN mag ook gebruik maken van certificaten en inkopen uit het buitenland</w:t>
      </w:r>
      <w:r>
        <w:rPr>
          <w:rFonts w:eastAsia="Aptos" w:cs="Aptos"/>
          <w:szCs w:val="18"/>
        </w:rPr>
        <w:t xml:space="preserve">. </w:t>
      </w:r>
      <w:r w:rsidR="00EE3B5C">
        <w:rPr>
          <w:rFonts w:eastAsia="Aptos" w:cs="Aptos"/>
          <w:szCs w:val="18"/>
        </w:rPr>
        <w:t xml:space="preserve">Zie verder het antwoord op vraag </w:t>
      </w:r>
      <w:r w:rsidR="003269EB">
        <w:rPr>
          <w:rFonts w:eastAsia="Aptos" w:cs="Aptos"/>
          <w:szCs w:val="18"/>
        </w:rPr>
        <w:t xml:space="preserve">28 en </w:t>
      </w:r>
      <w:r w:rsidR="00EE3B5C">
        <w:rPr>
          <w:rFonts w:eastAsia="Aptos" w:cs="Aptos"/>
          <w:szCs w:val="18"/>
        </w:rPr>
        <w:t>29.</w:t>
      </w:r>
    </w:p>
    <w:p w:rsidRPr="00464896" w:rsidR="00247260" w:rsidP="00247260" w:rsidRDefault="00247260" w14:paraId="3F7B5E5B" w14:textId="77777777">
      <w:pPr>
        <w:rPr>
          <w:rFonts w:eastAsia="Aptos" w:cs="Aptos"/>
          <w:szCs w:val="18"/>
        </w:rPr>
      </w:pPr>
    </w:p>
    <w:p w:rsidR="00247260" w:rsidP="00247260" w:rsidRDefault="00247260" w14:paraId="7ADFAE82" w14:textId="77777777">
      <w:pPr>
        <w:rPr>
          <w:rFonts w:eastAsia="Aptos" w:cs="Aptos"/>
          <w:szCs w:val="18"/>
        </w:rPr>
      </w:pPr>
      <w:r w:rsidRPr="00464896">
        <w:rPr>
          <w:rFonts w:eastAsia="Aptos" w:cs="Aptos"/>
          <w:szCs w:val="18"/>
        </w:rPr>
        <w:t>34</w:t>
      </w:r>
    </w:p>
    <w:p w:rsidR="00247260" w:rsidP="00247260" w:rsidRDefault="00247260" w14:paraId="7236AF2E" w14:textId="77777777">
      <w:pPr>
        <w:rPr>
          <w:rFonts w:eastAsia="Aptos" w:cs="Aptos"/>
          <w:szCs w:val="18"/>
        </w:rPr>
      </w:pPr>
      <w:r w:rsidRPr="00464896">
        <w:rPr>
          <w:rFonts w:eastAsia="Aptos" w:cs="Aptos"/>
          <w:szCs w:val="18"/>
        </w:rPr>
        <w:t>Kan Tata Steel aanspraak maken op de SDE++ of andere subsidieregelingen voor het eventueel inkopen van groencertificaten voor biomethaan of groene waterstof?</w:t>
      </w:r>
    </w:p>
    <w:p w:rsidR="00247260" w:rsidP="00247260" w:rsidRDefault="00247260" w14:paraId="36EB5E97" w14:textId="77777777">
      <w:pPr>
        <w:rPr>
          <w:rFonts w:eastAsia="Aptos" w:cs="Aptos"/>
          <w:szCs w:val="18"/>
        </w:rPr>
      </w:pPr>
    </w:p>
    <w:p w:rsidR="00247260" w:rsidP="00247260" w:rsidRDefault="00247260" w14:paraId="7E988977" w14:textId="77777777">
      <w:pPr>
        <w:rPr>
          <w:rFonts w:eastAsia="Aptos" w:cs="Aptos"/>
          <w:szCs w:val="18"/>
        </w:rPr>
      </w:pPr>
      <w:r>
        <w:rPr>
          <w:rFonts w:eastAsia="Aptos" w:cs="Aptos"/>
          <w:szCs w:val="18"/>
        </w:rPr>
        <w:t xml:space="preserve">Antwoord </w:t>
      </w:r>
    </w:p>
    <w:p w:rsidRPr="00464896" w:rsidR="00247260" w:rsidP="00247260" w:rsidRDefault="00247260" w14:paraId="3CDE866D" w14:textId="6E6FD114">
      <w:pPr>
        <w:rPr>
          <w:rFonts w:eastAsia="Aptos" w:cs="Aptos"/>
          <w:szCs w:val="18"/>
        </w:rPr>
      </w:pPr>
      <w:r>
        <w:rPr>
          <w:rFonts w:eastAsia="Aptos" w:cs="Aptos"/>
          <w:szCs w:val="18"/>
        </w:rPr>
        <w:t xml:space="preserve">De SDE++ is een exploitatiesubsidie en kan zodoende niet worden gebruikt om biomethaan of groene waterstof aan te kopen. TSN krijgt een maatwerksubsidie voor de aankoop van (gecertificeerde) biomethaan en/of groene waterstof (de lening van 200 miljoen euro). Binnen de geldende staatssteunkaders is het niet toegestaan om dezelfde kosten dubbel te financieren met verschillende subsidies. RVO voert altijd een cumulatietoets uit, waarmee getoetst wordt of er sprake is van overstimulering. Dit zal ook worden gedaan als er een aanvraag komt voor steun vanuit een andere regeling voor de aankoop van groencertificaten. Indien een deel toch gesubsidieerd kan worden, zal de subsidie nooit hoger zijn dan het toegestane plafond. </w:t>
      </w:r>
    </w:p>
    <w:p w:rsidR="00247260" w:rsidP="00247260" w:rsidRDefault="00247260" w14:paraId="3FD7E887" w14:textId="77777777">
      <w:pPr>
        <w:rPr>
          <w:rFonts w:eastAsia="Aptos" w:cs="Aptos"/>
          <w:szCs w:val="18"/>
        </w:rPr>
      </w:pPr>
    </w:p>
    <w:p w:rsidR="00016D70" w:rsidRDefault="00016D70" w14:paraId="79219B46" w14:textId="77777777">
      <w:pPr>
        <w:spacing w:line="240" w:lineRule="auto"/>
        <w:rPr>
          <w:rFonts w:eastAsia="Aptos" w:cs="Aptos"/>
          <w:szCs w:val="18"/>
        </w:rPr>
      </w:pPr>
      <w:r>
        <w:rPr>
          <w:rFonts w:eastAsia="Aptos" w:cs="Aptos"/>
          <w:szCs w:val="18"/>
        </w:rPr>
        <w:br w:type="page"/>
      </w:r>
    </w:p>
    <w:p w:rsidR="00247260" w:rsidP="00247260" w:rsidRDefault="00247260" w14:paraId="59005038" w14:textId="756685A2">
      <w:pPr>
        <w:rPr>
          <w:rFonts w:eastAsia="Aptos" w:cs="Aptos"/>
          <w:szCs w:val="18"/>
        </w:rPr>
      </w:pPr>
      <w:r w:rsidRPr="00464896">
        <w:rPr>
          <w:rFonts w:eastAsia="Aptos" w:cs="Aptos"/>
          <w:szCs w:val="18"/>
        </w:rPr>
        <w:lastRenderedPageBreak/>
        <w:t>35</w:t>
      </w:r>
    </w:p>
    <w:p w:rsidR="00247260" w:rsidP="00247260" w:rsidRDefault="00247260" w14:paraId="7C1251A0" w14:textId="77777777">
      <w:pPr>
        <w:rPr>
          <w:rFonts w:eastAsia="Aptos" w:cs="Aptos"/>
          <w:szCs w:val="18"/>
        </w:rPr>
      </w:pPr>
      <w:r w:rsidRPr="00464896">
        <w:rPr>
          <w:rFonts w:eastAsia="Aptos" w:cs="Aptos"/>
          <w:szCs w:val="18"/>
        </w:rPr>
        <w:t xml:space="preserve">Hoe beoordeelt u dit risico op precedentwerking, zoals gesteld in het ESB artikel: "Als Tata bijvoorbeeld een uitzondering krijgt op de nationale CO₂-heffing, hoe kan een nieuw kabinet dan andere bedrijven een nationale heffing opleggen?" </w:t>
      </w:r>
    </w:p>
    <w:p w:rsidR="00247260" w:rsidP="00247260" w:rsidRDefault="00247260" w14:paraId="65D26CCC" w14:textId="77777777">
      <w:pPr>
        <w:rPr>
          <w:rFonts w:eastAsia="Aptos" w:cs="Aptos"/>
          <w:szCs w:val="18"/>
        </w:rPr>
      </w:pPr>
    </w:p>
    <w:p w:rsidR="00247260" w:rsidP="00247260" w:rsidRDefault="00247260" w14:paraId="54A4A9BF" w14:textId="77777777">
      <w:pPr>
        <w:rPr>
          <w:rFonts w:eastAsia="Aptos" w:cs="Aptos"/>
          <w:szCs w:val="18"/>
        </w:rPr>
      </w:pPr>
      <w:r>
        <w:rPr>
          <w:rFonts w:eastAsia="Aptos" w:cs="Aptos"/>
          <w:szCs w:val="18"/>
        </w:rPr>
        <w:t xml:space="preserve">Antwoord </w:t>
      </w:r>
    </w:p>
    <w:p w:rsidRPr="006E6D66" w:rsidR="00247260" w:rsidP="00247260" w:rsidRDefault="00CC44F6" w14:paraId="4C10E3D8" w14:textId="2AFEFD17">
      <w:pPr>
        <w:rPr>
          <w:rFonts w:eastAsia="Aptos" w:cs="Aptos"/>
          <w:szCs w:val="18"/>
        </w:rPr>
      </w:pPr>
      <w:r>
        <w:rPr>
          <w:rFonts w:eastAsia="Aptos" w:cs="Aptos"/>
          <w:szCs w:val="18"/>
        </w:rPr>
        <w:t>Zie v</w:t>
      </w:r>
      <w:r w:rsidRPr="1A78003A" w:rsidR="00247260">
        <w:rPr>
          <w:rFonts w:eastAsia="Aptos" w:cs="Aptos"/>
          <w:szCs w:val="18"/>
        </w:rPr>
        <w:t>oor dit antwoord de inleidende tekst onder antwoord</w:t>
      </w:r>
      <w:r w:rsidR="00247260">
        <w:rPr>
          <w:rFonts w:eastAsia="Aptos" w:cs="Aptos"/>
          <w:szCs w:val="18"/>
        </w:rPr>
        <w:t xml:space="preserve"> 1</w:t>
      </w:r>
      <w:r w:rsidRPr="1A78003A" w:rsidR="00247260">
        <w:rPr>
          <w:rFonts w:eastAsia="Aptos" w:cs="Aptos"/>
          <w:szCs w:val="18"/>
        </w:rPr>
        <w:t xml:space="preserve">. Er is geen sprake van dat TSN een uitzondering zou kunnen krijgen op de nationale CO2-heffing. Het beleid rondom deze heffing heeft een generieke werking die van toepassing is op alle bedrijven. Indien (nieuw) beleid op dit punt leidt tot een </w:t>
      </w:r>
      <w:r w:rsidR="00247260">
        <w:rPr>
          <w:rFonts w:eastAsia="Aptos" w:cs="Aptos"/>
          <w:szCs w:val="18"/>
        </w:rPr>
        <w:t xml:space="preserve">substantiële </w:t>
      </w:r>
      <w:r w:rsidRPr="1A78003A" w:rsidR="00247260">
        <w:rPr>
          <w:rFonts w:eastAsia="Aptos" w:cs="Aptos"/>
          <w:szCs w:val="18"/>
        </w:rPr>
        <w:t xml:space="preserve">negatieve impact op de businesscase van TSN, is het aan TSN om een afweging te maken of zij de JLoI op willen zeggen op basis van deze opzeggrond. </w:t>
      </w:r>
    </w:p>
    <w:p w:rsidR="00247260" w:rsidP="00247260" w:rsidRDefault="00247260" w14:paraId="3F01BF0B" w14:textId="77777777">
      <w:pPr>
        <w:rPr>
          <w:rFonts w:eastAsia="Aptos" w:cs="Aptos"/>
          <w:szCs w:val="18"/>
        </w:rPr>
      </w:pPr>
    </w:p>
    <w:p w:rsidR="00247260" w:rsidP="00247260" w:rsidRDefault="00247260" w14:paraId="410AE036" w14:textId="77777777">
      <w:pPr>
        <w:rPr>
          <w:rFonts w:eastAsia="Aptos" w:cs="Aptos"/>
          <w:szCs w:val="18"/>
        </w:rPr>
      </w:pPr>
      <w:r w:rsidRPr="00464896">
        <w:rPr>
          <w:rFonts w:eastAsia="Aptos" w:cs="Aptos"/>
          <w:szCs w:val="18"/>
        </w:rPr>
        <w:t>3</w:t>
      </w:r>
      <w:r>
        <w:rPr>
          <w:rFonts w:eastAsia="Aptos" w:cs="Aptos"/>
          <w:szCs w:val="18"/>
        </w:rPr>
        <w:t>6</w:t>
      </w:r>
      <w:r w:rsidRPr="00464896">
        <w:rPr>
          <w:rFonts w:eastAsia="Aptos" w:cs="Aptos"/>
          <w:szCs w:val="18"/>
        </w:rPr>
        <w:t xml:space="preserve"> </w:t>
      </w:r>
    </w:p>
    <w:p w:rsidRPr="00932457" w:rsidR="00247260" w:rsidP="00247260" w:rsidRDefault="00247260" w14:paraId="594861F0" w14:textId="77777777">
      <w:pPr>
        <w:rPr>
          <w:rFonts w:eastAsia="Aptos" w:cs="Aptos"/>
          <w:szCs w:val="18"/>
        </w:rPr>
      </w:pPr>
      <w:r w:rsidRPr="00932457">
        <w:rPr>
          <w:rFonts w:eastAsia="Aptos" w:cs="Aptos"/>
          <w:szCs w:val="18"/>
        </w:rPr>
        <w:t xml:space="preserve">Overweegt u een tegemoetkoming voor alleen Tata van netwerkkosten en de CO2-heffing, of zou dit altijd voor alle bedrijven gelden? </w:t>
      </w:r>
    </w:p>
    <w:p w:rsidRPr="00932457" w:rsidR="00247260" w:rsidP="00247260" w:rsidRDefault="00247260" w14:paraId="48E22AB9" w14:textId="77777777">
      <w:pPr>
        <w:rPr>
          <w:rFonts w:eastAsia="Aptos" w:cs="Aptos"/>
          <w:szCs w:val="18"/>
        </w:rPr>
      </w:pPr>
    </w:p>
    <w:p w:rsidR="00247260" w:rsidP="00247260" w:rsidRDefault="00247260" w14:paraId="278DE2AF" w14:textId="77777777">
      <w:pPr>
        <w:rPr>
          <w:rFonts w:eastAsia="Aptos" w:cs="Aptos"/>
          <w:szCs w:val="18"/>
        </w:rPr>
      </w:pPr>
      <w:r w:rsidRPr="00932457">
        <w:rPr>
          <w:rFonts w:eastAsia="Aptos" w:cs="Aptos"/>
          <w:szCs w:val="18"/>
        </w:rPr>
        <w:t xml:space="preserve">Antwoord </w:t>
      </w:r>
    </w:p>
    <w:p w:rsidRPr="00464896" w:rsidR="00247260" w:rsidP="00247260" w:rsidRDefault="00247260" w14:paraId="093E277F" w14:textId="77777777">
      <w:pPr>
        <w:rPr>
          <w:rFonts w:eastAsia="Aptos" w:cs="Aptos"/>
          <w:szCs w:val="18"/>
        </w:rPr>
      </w:pPr>
      <w:r>
        <w:rPr>
          <w:rFonts w:eastAsia="Aptos" w:cs="Aptos"/>
          <w:szCs w:val="18"/>
        </w:rPr>
        <w:t>Er wordt</w:t>
      </w:r>
      <w:r w:rsidRPr="63809FFE">
        <w:rPr>
          <w:rFonts w:eastAsia="Aptos" w:cs="Aptos"/>
          <w:szCs w:val="18"/>
        </w:rPr>
        <w:t xml:space="preserve"> geen specifieke tegemoetkoming aan TSN voor de netwerkkosten en de CO2-heffing overwogen, omdat het generiek beleid betreft dat voor alle bedrijven binnen een sector geldt. Een oplossing zal dus altijd gevonden moeten worden via een generieke beleidswijziging, zie ook het antwoord op vraag 1. </w:t>
      </w:r>
    </w:p>
    <w:p w:rsidR="00247260" w:rsidP="00247260" w:rsidRDefault="00247260" w14:paraId="307DF766" w14:textId="77777777">
      <w:pPr>
        <w:rPr>
          <w:rFonts w:eastAsia="Aptos" w:cs="Aptos"/>
          <w:szCs w:val="18"/>
        </w:rPr>
      </w:pPr>
    </w:p>
    <w:p w:rsidR="00247260" w:rsidP="00247260" w:rsidRDefault="00247260" w14:paraId="6B88C9BC" w14:textId="77777777">
      <w:pPr>
        <w:rPr>
          <w:rFonts w:eastAsia="Aptos" w:cs="Aptos"/>
          <w:szCs w:val="18"/>
        </w:rPr>
      </w:pPr>
      <w:r w:rsidRPr="00464896">
        <w:rPr>
          <w:rFonts w:eastAsia="Aptos" w:cs="Aptos"/>
          <w:szCs w:val="18"/>
        </w:rPr>
        <w:t>37</w:t>
      </w:r>
    </w:p>
    <w:p w:rsidRPr="00464896" w:rsidR="00247260" w:rsidP="00247260" w:rsidRDefault="00247260" w14:paraId="79B02EA6" w14:textId="77777777">
      <w:pPr>
        <w:rPr>
          <w:rFonts w:eastAsia="Aptos" w:cs="Aptos"/>
          <w:szCs w:val="18"/>
        </w:rPr>
      </w:pPr>
      <w:r w:rsidRPr="00464896">
        <w:rPr>
          <w:rFonts w:eastAsia="Aptos" w:cs="Aptos"/>
          <w:szCs w:val="18"/>
        </w:rPr>
        <w:t xml:space="preserve">Heeft het kabinet een impactanalyse gemaakt van de precedentwerking van de Tata-deal voor andere maatwerkafspraken? Zo ja, kunt u deze met de Kamer delen? </w:t>
      </w:r>
    </w:p>
    <w:p w:rsidR="00247260" w:rsidP="00247260" w:rsidRDefault="00247260" w14:paraId="76FA9228" w14:textId="77777777">
      <w:pPr>
        <w:rPr>
          <w:rFonts w:eastAsia="Aptos" w:cs="Aptos"/>
          <w:szCs w:val="18"/>
        </w:rPr>
      </w:pPr>
    </w:p>
    <w:p w:rsidR="00247260" w:rsidP="00247260" w:rsidRDefault="00247260" w14:paraId="05C6127A" w14:textId="77777777">
      <w:pPr>
        <w:rPr>
          <w:rFonts w:eastAsia="Aptos" w:cs="Aptos"/>
          <w:szCs w:val="18"/>
        </w:rPr>
      </w:pPr>
      <w:r w:rsidRPr="43BC90BD">
        <w:rPr>
          <w:rFonts w:eastAsia="Aptos" w:cs="Aptos"/>
          <w:szCs w:val="18"/>
        </w:rPr>
        <w:t>Antwoord</w:t>
      </w:r>
    </w:p>
    <w:p w:rsidR="00247260" w:rsidP="00247260" w:rsidRDefault="00247260" w14:paraId="1ABF953C" w14:textId="576AD000">
      <w:pPr>
        <w:rPr>
          <w:rFonts w:eastAsia="Aptos" w:cs="Aptos"/>
          <w:szCs w:val="18"/>
        </w:rPr>
      </w:pPr>
      <w:r w:rsidRPr="1A78003A">
        <w:rPr>
          <w:rFonts w:eastAsia="Aptos" w:cs="Aptos"/>
          <w:szCs w:val="18"/>
        </w:rPr>
        <w:t xml:space="preserve">De steuncasus voor </w:t>
      </w:r>
      <w:r>
        <w:rPr>
          <w:rFonts w:eastAsia="Aptos" w:cs="Aptos"/>
          <w:szCs w:val="18"/>
        </w:rPr>
        <w:t>TSN</w:t>
      </w:r>
      <w:r w:rsidRPr="1A78003A">
        <w:rPr>
          <w:rFonts w:eastAsia="Aptos" w:cs="Aptos"/>
          <w:szCs w:val="18"/>
        </w:rPr>
        <w:t xml:space="preserve"> </w:t>
      </w:r>
      <w:r>
        <w:rPr>
          <w:rFonts w:eastAsia="Aptos" w:cs="Aptos"/>
          <w:szCs w:val="18"/>
        </w:rPr>
        <w:t>is</w:t>
      </w:r>
      <w:r w:rsidRPr="1A78003A">
        <w:rPr>
          <w:rFonts w:eastAsia="Aptos" w:cs="Aptos"/>
          <w:szCs w:val="18"/>
        </w:rPr>
        <w:t xml:space="preserve"> dermate specifiek (er zijn geen andere (staal)fabrikanten </w:t>
      </w:r>
      <w:r>
        <w:rPr>
          <w:rFonts w:eastAsia="Aptos" w:cs="Aptos"/>
          <w:szCs w:val="18"/>
        </w:rPr>
        <w:t xml:space="preserve">of maatwerkbedrijven </w:t>
      </w:r>
      <w:r w:rsidRPr="1A78003A">
        <w:rPr>
          <w:rFonts w:eastAsia="Aptos" w:cs="Aptos"/>
          <w:szCs w:val="18"/>
        </w:rPr>
        <w:t xml:space="preserve">in Nederland die een soortgelijke CO2-reductie kunnen realiseren), dat een definitieve maatwerkafspraak niet kan worden gekopieerd naar andere gevallen en de precedentwerking van de afspraken op nihil wordt ingeschat. </w:t>
      </w:r>
    </w:p>
    <w:p w:rsidR="00247260" w:rsidP="00247260" w:rsidRDefault="00247260" w14:paraId="42CCDA24" w14:textId="77777777">
      <w:pPr>
        <w:rPr>
          <w:rFonts w:eastAsia="Aptos" w:cs="Aptos"/>
          <w:szCs w:val="18"/>
        </w:rPr>
      </w:pPr>
    </w:p>
    <w:p w:rsidR="00247260" w:rsidP="00247260" w:rsidRDefault="00247260" w14:paraId="47D96B86" w14:textId="77777777">
      <w:pPr>
        <w:rPr>
          <w:rFonts w:eastAsia="Aptos" w:cs="Aptos"/>
          <w:szCs w:val="18"/>
        </w:rPr>
      </w:pPr>
      <w:r w:rsidRPr="00464896">
        <w:rPr>
          <w:rFonts w:eastAsia="Aptos" w:cs="Aptos"/>
          <w:szCs w:val="18"/>
        </w:rPr>
        <w:t>38</w:t>
      </w:r>
    </w:p>
    <w:p w:rsidR="00247260" w:rsidP="00247260" w:rsidRDefault="00247260" w14:paraId="7AFEC25A" w14:textId="77777777">
      <w:pPr>
        <w:rPr>
          <w:rFonts w:eastAsia="Aptos" w:cs="Aptos"/>
          <w:szCs w:val="18"/>
        </w:rPr>
      </w:pPr>
      <w:r w:rsidRPr="00464896">
        <w:rPr>
          <w:rFonts w:eastAsia="Aptos" w:cs="Aptos"/>
          <w:szCs w:val="18"/>
        </w:rPr>
        <w:t xml:space="preserve">Op welke gronden kunt u een verzoek van een ander bedrijf om dezelfde opzeggronden als Tata Steel (netwerkkosten, CO2-heffing) afwijzen zonder in strijd te handelen met het gelijkheidsbeginsel? </w:t>
      </w:r>
    </w:p>
    <w:p w:rsidR="00247260" w:rsidP="00247260" w:rsidRDefault="00247260" w14:paraId="1A72EC43" w14:textId="77777777">
      <w:pPr>
        <w:rPr>
          <w:rFonts w:eastAsia="Aptos" w:cs="Aptos"/>
          <w:szCs w:val="18"/>
        </w:rPr>
      </w:pPr>
    </w:p>
    <w:p w:rsidRPr="009B5638" w:rsidR="00247260" w:rsidP="00247260" w:rsidRDefault="00247260" w14:paraId="45DE79AA" w14:textId="299FDF49">
      <w:pPr>
        <w:rPr>
          <w:rFonts w:eastAsia="Aptos" w:cs="Aptos"/>
          <w:szCs w:val="18"/>
        </w:rPr>
      </w:pPr>
      <w:r w:rsidRPr="63809FFE">
        <w:rPr>
          <w:rFonts w:eastAsia="Aptos" w:cs="Aptos"/>
          <w:szCs w:val="18"/>
        </w:rPr>
        <w:t xml:space="preserve">Antwoord </w:t>
      </w:r>
      <w:r>
        <w:br/>
      </w:r>
      <w:r w:rsidR="00232167">
        <w:rPr>
          <w:rFonts w:eastAsia="Aptos" w:cs="Aptos"/>
          <w:szCs w:val="18"/>
        </w:rPr>
        <w:t>Er wordt geen uitzondering gemaakt voor een bedrijf</w:t>
      </w:r>
      <w:r w:rsidR="00E137D4">
        <w:rPr>
          <w:rFonts w:eastAsia="Aptos" w:cs="Aptos"/>
          <w:szCs w:val="18"/>
        </w:rPr>
        <w:t xml:space="preserve"> in de maatwerkaanpak</w:t>
      </w:r>
      <w:r w:rsidR="00E16F72">
        <w:rPr>
          <w:rFonts w:eastAsia="Aptos" w:cs="Aptos"/>
          <w:szCs w:val="18"/>
        </w:rPr>
        <w:t xml:space="preserve">. </w:t>
      </w:r>
      <w:r w:rsidR="000D370F">
        <w:rPr>
          <w:rFonts w:eastAsia="Aptos" w:cs="Aptos"/>
          <w:szCs w:val="18"/>
        </w:rPr>
        <w:t xml:space="preserve">Met bedrijven die onderdeel zijn van de maatwerkaanpak wordt gesproken over </w:t>
      </w:r>
      <w:r>
        <w:rPr>
          <w:rFonts w:eastAsia="Aptos" w:cs="Aptos"/>
          <w:szCs w:val="18"/>
        </w:rPr>
        <w:t xml:space="preserve">de </w:t>
      </w:r>
      <w:r w:rsidR="000856A2">
        <w:rPr>
          <w:rFonts w:eastAsia="Aptos" w:cs="Aptos"/>
          <w:szCs w:val="18"/>
        </w:rPr>
        <w:t>benodigde rand</w:t>
      </w:r>
      <w:r>
        <w:rPr>
          <w:rFonts w:eastAsia="Aptos" w:cs="Aptos"/>
          <w:szCs w:val="18"/>
        </w:rPr>
        <w:t>voorwaarden</w:t>
      </w:r>
      <w:r w:rsidR="0093610A">
        <w:rPr>
          <w:rFonts w:eastAsia="Aptos" w:cs="Aptos"/>
          <w:szCs w:val="18"/>
        </w:rPr>
        <w:t xml:space="preserve"> om te kunnen investeren </w:t>
      </w:r>
      <w:r w:rsidR="000856A2">
        <w:rPr>
          <w:rFonts w:eastAsia="Aptos" w:cs="Aptos"/>
          <w:szCs w:val="18"/>
        </w:rPr>
        <w:t>Een maatwerkafspraak is een vrijwillig traject. Bedrijven moeten altijd zelf een overweging maken om wel of niet tot een maatwerkafspraak over te gaan.</w:t>
      </w:r>
    </w:p>
    <w:p w:rsidRPr="00464896" w:rsidR="00247260" w:rsidP="00247260" w:rsidRDefault="00247260" w14:paraId="02EE58DC" w14:textId="77777777">
      <w:pPr>
        <w:rPr>
          <w:rFonts w:eastAsia="Aptos" w:cs="Aptos"/>
          <w:szCs w:val="18"/>
        </w:rPr>
      </w:pPr>
    </w:p>
    <w:p w:rsidR="00016D70" w:rsidRDefault="00016D70" w14:paraId="6B8A1240" w14:textId="77777777">
      <w:pPr>
        <w:spacing w:line="240" w:lineRule="auto"/>
        <w:rPr>
          <w:rFonts w:eastAsia="Aptos" w:cs="Aptos"/>
          <w:szCs w:val="18"/>
        </w:rPr>
      </w:pPr>
      <w:r>
        <w:rPr>
          <w:rFonts w:eastAsia="Aptos" w:cs="Aptos"/>
          <w:szCs w:val="18"/>
        </w:rPr>
        <w:br w:type="page"/>
      </w:r>
    </w:p>
    <w:p w:rsidR="00247260" w:rsidP="00247260" w:rsidRDefault="00247260" w14:paraId="0CD3AB32" w14:textId="01170792">
      <w:pPr>
        <w:rPr>
          <w:rFonts w:eastAsia="Aptos" w:cs="Aptos"/>
          <w:szCs w:val="18"/>
        </w:rPr>
      </w:pPr>
      <w:r w:rsidRPr="00464896">
        <w:rPr>
          <w:rFonts w:eastAsia="Aptos" w:cs="Aptos"/>
          <w:szCs w:val="18"/>
        </w:rPr>
        <w:lastRenderedPageBreak/>
        <w:t>39</w:t>
      </w:r>
    </w:p>
    <w:p w:rsidR="00247260" w:rsidP="00247260" w:rsidRDefault="00247260" w14:paraId="2F5B4448" w14:textId="77777777">
      <w:pPr>
        <w:rPr>
          <w:rFonts w:eastAsia="Aptos" w:cs="Aptos"/>
          <w:szCs w:val="18"/>
        </w:rPr>
      </w:pPr>
      <w:r w:rsidRPr="00464896">
        <w:rPr>
          <w:rFonts w:eastAsia="Aptos" w:cs="Aptos"/>
          <w:szCs w:val="18"/>
        </w:rPr>
        <w:t xml:space="preserve">Waarom is, gegeven de autonome prikkel vanuit het ETS (vanaf 2031 verdwijnen 78% van de gratis emissierechten voor Tata Steel, en vanaf 2034 vervallen deze volledig), een aanvullende maatwerksubsidie van 2 miljard euro noodzakelijk? </w:t>
      </w:r>
    </w:p>
    <w:p w:rsidR="00247260" w:rsidP="00247260" w:rsidRDefault="00247260" w14:paraId="5B574195" w14:textId="77777777">
      <w:pPr>
        <w:rPr>
          <w:rFonts w:eastAsia="Aptos" w:cs="Aptos"/>
          <w:szCs w:val="18"/>
        </w:rPr>
      </w:pPr>
    </w:p>
    <w:p w:rsidRPr="00366D8D" w:rsidR="00247260" w:rsidP="00247260" w:rsidRDefault="00247260" w14:paraId="3D7BCE01" w14:textId="0DD070E9">
      <w:pPr>
        <w:rPr>
          <w:rFonts w:eastAsia="Aptos" w:cs="Aptos"/>
          <w:szCs w:val="18"/>
        </w:rPr>
      </w:pPr>
      <w:r w:rsidRPr="1A78003A">
        <w:rPr>
          <w:rFonts w:eastAsia="Aptos" w:cs="Aptos"/>
          <w:szCs w:val="18"/>
        </w:rPr>
        <w:t xml:space="preserve">Antwoord </w:t>
      </w:r>
      <w:r>
        <w:br/>
      </w:r>
      <w:r w:rsidRPr="1A78003A">
        <w:rPr>
          <w:rFonts w:eastAsia="Verdana" w:cs="Verdana"/>
          <w:color w:val="000000" w:themeColor="text1"/>
          <w:szCs w:val="18"/>
        </w:rPr>
        <w:t>Voor de beoogde maximale subsidie</w:t>
      </w:r>
      <w:r>
        <w:rPr>
          <w:rFonts w:eastAsia="Verdana" w:cs="Verdana"/>
          <w:color w:val="000000" w:themeColor="text1"/>
          <w:szCs w:val="18"/>
        </w:rPr>
        <w:t xml:space="preserve"> voor de verduurzamingsprojecten</w:t>
      </w:r>
      <w:r w:rsidRPr="1A78003A">
        <w:rPr>
          <w:rFonts w:eastAsia="Verdana" w:cs="Verdana"/>
          <w:color w:val="000000" w:themeColor="text1"/>
          <w:szCs w:val="18"/>
        </w:rPr>
        <w:t xml:space="preserve"> van</w:t>
      </w:r>
      <w:r>
        <w:rPr>
          <w:rFonts w:eastAsia="Verdana" w:cs="Verdana"/>
          <w:color w:val="000000" w:themeColor="text1"/>
          <w:szCs w:val="18"/>
        </w:rPr>
        <w:t xml:space="preserve"> </w:t>
      </w:r>
      <w:r w:rsidRPr="1A78003A">
        <w:rPr>
          <w:rFonts w:eastAsia="Verdana" w:cs="Verdana"/>
          <w:color w:val="000000" w:themeColor="text1"/>
          <w:szCs w:val="18"/>
        </w:rPr>
        <w:t xml:space="preserve">1,4 miljard euro is gekeken naar de businesscase van het project zodat er niet meer steun wordt gegeven dan de onrendabele top van het project. De verwachte ETS kosten alleen blijken onvoldoende om deze </w:t>
      </w:r>
      <w:r w:rsidRPr="00366D8D">
        <w:rPr>
          <w:rFonts w:eastAsia="Verdana" w:cs="Verdana"/>
          <w:color w:val="000000" w:themeColor="text1"/>
          <w:szCs w:val="18"/>
        </w:rPr>
        <w:t xml:space="preserve">investering rendabel te maken. </w:t>
      </w:r>
      <w:r w:rsidRPr="00366D8D">
        <w:rPr>
          <w:rFonts w:eastAsia="Aptos" w:cs="Aptos"/>
          <w:szCs w:val="18"/>
        </w:rPr>
        <w:t>I</w:t>
      </w:r>
      <w:r w:rsidRPr="00366D8D">
        <w:rPr>
          <w:rFonts w:eastAsia="Verdana" w:cs="Verdana"/>
          <w:color w:val="000000" w:themeColor="text1"/>
          <w:szCs w:val="18"/>
        </w:rPr>
        <w:t xml:space="preserve">nvesteringssteun is noodzakelijk om tot een investeringsbeslissing te kunnen komen. </w:t>
      </w:r>
      <w:r w:rsidRPr="00366D8D">
        <w:rPr>
          <w:rFonts w:eastAsia="Aptos" w:cs="Aptos"/>
          <w:szCs w:val="18"/>
        </w:rPr>
        <w:t xml:space="preserve">Dit wordt ook getoetst door de EC </w:t>
      </w:r>
      <w:r w:rsidRPr="00366D8D">
        <w:rPr>
          <w:rFonts w:eastAsia="Verdana" w:cs="Verdana"/>
          <w:color w:val="000000" w:themeColor="text1"/>
          <w:szCs w:val="18"/>
        </w:rPr>
        <w:t>voordat een eventueel steunverzoek wordt goedgekeurd.</w:t>
      </w:r>
      <w:r w:rsidRPr="00366D8D">
        <w:rPr>
          <w:rFonts w:eastAsia="Verdana" w:cs="Verdana"/>
          <w:szCs w:val="18"/>
        </w:rPr>
        <w:t xml:space="preserve"> </w:t>
      </w:r>
      <w:r w:rsidR="007A4F00">
        <w:rPr>
          <w:rFonts w:eastAsia="Verdana" w:cs="Verdana"/>
          <w:szCs w:val="18"/>
        </w:rPr>
        <w:t>Alle</w:t>
      </w:r>
      <w:r w:rsidR="005277A8">
        <w:rPr>
          <w:rFonts w:eastAsia="Verdana" w:cs="Verdana"/>
          <w:szCs w:val="18"/>
        </w:rPr>
        <w:t xml:space="preserve"> Europese staalfabrikanten </w:t>
      </w:r>
      <w:r w:rsidR="000849A7">
        <w:rPr>
          <w:rFonts w:eastAsia="Verdana" w:cs="Verdana"/>
          <w:szCs w:val="18"/>
        </w:rPr>
        <w:t xml:space="preserve">moeten verduurzamen en </w:t>
      </w:r>
      <w:r w:rsidR="00D07DD2">
        <w:rPr>
          <w:rFonts w:eastAsia="Verdana" w:cs="Verdana"/>
          <w:szCs w:val="18"/>
        </w:rPr>
        <w:t xml:space="preserve">ook zij </w:t>
      </w:r>
      <w:r w:rsidR="00054E58">
        <w:rPr>
          <w:rFonts w:eastAsia="Verdana" w:cs="Verdana"/>
          <w:szCs w:val="18"/>
        </w:rPr>
        <w:t>hebben hiervoor</w:t>
      </w:r>
      <w:r w:rsidR="005277A8">
        <w:rPr>
          <w:rFonts w:eastAsia="Verdana" w:cs="Verdana"/>
          <w:szCs w:val="18"/>
        </w:rPr>
        <w:t xml:space="preserve"> steun</w:t>
      </w:r>
      <w:r w:rsidR="00054E58">
        <w:rPr>
          <w:rFonts w:eastAsia="Verdana" w:cs="Verdana"/>
          <w:szCs w:val="18"/>
        </w:rPr>
        <w:t xml:space="preserve"> nodig</w:t>
      </w:r>
      <w:r w:rsidR="005277A8">
        <w:rPr>
          <w:rFonts w:eastAsia="Verdana" w:cs="Verdana"/>
          <w:szCs w:val="18"/>
        </w:rPr>
        <w:t xml:space="preserve"> </w:t>
      </w:r>
      <w:r w:rsidR="000849A7">
        <w:rPr>
          <w:rFonts w:eastAsia="Verdana" w:cs="Verdana"/>
          <w:szCs w:val="18"/>
        </w:rPr>
        <w:t>vanuit de overheden.</w:t>
      </w:r>
      <w:r w:rsidR="00090B79">
        <w:rPr>
          <w:rFonts w:eastAsia="Verdana" w:cs="Verdana"/>
          <w:szCs w:val="18"/>
        </w:rPr>
        <w:t xml:space="preserve"> In de beoogde maatwerksubsidie van 2 miljard euro is 600 miljoen euro gereserveerd voor de milieumaatregelen, deze </w:t>
      </w:r>
      <w:r w:rsidRPr="00366D8D">
        <w:rPr>
          <w:rFonts w:eastAsia="Verdana" w:cs="Verdana"/>
          <w:color w:val="000000" w:themeColor="text1"/>
          <w:szCs w:val="18"/>
        </w:rPr>
        <w:t>600 miljoen euro subsidie levert geen CO2-reductie op.</w:t>
      </w:r>
    </w:p>
    <w:p w:rsidRPr="00366D8D" w:rsidR="00247260" w:rsidP="00247260" w:rsidRDefault="00247260" w14:paraId="519AC87D" w14:textId="77777777">
      <w:pPr>
        <w:rPr>
          <w:rFonts w:eastAsia="Aptos" w:cs="Aptos"/>
          <w:szCs w:val="18"/>
        </w:rPr>
      </w:pPr>
    </w:p>
    <w:p w:rsidRPr="00366D8D" w:rsidR="00247260" w:rsidP="00247260" w:rsidRDefault="00247260" w14:paraId="3A0A523B" w14:textId="77777777">
      <w:pPr>
        <w:rPr>
          <w:rFonts w:eastAsia="Aptos" w:cs="Aptos"/>
          <w:szCs w:val="18"/>
        </w:rPr>
      </w:pPr>
      <w:r w:rsidRPr="00366D8D">
        <w:rPr>
          <w:rFonts w:eastAsia="Aptos" w:cs="Aptos"/>
          <w:szCs w:val="18"/>
        </w:rPr>
        <w:t>40</w:t>
      </w:r>
    </w:p>
    <w:p w:rsidRPr="00366D8D" w:rsidR="00247260" w:rsidP="00247260" w:rsidRDefault="00247260" w14:paraId="39016DB6" w14:textId="77777777">
      <w:pPr>
        <w:rPr>
          <w:rFonts w:eastAsia="Aptos" w:cs="Aptos"/>
          <w:szCs w:val="18"/>
        </w:rPr>
      </w:pPr>
      <w:r w:rsidRPr="00366D8D">
        <w:rPr>
          <w:rFonts w:eastAsia="Aptos" w:cs="Aptos"/>
          <w:szCs w:val="18"/>
        </w:rPr>
        <w:t xml:space="preserve">Hoeveel jaar eerder dan de ETS-verplichting (netto-nul in 2040) bereikt Tata Steel met dit plan nettonul uitstoot? Wat zijn de kosten per jaar versnelling? </w:t>
      </w:r>
    </w:p>
    <w:p w:rsidRPr="00366D8D" w:rsidR="00247260" w:rsidP="00247260" w:rsidRDefault="00247260" w14:paraId="06DAB583" w14:textId="77777777">
      <w:pPr>
        <w:rPr>
          <w:rFonts w:eastAsia="Aptos" w:cs="Aptos"/>
          <w:szCs w:val="18"/>
        </w:rPr>
      </w:pPr>
    </w:p>
    <w:p w:rsidR="00247260" w:rsidP="00247260" w:rsidRDefault="00247260" w14:paraId="0F7226A1" w14:textId="1287730C">
      <w:pPr>
        <w:rPr>
          <w:rFonts w:eastAsia="Aptos" w:cs="Aptos"/>
          <w:szCs w:val="18"/>
          <w:highlight w:val="yellow"/>
        </w:rPr>
      </w:pPr>
      <w:r w:rsidRPr="00366D8D">
        <w:rPr>
          <w:rFonts w:eastAsia="Aptos" w:cs="Aptos"/>
          <w:szCs w:val="18"/>
        </w:rPr>
        <w:t>Antwoord</w:t>
      </w:r>
      <w:r w:rsidRPr="63809FFE">
        <w:rPr>
          <w:rFonts w:eastAsia="Aptos" w:cs="Aptos"/>
          <w:szCs w:val="18"/>
        </w:rPr>
        <w:t xml:space="preserve"> </w:t>
      </w:r>
      <w:r>
        <w:br/>
      </w:r>
      <w:r>
        <w:rPr>
          <w:rFonts w:eastAsia="Aptos" w:cs="Aptos"/>
          <w:szCs w:val="18"/>
        </w:rPr>
        <w:t xml:space="preserve">In de JLoI is opgenomen dat TSN ernaar streeft om uiterlijk 2045 en zo snel als redelijkerwijs mogelijk is klimaatneutraliteit te bereiken. </w:t>
      </w:r>
      <w:r w:rsidR="00972E35">
        <w:rPr>
          <w:rFonts w:eastAsia="Aptos" w:cs="Aptos"/>
          <w:szCs w:val="18"/>
        </w:rPr>
        <w:t xml:space="preserve">Het </w:t>
      </w:r>
      <w:r w:rsidR="008F332D">
        <w:rPr>
          <w:rFonts w:eastAsia="Aptos" w:cs="Aptos"/>
          <w:szCs w:val="18"/>
        </w:rPr>
        <w:t xml:space="preserve">ETS </w:t>
      </w:r>
      <w:r w:rsidR="00305CF1">
        <w:rPr>
          <w:rFonts w:eastAsia="Aptos" w:cs="Aptos"/>
          <w:szCs w:val="18"/>
        </w:rPr>
        <w:t>is een handelssysteem met</w:t>
      </w:r>
      <w:r w:rsidR="008F332D">
        <w:rPr>
          <w:rFonts w:eastAsia="Aptos" w:cs="Aptos"/>
          <w:szCs w:val="18"/>
        </w:rPr>
        <w:t xml:space="preserve"> een emissieplafond dat afloopt</w:t>
      </w:r>
      <w:r w:rsidR="00305CF1">
        <w:rPr>
          <w:rFonts w:eastAsia="Aptos" w:cs="Aptos"/>
          <w:szCs w:val="18"/>
        </w:rPr>
        <w:t xml:space="preserve">. </w:t>
      </w:r>
      <w:r>
        <w:rPr>
          <w:rFonts w:eastAsia="Aptos" w:cs="Aptos"/>
          <w:szCs w:val="18"/>
        </w:rPr>
        <w:t>Het</w:t>
      </w:r>
      <w:r w:rsidRPr="63809FFE">
        <w:rPr>
          <w:rFonts w:eastAsia="Aptos" w:cs="Aptos"/>
          <w:szCs w:val="18"/>
        </w:rPr>
        <w:t xml:space="preserve"> feit dat er geen gratis rechten meer worden uitgekeerd</w:t>
      </w:r>
      <w:r>
        <w:rPr>
          <w:rFonts w:eastAsia="Aptos" w:cs="Aptos"/>
          <w:szCs w:val="18"/>
        </w:rPr>
        <w:t xml:space="preserve"> betekent</w:t>
      </w:r>
      <w:r w:rsidRPr="63809FFE">
        <w:rPr>
          <w:rFonts w:eastAsia="Aptos" w:cs="Aptos"/>
          <w:szCs w:val="18"/>
        </w:rPr>
        <w:t xml:space="preserve"> niet dat een bedrijf geen CO2 meer uit kan stoten. Zo kunnen rechten worden gekocht of overgehouden rechten van eerdere jaren worden</w:t>
      </w:r>
      <w:r w:rsidR="00F77FB2">
        <w:rPr>
          <w:rFonts w:eastAsia="Aptos" w:cs="Aptos"/>
          <w:szCs w:val="18"/>
        </w:rPr>
        <w:t xml:space="preserve"> meegenomen en later</w:t>
      </w:r>
      <w:r w:rsidRPr="63809FFE">
        <w:rPr>
          <w:rFonts w:eastAsia="Aptos" w:cs="Aptos"/>
          <w:szCs w:val="18"/>
        </w:rPr>
        <w:t xml:space="preserve"> ingezet.</w:t>
      </w:r>
      <w:r>
        <w:rPr>
          <w:rFonts w:eastAsia="Aptos" w:cs="Aptos"/>
          <w:szCs w:val="18"/>
        </w:rPr>
        <w:t xml:space="preserve"> </w:t>
      </w:r>
      <w:r w:rsidRPr="63809FFE">
        <w:rPr>
          <w:rFonts w:eastAsia="Aptos" w:cs="Aptos"/>
          <w:szCs w:val="18"/>
        </w:rPr>
        <w:t xml:space="preserve">Het ETS is </w:t>
      </w:r>
      <w:r w:rsidR="007060B1">
        <w:rPr>
          <w:rFonts w:eastAsia="Aptos" w:cs="Aptos"/>
          <w:szCs w:val="18"/>
        </w:rPr>
        <w:t xml:space="preserve">een prikkel </w:t>
      </w:r>
      <w:r w:rsidRPr="63809FFE">
        <w:rPr>
          <w:rFonts w:eastAsia="Aptos" w:cs="Aptos"/>
          <w:szCs w:val="18"/>
        </w:rPr>
        <w:t>om CO2 te reduceren</w:t>
      </w:r>
      <w:r>
        <w:rPr>
          <w:rFonts w:eastAsia="Aptos" w:cs="Aptos"/>
          <w:szCs w:val="18"/>
        </w:rPr>
        <w:t xml:space="preserve"> en </w:t>
      </w:r>
      <w:r w:rsidRPr="63809FFE">
        <w:rPr>
          <w:rFonts w:eastAsia="Aptos" w:cs="Aptos"/>
          <w:szCs w:val="18"/>
        </w:rPr>
        <w:t xml:space="preserve">zorgt ervoor dat er geen nieuwe rechten meer worden uitgegeven na 2039. </w:t>
      </w:r>
    </w:p>
    <w:p w:rsidRPr="00464896" w:rsidR="00247260" w:rsidP="00247260" w:rsidRDefault="00247260" w14:paraId="29409F45" w14:textId="77777777">
      <w:pPr>
        <w:rPr>
          <w:rFonts w:eastAsia="Aptos" w:cs="Aptos"/>
          <w:szCs w:val="18"/>
        </w:rPr>
      </w:pPr>
    </w:p>
    <w:p w:rsidR="00247260" w:rsidP="00247260" w:rsidRDefault="00247260" w14:paraId="2F2AD70F" w14:textId="77777777">
      <w:pPr>
        <w:rPr>
          <w:rFonts w:eastAsia="Aptos" w:cs="Aptos"/>
          <w:szCs w:val="18"/>
        </w:rPr>
      </w:pPr>
      <w:r w:rsidRPr="00464896">
        <w:rPr>
          <w:rFonts w:eastAsia="Aptos" w:cs="Aptos"/>
          <w:szCs w:val="18"/>
        </w:rPr>
        <w:t>41</w:t>
      </w:r>
    </w:p>
    <w:p w:rsidR="00247260" w:rsidP="00247260" w:rsidRDefault="00247260" w14:paraId="19892EBF" w14:textId="77777777">
      <w:pPr>
        <w:rPr>
          <w:rFonts w:eastAsia="Aptos" w:cs="Aptos"/>
          <w:szCs w:val="18"/>
        </w:rPr>
      </w:pPr>
      <w:r w:rsidRPr="00464896">
        <w:rPr>
          <w:rFonts w:eastAsia="Aptos" w:cs="Aptos"/>
          <w:szCs w:val="18"/>
        </w:rPr>
        <w:t xml:space="preserve">Bent u bereid om, alvorens een definitieve maatwerkafspraak te sluiten, de Kamer een integrale kosten-batenanalyse te doen toekomen waarin alle directe en indirecte kosten van de deal zijn opgenomen, inclusief de kosten van de zes voorwaarden uit de intentieverklaring? </w:t>
      </w:r>
    </w:p>
    <w:p w:rsidR="00247260" w:rsidP="00247260" w:rsidRDefault="00247260" w14:paraId="3ED31620" w14:textId="77777777">
      <w:pPr>
        <w:rPr>
          <w:rFonts w:eastAsia="Aptos" w:cs="Aptos"/>
          <w:szCs w:val="18"/>
        </w:rPr>
      </w:pPr>
    </w:p>
    <w:p w:rsidR="00247260" w:rsidP="00247260" w:rsidRDefault="00247260" w14:paraId="4304A111" w14:textId="77777777">
      <w:pPr>
        <w:rPr>
          <w:rFonts w:eastAsia="Aptos" w:cs="Aptos"/>
          <w:szCs w:val="18"/>
        </w:rPr>
      </w:pPr>
      <w:r>
        <w:rPr>
          <w:rFonts w:eastAsia="Aptos" w:cs="Aptos"/>
          <w:szCs w:val="18"/>
        </w:rPr>
        <w:t>Antwoord</w:t>
      </w:r>
    </w:p>
    <w:p w:rsidRPr="00464896" w:rsidR="00247260" w:rsidP="00247260" w:rsidRDefault="00247260" w14:paraId="23A3E20B" w14:textId="77777777">
      <w:pPr>
        <w:rPr>
          <w:rFonts w:eastAsia="Aptos" w:cs="Aptos"/>
          <w:szCs w:val="18"/>
        </w:rPr>
      </w:pPr>
      <w:r w:rsidRPr="63809FFE">
        <w:rPr>
          <w:rFonts w:eastAsia="Aptos" w:cs="Aptos"/>
          <w:szCs w:val="18"/>
        </w:rPr>
        <w:t>Zoals in het antwoord op vraag 1 is toegelicht, worden er geen extra kosten voor TSN voor de door SOMO aangehaalde punten voorzien. De kosten en baten van de plannen in de JLoI zijn door de AMVI beoordeeld in termen van de doelmatigheid van de steun, waarbij zij aange</w:t>
      </w:r>
      <w:r>
        <w:rPr>
          <w:rFonts w:eastAsia="Aptos" w:cs="Aptos"/>
          <w:szCs w:val="18"/>
        </w:rPr>
        <w:t>eft</w:t>
      </w:r>
      <w:r w:rsidRPr="63809FFE">
        <w:rPr>
          <w:rFonts w:eastAsia="Aptos" w:cs="Aptos"/>
          <w:szCs w:val="18"/>
        </w:rPr>
        <w:t xml:space="preserve"> dat er een aanzienlijke emissiereductie wordt bereikt tegen relatief lage kosten. De financieel adviseur van de staat ziet toe op de onderbouwing en haalbaarheid van de businesscase. Ook de </w:t>
      </w:r>
      <w:r>
        <w:rPr>
          <w:rFonts w:eastAsia="Aptos" w:cs="Aptos"/>
          <w:szCs w:val="18"/>
        </w:rPr>
        <w:t>EC</w:t>
      </w:r>
      <w:r w:rsidRPr="63809FFE">
        <w:rPr>
          <w:rFonts w:eastAsia="Aptos" w:cs="Aptos"/>
          <w:szCs w:val="18"/>
        </w:rPr>
        <w:t xml:space="preserve"> toetst hierop. Het rapport van de financiële adviseur zal bij de definitieve maatwerkafspraak openbaar worden gemaakt. </w:t>
      </w:r>
    </w:p>
    <w:p w:rsidRPr="00B363EE" w:rsidR="00247260" w:rsidP="00247260" w:rsidRDefault="00247260" w14:paraId="612383CE" w14:textId="77777777">
      <w:pPr>
        <w:rPr>
          <w:rFonts w:eastAsia="Aptos" w:cs="Aptos"/>
          <w:szCs w:val="18"/>
        </w:rPr>
      </w:pPr>
    </w:p>
    <w:p w:rsidR="00016D70" w:rsidRDefault="00016D70" w14:paraId="12A680A4" w14:textId="77777777">
      <w:pPr>
        <w:spacing w:line="240" w:lineRule="auto"/>
        <w:rPr>
          <w:rFonts w:eastAsia="Aptos" w:cs="Aptos"/>
          <w:szCs w:val="18"/>
        </w:rPr>
      </w:pPr>
      <w:r>
        <w:rPr>
          <w:rFonts w:eastAsia="Aptos" w:cs="Aptos"/>
          <w:szCs w:val="18"/>
        </w:rPr>
        <w:br w:type="page"/>
      </w:r>
    </w:p>
    <w:p w:rsidR="00247260" w:rsidP="00247260" w:rsidRDefault="00247260" w14:paraId="2A845E70" w14:textId="45E58EDD">
      <w:pPr>
        <w:rPr>
          <w:rFonts w:eastAsia="Aptos" w:cs="Aptos"/>
          <w:szCs w:val="18"/>
        </w:rPr>
      </w:pPr>
      <w:r w:rsidRPr="00464896">
        <w:rPr>
          <w:rFonts w:eastAsia="Aptos" w:cs="Aptos"/>
          <w:szCs w:val="18"/>
        </w:rPr>
        <w:lastRenderedPageBreak/>
        <w:t>42</w:t>
      </w:r>
    </w:p>
    <w:p w:rsidR="00247260" w:rsidP="00247260" w:rsidRDefault="00247260" w14:paraId="3327B80B" w14:textId="77777777">
      <w:pPr>
        <w:rPr>
          <w:rFonts w:eastAsia="Aptos" w:cs="Aptos"/>
          <w:szCs w:val="18"/>
        </w:rPr>
      </w:pPr>
      <w:r w:rsidRPr="00464896">
        <w:rPr>
          <w:rFonts w:eastAsia="Aptos" w:cs="Aptos"/>
          <w:szCs w:val="18"/>
        </w:rPr>
        <w:t xml:space="preserve">Bent u bereid de Kamer vooraf te informeren over de risicoverdeling in de definitieve maatwerkafspraak, zodat de Kamer kan beoordelen in hoeverre publieke middelen worden ingezet om private risico's af te dekken? </w:t>
      </w:r>
    </w:p>
    <w:p w:rsidR="00247260" w:rsidP="00247260" w:rsidRDefault="00247260" w14:paraId="15CC512B" w14:textId="77777777">
      <w:pPr>
        <w:rPr>
          <w:rFonts w:eastAsia="Aptos" w:cs="Aptos"/>
          <w:szCs w:val="18"/>
        </w:rPr>
      </w:pPr>
    </w:p>
    <w:p w:rsidRPr="0049486B" w:rsidR="00247260" w:rsidP="00247260" w:rsidRDefault="00247260" w14:paraId="5A52A9EC" w14:textId="77777777">
      <w:pPr>
        <w:rPr>
          <w:rFonts w:eastAsia="Aptos" w:cs="Aptos"/>
          <w:szCs w:val="18"/>
        </w:rPr>
      </w:pPr>
      <w:r w:rsidRPr="0049486B">
        <w:rPr>
          <w:rFonts w:eastAsia="Aptos" w:cs="Aptos"/>
          <w:szCs w:val="18"/>
        </w:rPr>
        <w:t xml:space="preserve">Antwoord </w:t>
      </w:r>
    </w:p>
    <w:p w:rsidRPr="0049486B" w:rsidR="00247260" w:rsidP="00247260" w:rsidRDefault="00247260" w14:paraId="304DB1A1" w14:textId="7A6A9967">
      <w:pPr>
        <w:rPr>
          <w:rFonts w:eastAsia="Aptos" w:cs="Aptos"/>
          <w:szCs w:val="18"/>
        </w:rPr>
      </w:pPr>
      <w:r w:rsidRPr="00323A0B">
        <w:rPr>
          <w:rFonts w:eastAsia="Aptos" w:cs="Aptos"/>
          <w:szCs w:val="18"/>
        </w:rPr>
        <w:t xml:space="preserve">De Kamer wordt regelmatig, waar mogelijk openbaar en waar nodig vertrouwelijk, geïnformeerd over de voortgang van de maatwerkafspraken met Tata Steel, bijvoorbeeld via Kamerbrieven en technische briefings. Ook in de toekomst </w:t>
      </w:r>
      <w:r w:rsidR="00850017">
        <w:rPr>
          <w:rFonts w:eastAsia="Aptos" w:cs="Aptos"/>
          <w:szCs w:val="18"/>
        </w:rPr>
        <w:t>zal het kabinet</w:t>
      </w:r>
      <w:r w:rsidRPr="00323A0B">
        <w:rPr>
          <w:rFonts w:eastAsia="Aptos" w:cs="Aptos"/>
          <w:szCs w:val="18"/>
        </w:rPr>
        <w:t xml:space="preserve"> dit blijven doen.</w:t>
      </w:r>
      <w:r>
        <w:rPr>
          <w:rFonts w:eastAsia="Aptos" w:cs="Aptos"/>
          <w:szCs w:val="18"/>
        </w:rPr>
        <w:t xml:space="preserve"> </w:t>
      </w:r>
      <w:r w:rsidRPr="0049486B">
        <w:rPr>
          <w:rFonts w:eastAsia="Aptos" w:cs="Aptos"/>
          <w:szCs w:val="18"/>
        </w:rPr>
        <w:t xml:space="preserve">Indien gewenst kan de stand van zaken op dit vlak worden toegelicht in een </w:t>
      </w:r>
      <w:r>
        <w:rPr>
          <w:rFonts w:eastAsia="Aptos" w:cs="Aptos"/>
          <w:szCs w:val="18"/>
        </w:rPr>
        <w:t>(</w:t>
      </w:r>
      <w:r w:rsidRPr="0049486B">
        <w:rPr>
          <w:rFonts w:eastAsia="Aptos" w:cs="Aptos"/>
          <w:szCs w:val="18"/>
        </w:rPr>
        <w:t>vertrouwelijke</w:t>
      </w:r>
      <w:r>
        <w:rPr>
          <w:rFonts w:eastAsia="Aptos" w:cs="Aptos"/>
          <w:szCs w:val="18"/>
        </w:rPr>
        <w:t>)</w:t>
      </w:r>
      <w:r w:rsidRPr="0049486B">
        <w:rPr>
          <w:rFonts w:eastAsia="Aptos" w:cs="Aptos"/>
          <w:szCs w:val="18"/>
        </w:rPr>
        <w:t xml:space="preserve"> technische briefing.</w:t>
      </w:r>
    </w:p>
    <w:p w:rsidR="00247260" w:rsidP="00247260" w:rsidRDefault="00247260" w14:paraId="2FA440BC" w14:textId="77777777">
      <w:pPr>
        <w:rPr>
          <w:rFonts w:eastAsia="Aptos" w:cs="Aptos"/>
          <w:szCs w:val="18"/>
        </w:rPr>
      </w:pPr>
    </w:p>
    <w:p w:rsidRPr="00D07DD2" w:rsidR="00247260" w:rsidP="00247260" w:rsidRDefault="00247260" w14:paraId="4B543E91" w14:textId="77777777">
      <w:pPr>
        <w:rPr>
          <w:rFonts w:eastAsia="Aptos" w:cs="Aptos"/>
          <w:szCs w:val="18"/>
        </w:rPr>
      </w:pPr>
      <w:r w:rsidRPr="00D07DD2">
        <w:rPr>
          <w:rFonts w:eastAsia="Aptos" w:cs="Aptos"/>
          <w:szCs w:val="18"/>
        </w:rPr>
        <w:t>43</w:t>
      </w:r>
    </w:p>
    <w:p w:rsidRPr="0049486B" w:rsidR="00247260" w:rsidP="00247260" w:rsidRDefault="00247260" w14:paraId="79F12B72" w14:textId="77777777">
      <w:pPr>
        <w:rPr>
          <w:rFonts w:eastAsia="Aptos" w:cs="Aptos"/>
          <w:szCs w:val="18"/>
        </w:rPr>
      </w:pPr>
      <w:r w:rsidRPr="00D07DD2">
        <w:rPr>
          <w:rFonts w:eastAsia="Aptos" w:cs="Aptos"/>
          <w:szCs w:val="18"/>
        </w:rPr>
        <w:t>Kunt u toezeggen dat een definitieve maatwerkafspraak niet wordt gesloten zonder expliciete instemming van de Kamer, gegeven de omvang van de publieke middelen en de structurele aard van de verplichtingen?</w:t>
      </w:r>
      <w:r w:rsidRPr="0049486B">
        <w:rPr>
          <w:rFonts w:eastAsia="Aptos" w:cs="Aptos"/>
          <w:szCs w:val="18"/>
        </w:rPr>
        <w:t xml:space="preserve"> </w:t>
      </w:r>
    </w:p>
    <w:p w:rsidRPr="0049486B" w:rsidR="00247260" w:rsidP="00247260" w:rsidRDefault="00247260" w14:paraId="341CAE66" w14:textId="77777777">
      <w:pPr>
        <w:rPr>
          <w:rFonts w:eastAsia="Aptos" w:cs="Aptos"/>
          <w:szCs w:val="18"/>
        </w:rPr>
      </w:pPr>
    </w:p>
    <w:p w:rsidRPr="0049486B" w:rsidR="00247260" w:rsidP="00247260" w:rsidRDefault="00247260" w14:paraId="4B5B4DCE" w14:textId="77777777">
      <w:pPr>
        <w:rPr>
          <w:rFonts w:eastAsia="Aptos" w:cs="Aptos"/>
          <w:szCs w:val="18"/>
        </w:rPr>
      </w:pPr>
      <w:r w:rsidRPr="0049486B">
        <w:rPr>
          <w:rFonts w:eastAsia="Aptos" w:cs="Aptos"/>
          <w:szCs w:val="18"/>
        </w:rPr>
        <w:t>Antwoord</w:t>
      </w:r>
    </w:p>
    <w:p w:rsidRPr="0049486B" w:rsidR="00247260" w:rsidP="00247260" w:rsidRDefault="008B3B16" w14:paraId="7C5431DA" w14:textId="61010BEF">
      <w:pPr>
        <w:rPr>
          <w:rFonts w:eastAsia="Aptos" w:cs="Aptos"/>
          <w:szCs w:val="18"/>
        </w:rPr>
      </w:pPr>
      <w:r>
        <w:rPr>
          <w:rFonts w:eastAsia="Aptos" w:cs="Aptos"/>
          <w:szCs w:val="18"/>
        </w:rPr>
        <w:t xml:space="preserve">Bij maatwerkafspraken is – zoals vaker met de Tweede Kamer is gecommuniceerd – het geëigende moment om te spreken over de contouren van de maatwerkafspraak op het moment dat de JLoI aan de Kamer wordt gestuurd. Daarna gaat het kabinet immers proberen te komen tot een afspraak binnen de kaders van die JLoI. Het kabinet gaat dan ook graag met de Tweede Kamer over de JLoI in gesprek tijdens het nog in te plannen </w:t>
      </w:r>
      <w:r w:rsidR="002C33C1">
        <w:rPr>
          <w:rFonts w:eastAsia="Aptos" w:cs="Aptos"/>
          <w:szCs w:val="18"/>
        </w:rPr>
        <w:t xml:space="preserve">plenaire </w:t>
      </w:r>
      <w:r>
        <w:rPr>
          <w:rFonts w:eastAsia="Aptos" w:cs="Aptos"/>
          <w:szCs w:val="18"/>
        </w:rPr>
        <w:t xml:space="preserve">debat dat is aangevraagd. </w:t>
      </w:r>
      <w:r w:rsidR="003612B2">
        <w:rPr>
          <w:rFonts w:eastAsia="Aptos" w:cs="Aptos"/>
          <w:szCs w:val="18"/>
        </w:rPr>
        <w:t>Daaraan voorafgaand zal</w:t>
      </w:r>
      <w:r w:rsidR="00FC3F98">
        <w:rPr>
          <w:rFonts w:eastAsia="Aptos" w:cs="Aptos"/>
          <w:szCs w:val="18"/>
        </w:rPr>
        <w:t xml:space="preserve"> ook</w:t>
      </w:r>
      <w:r w:rsidR="003612B2">
        <w:rPr>
          <w:rFonts w:eastAsia="Aptos" w:cs="Aptos"/>
          <w:szCs w:val="18"/>
        </w:rPr>
        <w:t xml:space="preserve"> een technische briefing worden georganiseerd over de JLoI met TSN.</w:t>
      </w:r>
      <w:r w:rsidR="00016D70">
        <w:rPr>
          <w:rFonts w:eastAsia="Aptos" w:cs="Aptos"/>
          <w:szCs w:val="18"/>
        </w:rPr>
        <w:t xml:space="preserve"> </w:t>
      </w:r>
      <w:r>
        <w:rPr>
          <w:rFonts w:eastAsia="Aptos" w:cs="Aptos"/>
          <w:szCs w:val="18"/>
        </w:rPr>
        <w:t xml:space="preserve">Voor wat betreft de finale maatwerkafspraak en de financiële implicaties daarvan geldt - zoals ook aangegeven in de Kamerbrief over het vaststellen van het mandaat voor de onderhandelingen over de maatwerkafspraak met Tata Steel </w:t>
      </w:r>
      <w:r w:rsidR="00EF3F74">
        <w:rPr>
          <w:rFonts w:eastAsia="Aptos" w:cs="Aptos"/>
          <w:szCs w:val="18"/>
        </w:rPr>
        <w:t>–</w:t>
      </w:r>
      <w:r>
        <w:rPr>
          <w:rFonts w:eastAsia="Aptos" w:cs="Aptos"/>
          <w:szCs w:val="18"/>
        </w:rPr>
        <w:t xml:space="preserve"> </w:t>
      </w:r>
      <w:r w:rsidR="00EF3F74">
        <w:rPr>
          <w:rFonts w:eastAsia="Aptos" w:cs="Aptos"/>
          <w:szCs w:val="18"/>
        </w:rPr>
        <w:t xml:space="preserve">dat deze </w:t>
      </w:r>
      <w:r w:rsidRPr="00C07220">
        <w:rPr>
          <w:rFonts w:eastAsia="Aptos" w:cs="Aptos"/>
          <w:szCs w:val="18"/>
        </w:rPr>
        <w:t>onder voorbehoud van parlementaire autorisatie van de begroting</w:t>
      </w:r>
      <w:r w:rsidR="00EF3F74">
        <w:rPr>
          <w:rFonts w:eastAsia="Aptos" w:cs="Aptos"/>
          <w:szCs w:val="18"/>
        </w:rPr>
        <w:t xml:space="preserve"> is</w:t>
      </w:r>
      <w:r>
        <w:rPr>
          <w:rFonts w:eastAsia="Aptos" w:cs="Aptos"/>
          <w:szCs w:val="18"/>
        </w:rPr>
        <w:t>.</w:t>
      </w:r>
      <w:r>
        <w:rPr>
          <w:rStyle w:val="Voetnootmarkering"/>
          <w:rFonts w:eastAsia="Aptos" w:cs="Aptos"/>
          <w:szCs w:val="18"/>
        </w:rPr>
        <w:footnoteReference w:id="11"/>
      </w:r>
    </w:p>
    <w:p w:rsidR="00016D70" w:rsidP="00247260" w:rsidRDefault="00016D70" w14:paraId="691FFF3D" w14:textId="77777777">
      <w:pPr>
        <w:rPr>
          <w:rFonts w:eastAsia="Aptos" w:cs="Aptos"/>
          <w:szCs w:val="18"/>
        </w:rPr>
      </w:pPr>
    </w:p>
    <w:p w:rsidR="00247260" w:rsidP="00247260" w:rsidRDefault="00247260" w14:paraId="45098210" w14:textId="17D88982">
      <w:pPr>
        <w:rPr>
          <w:rFonts w:eastAsia="Aptos" w:cs="Aptos"/>
          <w:szCs w:val="18"/>
        </w:rPr>
      </w:pPr>
      <w:r w:rsidRPr="0049486B">
        <w:rPr>
          <w:rFonts w:eastAsia="Aptos" w:cs="Aptos"/>
          <w:szCs w:val="18"/>
        </w:rPr>
        <w:t>44</w:t>
      </w:r>
    </w:p>
    <w:p w:rsidR="00247260" w:rsidP="00247260" w:rsidRDefault="00247260" w14:paraId="18CF820C" w14:textId="47DAD8DB">
      <w:pPr>
        <w:rPr>
          <w:rFonts w:eastAsia="Aptos" w:cs="Aptos"/>
          <w:szCs w:val="18"/>
        </w:rPr>
      </w:pPr>
      <w:r w:rsidRPr="00464896">
        <w:rPr>
          <w:rFonts w:eastAsia="Aptos" w:cs="Aptos"/>
          <w:szCs w:val="18"/>
        </w:rPr>
        <w:t xml:space="preserve">Gezien het feit dat de commissies die ingesteld zijn om te adviseren over de maatwerkafspraken (AMVI en Expertgroep Gezondheid IJmond) in hun advies aangeven dat onder andere de financiële modellen en bijbehorende aannames rondom het Groen Staalplan “nog niet in een finale fase” waren ten tijde van hun advies, bent u bereid een volgende versie inclusief de relevante aannames alsnog aan hen voor te leggen voor advies? Zo nee, hoe beoordeelt u dan het feit dat deze commissies advies hebben moeten geven terwijl nog grote (financiële) aannames niet transparant waren en dus niet getoetst konden worden? </w:t>
      </w:r>
    </w:p>
    <w:p w:rsidR="00247260" w:rsidP="00247260" w:rsidRDefault="00247260" w14:paraId="6BBCBEDA" w14:textId="77777777">
      <w:pPr>
        <w:rPr>
          <w:rFonts w:eastAsia="Aptos" w:cs="Aptos"/>
          <w:szCs w:val="18"/>
        </w:rPr>
      </w:pPr>
    </w:p>
    <w:p w:rsidR="00247260" w:rsidP="00247260" w:rsidRDefault="00247260" w14:paraId="42F2AFC0" w14:textId="77777777">
      <w:pPr>
        <w:rPr>
          <w:rFonts w:eastAsia="Aptos" w:cs="Aptos"/>
          <w:szCs w:val="18"/>
        </w:rPr>
      </w:pPr>
      <w:r>
        <w:rPr>
          <w:rFonts w:eastAsia="Aptos" w:cs="Aptos"/>
          <w:szCs w:val="18"/>
        </w:rPr>
        <w:t xml:space="preserve">Antwoord </w:t>
      </w:r>
    </w:p>
    <w:p w:rsidR="00247260" w:rsidP="00247260" w:rsidRDefault="00247260" w14:paraId="734D2AA5" w14:textId="52B4EE57">
      <w:pPr>
        <w:rPr>
          <w:rFonts w:eastAsia="Aptos" w:cs="Aptos"/>
          <w:szCs w:val="18"/>
        </w:rPr>
      </w:pPr>
      <w:r>
        <w:rPr>
          <w:rFonts w:eastAsia="Aptos" w:cs="Aptos"/>
          <w:szCs w:val="18"/>
        </w:rPr>
        <w:t xml:space="preserve">De AMVI adviseert in haar advies om “een </w:t>
      </w:r>
      <w:r w:rsidRPr="001E4FEC">
        <w:rPr>
          <w:rFonts w:eastAsia="Aptos" w:cs="Aptos"/>
          <w:szCs w:val="18"/>
        </w:rPr>
        <w:t>professionele partij een rapport/verklaring af te laten geven ten aanzien van de werking van de modellen, modelopbouw, analyse van aannames, validatie van uitkomsten en werking van de scenario’s</w:t>
      </w:r>
      <w:r>
        <w:rPr>
          <w:rFonts w:eastAsia="Aptos" w:cs="Aptos"/>
          <w:szCs w:val="18"/>
        </w:rPr>
        <w:t>”. Dat advies ne</w:t>
      </w:r>
      <w:r w:rsidR="008E4F08">
        <w:rPr>
          <w:rFonts w:eastAsia="Aptos" w:cs="Aptos"/>
          <w:szCs w:val="18"/>
        </w:rPr>
        <w:t>emt het kabinet</w:t>
      </w:r>
      <w:r>
        <w:rPr>
          <w:rFonts w:eastAsia="Aptos" w:cs="Aptos"/>
          <w:szCs w:val="18"/>
        </w:rPr>
        <w:t xml:space="preserve"> over. Zo zullen, in lijn met het </w:t>
      </w:r>
      <w:r>
        <w:rPr>
          <w:rFonts w:eastAsia="Aptos" w:cs="Aptos"/>
          <w:szCs w:val="18"/>
        </w:rPr>
        <w:lastRenderedPageBreak/>
        <w:t xml:space="preserve">advies, verschillende scenario’s worden uitgewerkt waarmee de financiële implicaties van een aantal scenario’s inzichtelijk worden gemaakt. De financiële beoordeling van de businesscase is met een grondige toets van externe, onafhankelijke financieel adviseurs, die hierover met een definitieve maatwerkafspraak een openbaar rapport over zullen uitbrengen en controle door de EC op proportionaliteit voldoende geborgd. </w:t>
      </w:r>
    </w:p>
    <w:p w:rsidRPr="00464896" w:rsidR="00247260" w:rsidP="00247260" w:rsidRDefault="00247260" w14:paraId="7269EA3C" w14:textId="77777777">
      <w:pPr>
        <w:rPr>
          <w:rFonts w:eastAsia="Aptos" w:cs="Aptos"/>
          <w:szCs w:val="18"/>
        </w:rPr>
      </w:pPr>
    </w:p>
    <w:p w:rsidR="00247260" w:rsidP="00247260" w:rsidRDefault="00247260" w14:paraId="644BE805" w14:textId="77777777">
      <w:pPr>
        <w:rPr>
          <w:rFonts w:eastAsia="Aptos" w:cs="Aptos"/>
          <w:szCs w:val="18"/>
        </w:rPr>
      </w:pPr>
      <w:r w:rsidRPr="00464896">
        <w:rPr>
          <w:rFonts w:eastAsia="Aptos" w:cs="Aptos"/>
          <w:szCs w:val="18"/>
        </w:rPr>
        <w:t>45</w:t>
      </w:r>
    </w:p>
    <w:p w:rsidR="00247260" w:rsidP="00247260" w:rsidRDefault="00247260" w14:paraId="4F10FB21" w14:textId="77777777">
      <w:pPr>
        <w:rPr>
          <w:rFonts w:eastAsia="Aptos" w:cs="Aptos"/>
          <w:szCs w:val="18"/>
        </w:rPr>
      </w:pPr>
      <w:r w:rsidRPr="00464896">
        <w:rPr>
          <w:rFonts w:eastAsia="Aptos" w:cs="Aptos"/>
          <w:szCs w:val="18"/>
        </w:rPr>
        <w:t xml:space="preserve">Welke due diligence heeft de Staat </w:t>
      </w:r>
      <w:r>
        <w:rPr>
          <w:rFonts w:eastAsia="Aptos" w:cs="Aptos"/>
          <w:szCs w:val="18"/>
        </w:rPr>
        <w:t>gedaan</w:t>
      </w:r>
      <w:r w:rsidRPr="00464896">
        <w:rPr>
          <w:rFonts w:eastAsia="Aptos" w:cs="Aptos"/>
          <w:szCs w:val="18"/>
        </w:rPr>
        <w:t xml:space="preserve"> de op de financiële modellen van Tata Steel voordat de JLoI werd getekend om de businesscase te toetsen? Welke externe financiële adviseur heeft de Staat hierbij betrokken en wat waren de conclusies van dit advies? </w:t>
      </w:r>
    </w:p>
    <w:p w:rsidR="00247260" w:rsidP="00247260" w:rsidRDefault="00247260" w14:paraId="597F0FBB" w14:textId="77777777">
      <w:pPr>
        <w:rPr>
          <w:rFonts w:eastAsia="Aptos" w:cs="Aptos"/>
          <w:szCs w:val="18"/>
        </w:rPr>
      </w:pPr>
    </w:p>
    <w:p w:rsidR="00247260" w:rsidP="00247260" w:rsidRDefault="00247260" w14:paraId="7A8B649A" w14:textId="77777777">
      <w:pPr>
        <w:rPr>
          <w:rFonts w:eastAsia="Aptos" w:cs="Aptos"/>
          <w:szCs w:val="18"/>
        </w:rPr>
      </w:pPr>
      <w:r>
        <w:rPr>
          <w:rFonts w:eastAsia="Aptos" w:cs="Aptos"/>
          <w:szCs w:val="18"/>
        </w:rPr>
        <w:t>Antwoord</w:t>
      </w:r>
    </w:p>
    <w:p w:rsidR="000F0BFD" w:rsidP="00FB08DC" w:rsidRDefault="00247260" w14:paraId="132E65C8" w14:textId="597D25CE">
      <w:pPr>
        <w:rPr>
          <w:rFonts w:eastAsia="Aptos" w:cs="Aptos"/>
          <w:szCs w:val="18"/>
        </w:rPr>
      </w:pPr>
      <w:r w:rsidRPr="4F635651">
        <w:rPr>
          <w:rFonts w:eastAsia="Aptos" w:cs="Aptos"/>
          <w:szCs w:val="18"/>
        </w:rPr>
        <w:t>De staat wordt vanaf de start van de gesprekken over een maatwerkafspraak met TSN bijgestaan door externe adviseurs</w:t>
      </w:r>
      <w:r>
        <w:rPr>
          <w:rFonts w:eastAsia="Aptos" w:cs="Aptos"/>
          <w:szCs w:val="18"/>
        </w:rPr>
        <w:t>. Zo zijn onder andere de financiële modellen getoetst door onze adviseur KPMG.</w:t>
      </w:r>
      <w:r w:rsidRPr="4F635651">
        <w:rPr>
          <w:rFonts w:eastAsia="Aptos" w:cs="Aptos"/>
          <w:szCs w:val="18"/>
        </w:rPr>
        <w:t xml:space="preserve"> </w:t>
      </w:r>
      <w:r>
        <w:rPr>
          <w:rFonts w:eastAsia="Aptos" w:cs="Aptos"/>
          <w:szCs w:val="18"/>
        </w:rPr>
        <w:t xml:space="preserve">Ook wordt </w:t>
      </w:r>
      <w:r w:rsidRPr="4F635651">
        <w:rPr>
          <w:rFonts w:eastAsia="Aptos" w:cs="Aptos"/>
          <w:szCs w:val="18"/>
        </w:rPr>
        <w:t xml:space="preserve">een </w:t>
      </w:r>
      <w:r>
        <w:rPr>
          <w:rFonts w:eastAsia="Aptos" w:cs="Aptos"/>
          <w:szCs w:val="18"/>
        </w:rPr>
        <w:t xml:space="preserve">technisch, commercieel en dus ook financieel due diligence gedaan door verschillende experts die de overheid bijstaan in dit traject. </w:t>
      </w:r>
      <w:r w:rsidRPr="4F635651">
        <w:rPr>
          <w:rFonts w:eastAsia="Aptos" w:cs="Aptos"/>
          <w:szCs w:val="18"/>
        </w:rPr>
        <w:t xml:space="preserve">Voor de definitieve maatwerkafspraak zullen de finale financiële modellen eveneens opnieuw door de externe financieel adviseurs worden getoetst. De adviseurs zullen ook een openbaar rapport opstellen </w:t>
      </w:r>
      <w:r>
        <w:rPr>
          <w:rFonts w:eastAsia="Aptos" w:cs="Aptos"/>
          <w:szCs w:val="18"/>
        </w:rPr>
        <w:t xml:space="preserve">dat meegestuurd kan worden </w:t>
      </w:r>
      <w:r w:rsidRPr="4F635651">
        <w:rPr>
          <w:rFonts w:eastAsia="Aptos" w:cs="Aptos"/>
          <w:szCs w:val="18"/>
        </w:rPr>
        <w:t xml:space="preserve">bij een definitieve maatwerkafspraak. Tot slot is en wordt de businesscase ook door de </w:t>
      </w:r>
      <w:r>
        <w:rPr>
          <w:rFonts w:eastAsia="Aptos" w:cs="Aptos"/>
          <w:szCs w:val="18"/>
        </w:rPr>
        <w:t>EC</w:t>
      </w:r>
      <w:r w:rsidRPr="4F635651">
        <w:rPr>
          <w:rFonts w:eastAsia="Aptos" w:cs="Aptos"/>
          <w:szCs w:val="18"/>
        </w:rPr>
        <w:t xml:space="preserve"> getoetst op o.a. proportionaliteit.</w:t>
      </w:r>
    </w:p>
    <w:p w:rsidR="0093610A" w:rsidP="00247260" w:rsidRDefault="0093610A" w14:paraId="75391CC0" w14:textId="77777777">
      <w:pPr>
        <w:rPr>
          <w:rFonts w:eastAsia="Aptos" w:cs="Aptos"/>
          <w:szCs w:val="18"/>
        </w:rPr>
      </w:pPr>
    </w:p>
    <w:p w:rsidR="000F0BFD" w:rsidP="00247260" w:rsidRDefault="00247260" w14:paraId="664F6DDB" w14:textId="2CCDFB94">
      <w:pPr>
        <w:rPr>
          <w:rFonts w:eastAsia="Aptos" w:cs="Aptos"/>
          <w:szCs w:val="18"/>
        </w:rPr>
      </w:pPr>
      <w:r w:rsidRPr="00464896">
        <w:rPr>
          <w:rFonts w:eastAsia="Aptos" w:cs="Aptos"/>
          <w:szCs w:val="18"/>
        </w:rPr>
        <w:t>46</w:t>
      </w:r>
    </w:p>
    <w:p w:rsidR="00247260" w:rsidP="00247260" w:rsidRDefault="00247260" w14:paraId="25B519BA" w14:textId="624AB004">
      <w:pPr>
        <w:rPr>
          <w:rFonts w:eastAsia="Aptos" w:cs="Aptos"/>
          <w:szCs w:val="18"/>
        </w:rPr>
      </w:pPr>
      <w:r w:rsidRPr="00464896">
        <w:rPr>
          <w:rFonts w:eastAsia="Aptos" w:cs="Aptos"/>
          <w:szCs w:val="18"/>
        </w:rPr>
        <w:t xml:space="preserve">Bent u bereid volledige transparantie te bieden over alle financiële implicaties, inclusief maatschappelijke kosten zoals staalslakkenverwerking, een onafhankelijke second opinion op de businesscase en alle structurele kostenposten, voordat u de Kamer om instemming met de definitieve overeenkomst vraagt? </w:t>
      </w:r>
    </w:p>
    <w:p w:rsidR="00247260" w:rsidP="00247260" w:rsidRDefault="00247260" w14:paraId="2FA8C62B" w14:textId="77777777">
      <w:pPr>
        <w:rPr>
          <w:rFonts w:eastAsia="Aptos" w:cs="Aptos"/>
          <w:szCs w:val="18"/>
        </w:rPr>
      </w:pPr>
    </w:p>
    <w:p w:rsidR="00247260" w:rsidP="00247260" w:rsidRDefault="00247260" w14:paraId="78C7320A" w14:textId="77777777">
      <w:pPr>
        <w:rPr>
          <w:rFonts w:eastAsia="Aptos" w:cs="Aptos"/>
          <w:szCs w:val="18"/>
        </w:rPr>
      </w:pPr>
      <w:r>
        <w:rPr>
          <w:rFonts w:eastAsia="Aptos" w:cs="Aptos"/>
          <w:szCs w:val="18"/>
        </w:rPr>
        <w:t>Antwoord</w:t>
      </w:r>
    </w:p>
    <w:p w:rsidRPr="008009C5" w:rsidR="00247260" w:rsidP="00247260" w:rsidRDefault="00247260" w14:paraId="0CD7A259" w14:textId="3A7A088C">
      <w:pPr>
        <w:rPr>
          <w:rFonts w:eastAsia="Aptos" w:cs="Aptos"/>
          <w:szCs w:val="18"/>
        </w:rPr>
      </w:pPr>
      <w:r w:rsidRPr="4F635651">
        <w:rPr>
          <w:rFonts w:eastAsia="Aptos" w:cs="Aptos"/>
          <w:szCs w:val="18"/>
        </w:rPr>
        <w:t xml:space="preserve">Zoals ook aangegeven in het antwoord op de vorige vraag is de businesscase uitvoerig getoetst door de adviseurs van de staat en door de </w:t>
      </w:r>
      <w:r>
        <w:rPr>
          <w:rFonts w:eastAsia="Aptos" w:cs="Aptos"/>
          <w:szCs w:val="18"/>
        </w:rPr>
        <w:t>EC</w:t>
      </w:r>
      <w:r w:rsidRPr="4F635651">
        <w:rPr>
          <w:rFonts w:eastAsia="Aptos" w:cs="Aptos"/>
          <w:szCs w:val="18"/>
        </w:rPr>
        <w:t xml:space="preserve">. Bij de definitieve maatwerkafspraak zullen </w:t>
      </w:r>
      <w:r>
        <w:rPr>
          <w:rFonts w:eastAsia="Aptos" w:cs="Aptos"/>
          <w:szCs w:val="18"/>
        </w:rPr>
        <w:t xml:space="preserve">ook </w:t>
      </w:r>
      <w:r w:rsidRPr="4F635651">
        <w:rPr>
          <w:rFonts w:eastAsia="Aptos" w:cs="Aptos"/>
          <w:szCs w:val="18"/>
        </w:rPr>
        <w:t xml:space="preserve">stukken van de adviseurs openbaar worden gemaakt. Hiermee </w:t>
      </w:r>
      <w:r>
        <w:rPr>
          <w:rFonts w:eastAsia="Aptos" w:cs="Aptos"/>
          <w:szCs w:val="18"/>
        </w:rPr>
        <w:t xml:space="preserve">wordt volgens </w:t>
      </w:r>
      <w:r w:rsidR="008E4F08">
        <w:rPr>
          <w:rFonts w:eastAsia="Aptos" w:cs="Aptos"/>
          <w:szCs w:val="18"/>
        </w:rPr>
        <w:t xml:space="preserve">het </w:t>
      </w:r>
      <w:r w:rsidRPr="4F635651">
        <w:rPr>
          <w:rFonts w:eastAsia="Aptos" w:cs="Aptos"/>
          <w:szCs w:val="18"/>
        </w:rPr>
        <w:t xml:space="preserve">kabinet </w:t>
      </w:r>
      <w:r>
        <w:rPr>
          <w:rFonts w:eastAsia="Aptos" w:cs="Aptos"/>
          <w:szCs w:val="18"/>
        </w:rPr>
        <w:t>volledige transparantie geboden binnen de mogelijkheden die er zijn, rekening houdend met de bedrijfsvertrouwelijke informatie die de staat ontvangt en waar prudent mee moet worden omgegaan</w:t>
      </w:r>
      <w:r w:rsidRPr="4F635651">
        <w:rPr>
          <w:rFonts w:eastAsia="Aptos" w:cs="Aptos"/>
          <w:szCs w:val="18"/>
        </w:rPr>
        <w:t>. De Kamer kan desgewenst tussentijds (vertrouwelijk) worden geïnformeerd over de voortgang van de onderhandelingen over de maatwerkafspraak.</w:t>
      </w:r>
    </w:p>
    <w:p w:rsidRPr="00464896" w:rsidR="00247260" w:rsidP="00247260" w:rsidRDefault="00247260" w14:paraId="477BD56C" w14:textId="77777777">
      <w:pPr>
        <w:rPr>
          <w:rFonts w:eastAsia="Aptos" w:cs="Aptos"/>
          <w:szCs w:val="18"/>
        </w:rPr>
      </w:pPr>
    </w:p>
    <w:p w:rsidR="0093610A" w:rsidP="00247260" w:rsidRDefault="00247260" w14:paraId="008B5477" w14:textId="77777777">
      <w:pPr>
        <w:rPr>
          <w:rFonts w:eastAsia="Aptos" w:cs="Aptos"/>
          <w:szCs w:val="18"/>
        </w:rPr>
      </w:pPr>
      <w:r w:rsidRPr="00464896">
        <w:rPr>
          <w:rFonts w:eastAsia="Aptos" w:cs="Aptos"/>
          <w:szCs w:val="18"/>
        </w:rPr>
        <w:t>47</w:t>
      </w:r>
    </w:p>
    <w:p w:rsidR="00247260" w:rsidP="00247260" w:rsidRDefault="00247260" w14:paraId="74B766B3" w14:textId="27B0B589">
      <w:pPr>
        <w:rPr>
          <w:rFonts w:eastAsia="Aptos" w:cs="Aptos"/>
          <w:szCs w:val="18"/>
        </w:rPr>
      </w:pPr>
      <w:r w:rsidRPr="00464896">
        <w:rPr>
          <w:rFonts w:eastAsia="Aptos" w:cs="Aptos"/>
          <w:szCs w:val="18"/>
        </w:rPr>
        <w:t xml:space="preserve">Kunt u deze vragen beantwoorden voor het plenaire debat over de JLoI met Tata Steel? </w:t>
      </w:r>
    </w:p>
    <w:p w:rsidR="00247260" w:rsidP="00247260" w:rsidRDefault="00247260" w14:paraId="3AEBD265" w14:textId="77777777">
      <w:pPr>
        <w:rPr>
          <w:rFonts w:eastAsia="Aptos" w:cs="Aptos"/>
          <w:szCs w:val="18"/>
        </w:rPr>
      </w:pPr>
    </w:p>
    <w:p w:rsidR="00247260" w:rsidP="00247260" w:rsidRDefault="00247260" w14:paraId="03F33FCA" w14:textId="77777777">
      <w:pPr>
        <w:rPr>
          <w:rFonts w:eastAsia="Aptos" w:cs="Aptos"/>
          <w:szCs w:val="18"/>
        </w:rPr>
      </w:pPr>
      <w:r>
        <w:rPr>
          <w:rFonts w:eastAsia="Aptos" w:cs="Aptos"/>
          <w:szCs w:val="18"/>
        </w:rPr>
        <w:t>Antwoord</w:t>
      </w:r>
    </w:p>
    <w:p w:rsidRPr="00EF3F74" w:rsidR="00664678" w:rsidP="00810C93" w:rsidRDefault="00247260" w14:paraId="1C0CB307" w14:textId="6532D5E8">
      <w:pPr>
        <w:rPr>
          <w:lang w:val="en-GB"/>
        </w:rPr>
      </w:pPr>
      <w:r>
        <w:rPr>
          <w:rFonts w:eastAsia="Aptos" w:cs="Aptos"/>
          <w:szCs w:val="18"/>
        </w:rPr>
        <w:t>Ja</w:t>
      </w:r>
      <w:r w:rsidR="000F0BFD">
        <w:rPr>
          <w:rFonts w:eastAsia="Aptos" w:cs="Aptos"/>
          <w:szCs w:val="18"/>
        </w:rPr>
        <w:t>.</w:t>
      </w:r>
    </w:p>
    <w:sectPr w:rsidRPr="00EF3F74"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23F7" w14:textId="77777777" w:rsidR="009F3ABA" w:rsidRDefault="009F3ABA">
      <w:r>
        <w:separator/>
      </w:r>
    </w:p>
    <w:p w14:paraId="40B78EBA" w14:textId="77777777" w:rsidR="009F3ABA" w:rsidRDefault="009F3ABA"/>
  </w:endnote>
  <w:endnote w:type="continuationSeparator" w:id="0">
    <w:p w14:paraId="4821BA09" w14:textId="77777777" w:rsidR="009F3ABA" w:rsidRDefault="009F3ABA">
      <w:r>
        <w:continuationSeparator/>
      </w:r>
    </w:p>
    <w:p w14:paraId="50EAC2A3" w14:textId="77777777" w:rsidR="009F3ABA" w:rsidRDefault="009F3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91B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55CC3" w14:paraId="5480CFC8" w14:textId="77777777" w:rsidTr="00CA6A25">
      <w:trPr>
        <w:trHeight w:hRule="exact" w:val="240"/>
      </w:trPr>
      <w:tc>
        <w:tcPr>
          <w:tcW w:w="7601" w:type="dxa"/>
        </w:tcPr>
        <w:p w14:paraId="399AC7C9" w14:textId="77777777" w:rsidR="00527BD4" w:rsidRDefault="00527BD4" w:rsidP="003F1F6B">
          <w:pPr>
            <w:pStyle w:val="Huisstijl-Rubricering"/>
          </w:pPr>
        </w:p>
      </w:tc>
      <w:tc>
        <w:tcPr>
          <w:tcW w:w="2156" w:type="dxa"/>
        </w:tcPr>
        <w:p w14:paraId="01EF4D9A" w14:textId="24EA0AFF" w:rsidR="00527BD4" w:rsidRPr="00645414" w:rsidRDefault="003750B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3563F1">
              <w:t>22</w:t>
            </w:r>
          </w:fldSimple>
        </w:p>
      </w:tc>
    </w:tr>
  </w:tbl>
  <w:p w14:paraId="6CB0066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55CC3" w14:paraId="0017943B" w14:textId="77777777" w:rsidTr="00CA6A25">
      <w:trPr>
        <w:trHeight w:hRule="exact" w:val="240"/>
      </w:trPr>
      <w:tc>
        <w:tcPr>
          <w:tcW w:w="7601" w:type="dxa"/>
        </w:tcPr>
        <w:p w14:paraId="13A709FE" w14:textId="77777777" w:rsidR="00527BD4" w:rsidRDefault="00527BD4" w:rsidP="008C356D">
          <w:pPr>
            <w:pStyle w:val="Huisstijl-Rubricering"/>
          </w:pPr>
        </w:p>
      </w:tc>
      <w:tc>
        <w:tcPr>
          <w:tcW w:w="2170" w:type="dxa"/>
        </w:tcPr>
        <w:p w14:paraId="0A3721C7" w14:textId="4D19ABF8" w:rsidR="00527BD4" w:rsidRPr="00ED539E" w:rsidRDefault="003750B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3563F1">
              <w:t>22</w:t>
            </w:r>
          </w:fldSimple>
        </w:p>
      </w:tc>
    </w:tr>
  </w:tbl>
  <w:p w14:paraId="239E531B" w14:textId="77777777" w:rsidR="00527BD4" w:rsidRPr="00BC3B53" w:rsidRDefault="00527BD4" w:rsidP="008C356D">
    <w:pPr>
      <w:pStyle w:val="Voettekst"/>
      <w:spacing w:line="240" w:lineRule="auto"/>
      <w:rPr>
        <w:sz w:val="2"/>
        <w:szCs w:val="2"/>
      </w:rPr>
    </w:pPr>
  </w:p>
  <w:p w14:paraId="0BE70B1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308E" w14:textId="77777777" w:rsidR="009F3ABA" w:rsidRDefault="009F3ABA">
      <w:r>
        <w:separator/>
      </w:r>
    </w:p>
    <w:p w14:paraId="4F1673C1" w14:textId="77777777" w:rsidR="009F3ABA" w:rsidRDefault="009F3ABA"/>
  </w:footnote>
  <w:footnote w:type="continuationSeparator" w:id="0">
    <w:p w14:paraId="245167C1" w14:textId="77777777" w:rsidR="009F3ABA" w:rsidRDefault="009F3ABA">
      <w:r>
        <w:continuationSeparator/>
      </w:r>
    </w:p>
    <w:p w14:paraId="62062A6F" w14:textId="77777777" w:rsidR="009F3ABA" w:rsidRDefault="009F3ABA"/>
  </w:footnote>
  <w:footnote w:id="1">
    <w:p w14:paraId="2AFE0B4A" w14:textId="77777777" w:rsidR="00247260" w:rsidRPr="007B6A3E" w:rsidRDefault="00247260" w:rsidP="00247260">
      <w:pPr>
        <w:pStyle w:val="Voetnoottekst"/>
        <w:rPr>
          <w:sz w:val="14"/>
          <w:szCs w:val="14"/>
        </w:rPr>
      </w:pPr>
      <w:r w:rsidRPr="007B6A3E">
        <w:rPr>
          <w:rStyle w:val="Voetnootmarkering"/>
          <w:sz w:val="14"/>
          <w:szCs w:val="14"/>
        </w:rPr>
        <w:footnoteRef/>
      </w:r>
      <w:r w:rsidRPr="007B6A3E">
        <w:rPr>
          <w:sz w:val="14"/>
          <w:szCs w:val="14"/>
        </w:rPr>
        <w:t xml:space="preserve"> Reactie Ministerie van Klimaat en Groene Groei op SOMO onderzoek d.d. 17 november 2025 </w:t>
      </w:r>
      <w:hyperlink r:id="rId1">
        <w:r w:rsidRPr="007B6A3E">
          <w:rPr>
            <w:rStyle w:val="Hyperlink"/>
            <w:sz w:val="14"/>
            <w:szCs w:val="14"/>
          </w:rPr>
          <w:t>251123 SOMO - Kosten intentieverklaring Tata</w:t>
        </w:r>
      </w:hyperlink>
    </w:p>
  </w:footnote>
  <w:footnote w:id="2">
    <w:p w14:paraId="6F03D605" w14:textId="77777777" w:rsidR="00247260" w:rsidRPr="007B6A3E" w:rsidRDefault="00247260" w:rsidP="00247260">
      <w:pPr>
        <w:pStyle w:val="Voetnoottekst"/>
        <w:rPr>
          <w:sz w:val="14"/>
          <w:szCs w:val="14"/>
        </w:rPr>
      </w:pPr>
      <w:r w:rsidRPr="007B6A3E">
        <w:rPr>
          <w:rStyle w:val="Voetnootmarkering"/>
          <w:sz w:val="14"/>
          <w:szCs w:val="14"/>
        </w:rPr>
        <w:footnoteRef/>
      </w:r>
      <w:r w:rsidRPr="007B6A3E">
        <w:rPr>
          <w:sz w:val="14"/>
          <w:szCs w:val="14"/>
        </w:rPr>
        <w:t xml:space="preserve"> </w:t>
      </w:r>
      <w:hyperlink r:id="rId2" w:history="1">
        <w:r w:rsidRPr="007B6A3E">
          <w:rPr>
            <w:rStyle w:val="Hyperlink"/>
            <w:sz w:val="14"/>
            <w:szCs w:val="14"/>
          </w:rPr>
          <w:t>Kantelpunt voor klimaat en industrie | Rapport | Rijksoverheid.nl</w:t>
        </w:r>
      </w:hyperlink>
    </w:p>
  </w:footnote>
  <w:footnote w:id="3">
    <w:p w14:paraId="01366A3E" w14:textId="77777777" w:rsidR="00247260" w:rsidRPr="0087393C" w:rsidRDefault="00247260" w:rsidP="00247260">
      <w:pPr>
        <w:pStyle w:val="Voetnoottekst"/>
        <w:rPr>
          <w:sz w:val="16"/>
          <w:szCs w:val="16"/>
        </w:rPr>
      </w:pPr>
      <w:r w:rsidRPr="007B6A3E">
        <w:rPr>
          <w:rStyle w:val="Voetnootmarkering"/>
          <w:sz w:val="14"/>
          <w:szCs w:val="14"/>
        </w:rPr>
        <w:footnoteRef/>
      </w:r>
      <w:r w:rsidRPr="007B6A3E">
        <w:rPr>
          <w:sz w:val="14"/>
          <w:szCs w:val="14"/>
        </w:rPr>
        <w:t xml:space="preserve"> </w:t>
      </w:r>
      <w:hyperlink r:id="rId3" w:history="1">
        <w:r w:rsidRPr="007B6A3E">
          <w:rPr>
            <w:rStyle w:val="Hyperlink"/>
            <w:sz w:val="14"/>
            <w:szCs w:val="14"/>
          </w:rPr>
          <w:t>Formatierapport klimaat en energie (2025) Routes naar realisatie - Keuzes voor het klimaat en de energietransitie | Rapport | Rijksoverheid.nl</w:t>
        </w:r>
      </w:hyperlink>
    </w:p>
  </w:footnote>
  <w:footnote w:id="4">
    <w:p w14:paraId="1F9679B5" w14:textId="027CC708" w:rsidR="00247260" w:rsidRPr="007B6A3E" w:rsidRDefault="00247260" w:rsidP="00247260">
      <w:pPr>
        <w:pStyle w:val="Voetnoottekst"/>
      </w:pPr>
      <w:r w:rsidRPr="007B6A3E">
        <w:rPr>
          <w:rStyle w:val="Voetnootmarkering"/>
          <w:sz w:val="14"/>
          <w:szCs w:val="14"/>
        </w:rPr>
        <w:footnoteRef/>
      </w:r>
      <w:r w:rsidRPr="007B6A3E">
        <w:rPr>
          <w:sz w:val="14"/>
          <w:szCs w:val="14"/>
        </w:rPr>
        <w:t xml:space="preserve"> Nederlandse vertaling, Engels tekst is leidend</w:t>
      </w:r>
      <w:r w:rsidR="00C678EA">
        <w:rPr>
          <w:sz w:val="14"/>
          <w:szCs w:val="14"/>
        </w:rPr>
        <w:t>.</w:t>
      </w:r>
    </w:p>
  </w:footnote>
  <w:footnote w:id="5">
    <w:p w14:paraId="6AC7DC89" w14:textId="77777777" w:rsidR="00247260" w:rsidRPr="00CA33B1" w:rsidRDefault="00247260" w:rsidP="00247260">
      <w:pPr>
        <w:pStyle w:val="Voetnoottekst"/>
        <w:rPr>
          <w:sz w:val="14"/>
          <w:szCs w:val="14"/>
        </w:rPr>
      </w:pPr>
      <w:r w:rsidRPr="00CA33B1">
        <w:rPr>
          <w:rStyle w:val="Voetnootmarkering"/>
          <w:sz w:val="14"/>
          <w:szCs w:val="14"/>
        </w:rPr>
        <w:footnoteRef/>
      </w:r>
      <w:r w:rsidRPr="00CA33B1">
        <w:rPr>
          <w:sz w:val="14"/>
          <w:szCs w:val="14"/>
        </w:rPr>
        <w:t xml:space="preserve"> Nederlandse vertaling, Engelse tekst is leidend</w:t>
      </w:r>
      <w:r>
        <w:rPr>
          <w:sz w:val="14"/>
          <w:szCs w:val="14"/>
        </w:rPr>
        <w:t>.</w:t>
      </w:r>
    </w:p>
  </w:footnote>
  <w:footnote w:id="6">
    <w:p w14:paraId="3FCE36D3" w14:textId="77777777" w:rsidR="00247260" w:rsidRPr="009923B6" w:rsidRDefault="00247260" w:rsidP="00247260">
      <w:pPr>
        <w:pStyle w:val="Voetnoottekst"/>
        <w:rPr>
          <w:sz w:val="16"/>
          <w:szCs w:val="16"/>
        </w:rPr>
      </w:pPr>
      <w:r w:rsidRPr="009923B6">
        <w:rPr>
          <w:rStyle w:val="Voetnootmarkering"/>
          <w:sz w:val="16"/>
          <w:szCs w:val="16"/>
        </w:rPr>
        <w:footnoteRef/>
      </w:r>
      <w:r w:rsidRPr="009923B6">
        <w:rPr>
          <w:sz w:val="16"/>
          <w:szCs w:val="16"/>
        </w:rPr>
        <w:t xml:space="preserve"> </w:t>
      </w:r>
      <w:hyperlink r:id="rId4">
        <w:r w:rsidRPr="009923B6">
          <w:rPr>
            <w:rStyle w:val="Hyperlink"/>
            <w:rFonts w:eastAsia="Aptos" w:cs="Aptos"/>
            <w:color w:val="467886"/>
            <w:sz w:val="16"/>
            <w:szCs w:val="16"/>
          </w:rPr>
          <w:t>CE_Delft_220377_Vervolgstudie-Bijmengverplichting-groen-gas_Def.pdf</w:t>
        </w:r>
      </w:hyperlink>
      <w:r w:rsidRPr="009923B6">
        <w:rPr>
          <w:rFonts w:eastAsia="Aptos" w:cs="Aptos"/>
          <w:sz w:val="16"/>
          <w:szCs w:val="16"/>
        </w:rPr>
        <w:t xml:space="preserve"> – </w:t>
      </w:r>
      <w:r>
        <w:rPr>
          <w:rFonts w:eastAsia="Aptos" w:cs="Aptos"/>
          <w:sz w:val="16"/>
          <w:szCs w:val="16"/>
        </w:rPr>
        <w:t xml:space="preserve">p. </w:t>
      </w:r>
      <w:r w:rsidRPr="009923B6">
        <w:rPr>
          <w:rFonts w:eastAsia="Aptos" w:cs="Aptos"/>
          <w:sz w:val="16"/>
          <w:szCs w:val="16"/>
        </w:rPr>
        <w:t>64</w:t>
      </w:r>
      <w:r>
        <w:rPr>
          <w:rFonts w:eastAsia="Aptos" w:cs="Aptos"/>
          <w:sz w:val="16"/>
          <w:szCs w:val="16"/>
        </w:rPr>
        <w:t>:</w:t>
      </w:r>
      <w:r w:rsidRPr="009923B6">
        <w:rPr>
          <w:rFonts w:eastAsia="Aptos" w:cs="Aptos"/>
          <w:sz w:val="16"/>
          <w:szCs w:val="16"/>
        </w:rPr>
        <w:t xml:space="preserve"> Gevoeligheidsanalyse krimp veestapel</w:t>
      </w:r>
    </w:p>
  </w:footnote>
  <w:footnote w:id="7">
    <w:p w14:paraId="651A16B7" w14:textId="77777777" w:rsidR="00247260" w:rsidRPr="009E232B" w:rsidRDefault="00247260" w:rsidP="00247260">
      <w:pPr>
        <w:pStyle w:val="Voetnoottekst"/>
        <w:rPr>
          <w:sz w:val="14"/>
          <w:szCs w:val="14"/>
        </w:rPr>
      </w:pPr>
      <w:r w:rsidRPr="009E232B">
        <w:rPr>
          <w:rStyle w:val="Voetnootmarkering"/>
          <w:sz w:val="14"/>
          <w:szCs w:val="14"/>
        </w:rPr>
        <w:footnoteRef/>
      </w:r>
      <w:r w:rsidRPr="009E232B">
        <w:rPr>
          <w:sz w:val="14"/>
          <w:szCs w:val="14"/>
        </w:rPr>
        <w:t xml:space="preserve"> </w:t>
      </w:r>
      <w:hyperlink r:id="rId5">
        <w:r w:rsidRPr="009E232B">
          <w:rPr>
            <w:rStyle w:val="Hyperlink"/>
            <w:rFonts w:eastAsia="Aptos" w:cs="Aptos"/>
            <w:color w:val="467886"/>
            <w:sz w:val="14"/>
            <w:szCs w:val="14"/>
          </w:rPr>
          <w:t>Toekomst Inzet Groen Gas - Guidehouse</w:t>
        </w:r>
      </w:hyperlink>
      <w:r w:rsidRPr="009E232B">
        <w:rPr>
          <w:rFonts w:eastAsia="Aptos" w:cs="Aptos"/>
          <w:sz w:val="14"/>
          <w:szCs w:val="14"/>
        </w:rPr>
        <w:t>. p.3</w:t>
      </w:r>
    </w:p>
  </w:footnote>
  <w:footnote w:id="8">
    <w:p w14:paraId="34E6510F" w14:textId="77777777" w:rsidR="00247260" w:rsidRPr="00CA33B1" w:rsidRDefault="00247260" w:rsidP="00247260">
      <w:pPr>
        <w:pStyle w:val="Voetnoottekst"/>
        <w:rPr>
          <w:lang w:val="en-US"/>
        </w:rPr>
      </w:pPr>
      <w:r w:rsidRPr="009E232B">
        <w:rPr>
          <w:rStyle w:val="Voetnootmarkering"/>
          <w:sz w:val="14"/>
          <w:szCs w:val="14"/>
        </w:rPr>
        <w:footnoteRef/>
      </w:r>
      <w:r w:rsidRPr="00CA33B1">
        <w:rPr>
          <w:sz w:val="14"/>
          <w:szCs w:val="14"/>
          <w:lang w:val="en-US"/>
        </w:rPr>
        <w:t xml:space="preserve"> </w:t>
      </w:r>
      <w:r w:rsidRPr="009E232B">
        <w:rPr>
          <w:sz w:val="14"/>
          <w:szCs w:val="14"/>
        </w:rPr>
        <w:t>﷟</w:t>
      </w:r>
      <w:hyperlink r:id="rId6" w:history="1">
        <w:r w:rsidRPr="00CA33B1">
          <w:rPr>
            <w:rStyle w:val="Hyperlink"/>
            <w:sz w:val="14"/>
            <w:szCs w:val="14"/>
            <w:lang w:val="en-US"/>
          </w:rPr>
          <w:t>Evaluation of barriers to biomethane sourcing from new production countries | Rapport | Rijksoverheid.nl</w:t>
        </w:r>
      </w:hyperlink>
      <w:r w:rsidRPr="00CA33B1">
        <w:rPr>
          <w:sz w:val="14"/>
          <w:szCs w:val="14"/>
          <w:lang w:val="en-US"/>
        </w:rPr>
        <w:t xml:space="preserve"> </w:t>
      </w:r>
    </w:p>
  </w:footnote>
  <w:footnote w:id="9">
    <w:p w14:paraId="02C0797B" w14:textId="77777777" w:rsidR="00247260" w:rsidRPr="00177836" w:rsidRDefault="00247260" w:rsidP="00247260">
      <w:pPr>
        <w:pStyle w:val="Voetnoottekst"/>
        <w:rPr>
          <w:sz w:val="14"/>
          <w:szCs w:val="14"/>
        </w:rPr>
      </w:pPr>
      <w:r w:rsidRPr="00177836">
        <w:rPr>
          <w:rStyle w:val="Voetnootmarkering"/>
          <w:sz w:val="14"/>
          <w:szCs w:val="14"/>
        </w:rPr>
        <w:footnoteRef/>
      </w:r>
      <w:r w:rsidRPr="00177836">
        <w:rPr>
          <w:sz w:val="14"/>
          <w:szCs w:val="14"/>
        </w:rPr>
        <w:t xml:space="preserve"> </w:t>
      </w:r>
      <w:hyperlink r:id="rId7" w:history="1">
        <w:r w:rsidRPr="00177836">
          <w:rPr>
            <w:rStyle w:val="Hyperlink"/>
            <w:sz w:val="14"/>
            <w:szCs w:val="14"/>
          </w:rPr>
          <w:t>Onderzoek lange termijn productie en inzet groen gras | Rapport | Rijksoverheid.nl</w:t>
        </w:r>
      </w:hyperlink>
    </w:p>
  </w:footnote>
  <w:footnote w:id="10">
    <w:p w14:paraId="2D010CAC" w14:textId="77777777" w:rsidR="00247260" w:rsidRPr="00B850B8" w:rsidRDefault="00247260" w:rsidP="00247260">
      <w:pPr>
        <w:pStyle w:val="Voetnoottekst"/>
        <w:rPr>
          <w:sz w:val="14"/>
          <w:szCs w:val="14"/>
          <w:lang w:val="en-US"/>
        </w:rPr>
      </w:pPr>
      <w:r w:rsidRPr="00B850B8">
        <w:rPr>
          <w:rStyle w:val="Voetnootmarkering"/>
          <w:sz w:val="14"/>
          <w:szCs w:val="14"/>
        </w:rPr>
        <w:footnoteRef/>
      </w:r>
      <w:r w:rsidRPr="00B850B8">
        <w:rPr>
          <w:sz w:val="14"/>
          <w:szCs w:val="14"/>
          <w:lang w:val="en-US"/>
        </w:rPr>
        <w:t xml:space="preserve"> </w:t>
      </w:r>
      <w:hyperlink r:id="rId8" w:history="1">
        <w:r w:rsidRPr="00B850B8">
          <w:rPr>
            <w:rStyle w:val="Hyperlink"/>
            <w:sz w:val="14"/>
            <w:szCs w:val="14"/>
            <w:lang w:val="en-US"/>
          </w:rPr>
          <w:t>Evaluation of barriers to biomethane sourcing from new production countries | Rapport | Rijksoverheid.nl</w:t>
        </w:r>
      </w:hyperlink>
    </w:p>
  </w:footnote>
  <w:footnote w:id="11">
    <w:p w14:paraId="01C1FCAE" w14:textId="77777777" w:rsidR="008B3B16" w:rsidRDefault="008B3B16" w:rsidP="008B3B16">
      <w:pPr>
        <w:pStyle w:val="Voetnoottekst"/>
      </w:pPr>
      <w:r>
        <w:rPr>
          <w:rStyle w:val="Voetnootmarkering"/>
        </w:rPr>
        <w:footnoteRef/>
      </w:r>
      <w:r>
        <w:t xml:space="preserve"> </w:t>
      </w:r>
      <w:hyperlink r:id="rId9" w:history="1">
        <w:r w:rsidRPr="00F972A3">
          <w:rPr>
            <w:rStyle w:val="Hyperlink"/>
          </w:rPr>
          <w:t>Kamerbrief over mandaat onderhandelingen Tata Steel Nederland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55CC3" w14:paraId="15CD5C80" w14:textId="77777777" w:rsidTr="00A50CF6">
      <w:tc>
        <w:tcPr>
          <w:tcW w:w="2156" w:type="dxa"/>
        </w:tcPr>
        <w:p w14:paraId="690C3EAD" w14:textId="77777777" w:rsidR="00527BD4" w:rsidRPr="005819CE" w:rsidRDefault="003750BE" w:rsidP="00A50CF6">
          <w:pPr>
            <w:pStyle w:val="Huisstijl-Adres"/>
            <w:rPr>
              <w:b/>
            </w:rPr>
          </w:pPr>
          <w:r>
            <w:rPr>
              <w:b/>
            </w:rPr>
            <w:t>Klimaat en groene Groei</w:t>
          </w:r>
          <w:r w:rsidRPr="005819CE">
            <w:rPr>
              <w:b/>
            </w:rPr>
            <w:br/>
          </w:r>
        </w:p>
      </w:tc>
    </w:tr>
    <w:tr w:rsidR="00455CC3" w14:paraId="10FCF9FF" w14:textId="77777777" w:rsidTr="00A50CF6">
      <w:trPr>
        <w:trHeight w:hRule="exact" w:val="200"/>
      </w:trPr>
      <w:tc>
        <w:tcPr>
          <w:tcW w:w="2156" w:type="dxa"/>
        </w:tcPr>
        <w:p w14:paraId="02625253" w14:textId="77777777" w:rsidR="00527BD4" w:rsidRPr="005819CE" w:rsidRDefault="00527BD4" w:rsidP="00A50CF6"/>
      </w:tc>
    </w:tr>
    <w:tr w:rsidR="00455CC3" w14:paraId="6329E275" w14:textId="77777777" w:rsidTr="00502512">
      <w:trPr>
        <w:trHeight w:hRule="exact" w:val="774"/>
      </w:trPr>
      <w:tc>
        <w:tcPr>
          <w:tcW w:w="2156" w:type="dxa"/>
        </w:tcPr>
        <w:p w14:paraId="540F55D3" w14:textId="77777777" w:rsidR="00527BD4" w:rsidRDefault="003750BE" w:rsidP="003A5290">
          <w:pPr>
            <w:pStyle w:val="Huisstijl-Kopje"/>
          </w:pPr>
          <w:r>
            <w:t>Ons kenmerk</w:t>
          </w:r>
        </w:p>
        <w:p w14:paraId="5018D17F" w14:textId="25B53BCE" w:rsidR="00527BD4" w:rsidRPr="005819CE" w:rsidRDefault="003750BE" w:rsidP="000F0BFD">
          <w:pPr>
            <w:pStyle w:val="Huisstijl-Kopje"/>
          </w:pPr>
          <w:r>
            <w:rPr>
              <w:b w:val="0"/>
            </w:rPr>
            <w:t>KGG</w:t>
          </w:r>
          <w:r w:rsidRPr="00502512">
            <w:rPr>
              <w:b w:val="0"/>
            </w:rPr>
            <w:t xml:space="preserve"> / </w:t>
          </w:r>
          <w:r w:rsidR="000F0BFD" w:rsidRPr="000F0BFD">
            <w:rPr>
              <w:b w:val="0"/>
            </w:rPr>
            <w:t>103843983</w:t>
          </w:r>
        </w:p>
      </w:tc>
    </w:tr>
  </w:tbl>
  <w:p w14:paraId="58E17CDE" w14:textId="77777777" w:rsidR="00527BD4" w:rsidRDefault="00527BD4" w:rsidP="008C356D">
    <w:pPr>
      <w:pStyle w:val="Koptekst"/>
      <w:rPr>
        <w:rFonts w:cs="Verdana-Bold"/>
        <w:b/>
        <w:bCs/>
        <w:smallCaps/>
        <w:szCs w:val="18"/>
      </w:rPr>
    </w:pPr>
  </w:p>
  <w:p w14:paraId="5D802CBC" w14:textId="77777777" w:rsidR="00527BD4" w:rsidRDefault="00527BD4" w:rsidP="008C356D"/>
  <w:p w14:paraId="19410B34" w14:textId="77777777" w:rsidR="00527BD4" w:rsidRPr="00740712" w:rsidRDefault="00527BD4" w:rsidP="008C356D"/>
  <w:p w14:paraId="6F579ABC" w14:textId="77777777" w:rsidR="00527BD4" w:rsidRPr="00217880" w:rsidRDefault="00527BD4" w:rsidP="008C356D">
    <w:pPr>
      <w:spacing w:line="0" w:lineRule="atLeast"/>
      <w:rPr>
        <w:sz w:val="2"/>
        <w:szCs w:val="2"/>
      </w:rPr>
    </w:pPr>
  </w:p>
  <w:p w14:paraId="0ED81E21" w14:textId="77777777" w:rsidR="00527BD4" w:rsidRDefault="00527BD4" w:rsidP="004F44C2">
    <w:pPr>
      <w:pStyle w:val="Koptekst"/>
      <w:rPr>
        <w:rFonts w:cs="Verdana-Bold"/>
        <w:b/>
        <w:bCs/>
        <w:smallCaps/>
        <w:szCs w:val="18"/>
      </w:rPr>
    </w:pPr>
  </w:p>
  <w:p w14:paraId="140886F9" w14:textId="77777777" w:rsidR="00527BD4" w:rsidRDefault="00527BD4" w:rsidP="004F44C2"/>
  <w:p w14:paraId="262EADAA" w14:textId="77777777" w:rsidR="00527BD4" w:rsidRPr="00740712" w:rsidRDefault="00527BD4" w:rsidP="004F44C2"/>
  <w:p w14:paraId="67C916D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55CC3" w14:paraId="16A608F2" w14:textId="77777777" w:rsidTr="00751A6A">
      <w:trPr>
        <w:trHeight w:val="2636"/>
      </w:trPr>
      <w:tc>
        <w:tcPr>
          <w:tcW w:w="737" w:type="dxa"/>
        </w:tcPr>
        <w:p w14:paraId="63980FA6" w14:textId="77777777" w:rsidR="00527BD4" w:rsidRDefault="00527BD4" w:rsidP="00D0609E">
          <w:pPr>
            <w:framePr w:w="6340" w:h="2750" w:hRule="exact" w:hSpace="180" w:wrap="around" w:vAnchor="page" w:hAnchor="text" w:x="3873" w:y="-140"/>
            <w:spacing w:line="240" w:lineRule="auto"/>
          </w:pPr>
        </w:p>
      </w:tc>
      <w:tc>
        <w:tcPr>
          <w:tcW w:w="5156" w:type="dxa"/>
        </w:tcPr>
        <w:p w14:paraId="5B9D2DD1" w14:textId="77777777" w:rsidR="00527BD4" w:rsidRDefault="003750B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930DEAF" wp14:editId="12DBC66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7F394F3" w14:textId="77777777" w:rsidR="00F4553F" w:rsidRDefault="00F4553F" w:rsidP="00651CEE">
          <w:pPr>
            <w:framePr w:w="6340" w:h="2750" w:hRule="exact" w:hSpace="180" w:wrap="around" w:vAnchor="page" w:hAnchor="text" w:x="3873" w:y="-140"/>
            <w:spacing w:line="240" w:lineRule="auto"/>
          </w:pPr>
        </w:p>
      </w:tc>
    </w:tr>
  </w:tbl>
  <w:p w14:paraId="7AB1D725" w14:textId="77777777" w:rsidR="00527BD4" w:rsidRDefault="00527BD4" w:rsidP="00D0609E">
    <w:pPr>
      <w:framePr w:w="6340" w:h="2750" w:hRule="exact" w:hSpace="180" w:wrap="around" w:vAnchor="page" w:hAnchor="text" w:x="3873" w:y="-140"/>
    </w:pPr>
  </w:p>
  <w:p w14:paraId="13979F3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55CC3" w14:paraId="71E6E8A4" w14:textId="77777777" w:rsidTr="00A50CF6">
      <w:tc>
        <w:tcPr>
          <w:tcW w:w="2160" w:type="dxa"/>
        </w:tcPr>
        <w:p w14:paraId="3AC4466B" w14:textId="77777777" w:rsidR="00527BD4" w:rsidRPr="005819CE" w:rsidRDefault="003750BE" w:rsidP="00A50CF6">
          <w:pPr>
            <w:pStyle w:val="Huisstijl-Adres"/>
            <w:rPr>
              <w:b/>
            </w:rPr>
          </w:pPr>
          <w:r>
            <w:rPr>
              <w:b/>
            </w:rPr>
            <w:t>Klimaat en groene Groei</w:t>
          </w:r>
          <w:r w:rsidRPr="005819CE">
            <w:rPr>
              <w:b/>
            </w:rPr>
            <w:br/>
          </w:r>
        </w:p>
        <w:p w14:paraId="16CE4240" w14:textId="77777777" w:rsidR="00527BD4" w:rsidRPr="00BE5ED9" w:rsidRDefault="003750BE" w:rsidP="00A50CF6">
          <w:pPr>
            <w:pStyle w:val="Huisstijl-Adres"/>
          </w:pPr>
          <w:r>
            <w:rPr>
              <w:b/>
            </w:rPr>
            <w:t>Bezoekadres</w:t>
          </w:r>
          <w:r>
            <w:rPr>
              <w:b/>
            </w:rPr>
            <w:br/>
          </w:r>
          <w:r>
            <w:t>Bezuidenhoutseweg 73</w:t>
          </w:r>
          <w:r w:rsidRPr="005819CE">
            <w:br/>
          </w:r>
          <w:r>
            <w:t>2594 AC DEN HAAG</w:t>
          </w:r>
        </w:p>
        <w:p w14:paraId="01D060C1" w14:textId="77777777" w:rsidR="00EF495B" w:rsidRDefault="003750BE" w:rsidP="0098788A">
          <w:pPr>
            <w:pStyle w:val="Huisstijl-Adres"/>
          </w:pPr>
          <w:r>
            <w:rPr>
              <w:b/>
            </w:rPr>
            <w:t>Postadres</w:t>
          </w:r>
          <w:r>
            <w:rPr>
              <w:b/>
            </w:rPr>
            <w:br/>
          </w:r>
          <w:r>
            <w:t>Postbus 20401</w:t>
          </w:r>
          <w:r w:rsidRPr="005819CE">
            <w:br/>
            <w:t>2500 E</w:t>
          </w:r>
          <w:r>
            <w:t>K</w:t>
          </w:r>
          <w:r w:rsidRPr="005819CE">
            <w:t xml:space="preserve"> Den Haag</w:t>
          </w:r>
        </w:p>
        <w:p w14:paraId="321C74E0" w14:textId="77777777" w:rsidR="00EF495B" w:rsidRPr="005B3814" w:rsidRDefault="003750BE" w:rsidP="0098788A">
          <w:pPr>
            <w:pStyle w:val="Huisstijl-Adres"/>
          </w:pPr>
          <w:r>
            <w:rPr>
              <w:b/>
            </w:rPr>
            <w:t>Overheidsidentificatienr</w:t>
          </w:r>
          <w:r>
            <w:rPr>
              <w:b/>
            </w:rPr>
            <w:br/>
          </w:r>
          <w:r w:rsidR="002D0DDB" w:rsidRPr="002D0DDB">
            <w:t>00000003952069570000</w:t>
          </w:r>
        </w:p>
        <w:p w14:paraId="7DB05CD9" w14:textId="54C03113" w:rsidR="00527BD4" w:rsidRPr="000F0BFD" w:rsidRDefault="003750B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55CC3" w14:paraId="0806FE23" w14:textId="77777777" w:rsidTr="00A50CF6">
      <w:trPr>
        <w:trHeight w:hRule="exact" w:val="200"/>
      </w:trPr>
      <w:tc>
        <w:tcPr>
          <w:tcW w:w="2160" w:type="dxa"/>
        </w:tcPr>
        <w:p w14:paraId="4277C680" w14:textId="77777777" w:rsidR="00527BD4" w:rsidRPr="005819CE" w:rsidRDefault="00527BD4" w:rsidP="00A50CF6"/>
      </w:tc>
    </w:tr>
    <w:tr w:rsidR="00455CC3" w14:paraId="41657B8C" w14:textId="77777777" w:rsidTr="00A50CF6">
      <w:tc>
        <w:tcPr>
          <w:tcW w:w="2160" w:type="dxa"/>
        </w:tcPr>
        <w:p w14:paraId="0F502BD5" w14:textId="77777777" w:rsidR="000C0163" w:rsidRPr="005819CE" w:rsidRDefault="003750BE" w:rsidP="000C0163">
          <w:pPr>
            <w:pStyle w:val="Huisstijl-Kopje"/>
          </w:pPr>
          <w:r>
            <w:t>Ons kenmerk</w:t>
          </w:r>
          <w:r w:rsidRPr="005819CE">
            <w:t xml:space="preserve"> </w:t>
          </w:r>
        </w:p>
        <w:p w14:paraId="11AE36D1" w14:textId="51094C15" w:rsidR="000C0163" w:rsidRPr="005819CE" w:rsidRDefault="003750BE" w:rsidP="000C0163">
          <w:pPr>
            <w:pStyle w:val="Huisstijl-Gegeven"/>
          </w:pPr>
          <w:r>
            <w:t>KGG</w:t>
          </w:r>
          <w:r w:rsidR="00926AE2">
            <w:t xml:space="preserve"> /</w:t>
          </w:r>
          <w:r w:rsidR="00EB4E8D">
            <w:t xml:space="preserve"> </w:t>
          </w:r>
          <w:r w:rsidR="000F0BFD" w:rsidRPr="000F0BFD">
            <w:t>103843983</w:t>
          </w:r>
        </w:p>
        <w:p w14:paraId="63799863" w14:textId="77777777" w:rsidR="00527BD4" w:rsidRPr="005819CE" w:rsidRDefault="003750BE" w:rsidP="00A50CF6">
          <w:pPr>
            <w:pStyle w:val="Huisstijl-Kopje"/>
          </w:pPr>
          <w:r>
            <w:t>Uw kenmerk</w:t>
          </w:r>
        </w:p>
        <w:p w14:paraId="6C48D6CE" w14:textId="375B43A1" w:rsidR="00527BD4" w:rsidRPr="005819CE" w:rsidRDefault="003750BE" w:rsidP="000F0BFD">
          <w:pPr>
            <w:pStyle w:val="Huisstijl-Gegeven"/>
          </w:pPr>
          <w:r>
            <w:t>2025Z21366</w:t>
          </w:r>
        </w:p>
      </w:tc>
    </w:tr>
  </w:tbl>
  <w:p w14:paraId="6D41741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55CC3" w14:paraId="24D71250" w14:textId="77777777" w:rsidTr="007610AA">
      <w:trPr>
        <w:trHeight w:val="400"/>
      </w:trPr>
      <w:tc>
        <w:tcPr>
          <w:tcW w:w="7520" w:type="dxa"/>
          <w:gridSpan w:val="2"/>
        </w:tcPr>
        <w:p w14:paraId="0310569A" w14:textId="77777777" w:rsidR="00527BD4" w:rsidRPr="00BC3B53" w:rsidRDefault="003750BE" w:rsidP="00A50CF6">
          <w:pPr>
            <w:pStyle w:val="Huisstijl-Retouradres"/>
          </w:pPr>
          <w:r>
            <w:t>&gt; Retouradres Postbus 20401 2500 EK Den Haag</w:t>
          </w:r>
        </w:p>
      </w:tc>
    </w:tr>
    <w:tr w:rsidR="00455CC3" w14:paraId="408BC6DE" w14:textId="77777777" w:rsidTr="007610AA">
      <w:tc>
        <w:tcPr>
          <w:tcW w:w="7520" w:type="dxa"/>
          <w:gridSpan w:val="2"/>
        </w:tcPr>
        <w:p w14:paraId="69E63BAA" w14:textId="77777777" w:rsidR="00527BD4" w:rsidRPr="00983E8F" w:rsidRDefault="00527BD4" w:rsidP="00A50CF6">
          <w:pPr>
            <w:pStyle w:val="Huisstijl-Rubricering"/>
          </w:pPr>
        </w:p>
      </w:tc>
    </w:tr>
    <w:tr w:rsidR="00455CC3" w14:paraId="7D6D3E2F" w14:textId="77777777" w:rsidTr="007610AA">
      <w:trPr>
        <w:trHeight w:hRule="exact" w:val="2440"/>
      </w:trPr>
      <w:tc>
        <w:tcPr>
          <w:tcW w:w="7520" w:type="dxa"/>
          <w:gridSpan w:val="2"/>
        </w:tcPr>
        <w:p w14:paraId="4D5911E2" w14:textId="77777777" w:rsidR="00527BD4" w:rsidRDefault="003750BE" w:rsidP="00A50CF6">
          <w:pPr>
            <w:pStyle w:val="Huisstijl-NAW"/>
          </w:pPr>
          <w:r>
            <w:t xml:space="preserve">De Voorzitter van de Tweede Kamer </w:t>
          </w:r>
        </w:p>
        <w:p w14:paraId="6D0FDFC5" w14:textId="77777777" w:rsidR="00D87195" w:rsidRDefault="003750BE" w:rsidP="00D87195">
          <w:pPr>
            <w:pStyle w:val="Huisstijl-NAW"/>
          </w:pPr>
          <w:r>
            <w:t>der Staten-Generaal</w:t>
          </w:r>
        </w:p>
        <w:p w14:paraId="15086C26" w14:textId="77777777" w:rsidR="00EA0F13" w:rsidRDefault="003750BE" w:rsidP="00EA0F13">
          <w:pPr>
            <w:rPr>
              <w:szCs w:val="18"/>
            </w:rPr>
          </w:pPr>
          <w:r>
            <w:rPr>
              <w:szCs w:val="18"/>
            </w:rPr>
            <w:t>Prinses Irenestraat 6</w:t>
          </w:r>
        </w:p>
        <w:p w14:paraId="7F29B0B6" w14:textId="77777777" w:rsidR="00985E56" w:rsidRDefault="003750BE" w:rsidP="00EA0F13">
          <w:r>
            <w:rPr>
              <w:szCs w:val="18"/>
            </w:rPr>
            <w:t>2595 BD  DEN HAAG</w:t>
          </w:r>
        </w:p>
      </w:tc>
    </w:tr>
    <w:tr w:rsidR="00455CC3" w14:paraId="4DBE2BDA" w14:textId="77777777" w:rsidTr="007610AA">
      <w:trPr>
        <w:trHeight w:hRule="exact" w:val="400"/>
      </w:trPr>
      <w:tc>
        <w:tcPr>
          <w:tcW w:w="7520" w:type="dxa"/>
          <w:gridSpan w:val="2"/>
        </w:tcPr>
        <w:p w14:paraId="62F78BE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55CC3" w14:paraId="2255384D" w14:textId="77777777" w:rsidTr="007610AA">
      <w:trPr>
        <w:trHeight w:val="240"/>
      </w:trPr>
      <w:tc>
        <w:tcPr>
          <w:tcW w:w="900" w:type="dxa"/>
        </w:tcPr>
        <w:p w14:paraId="13A5205E" w14:textId="77777777" w:rsidR="00527BD4" w:rsidRPr="007709EF" w:rsidRDefault="003750BE" w:rsidP="00A50CF6">
          <w:pPr>
            <w:rPr>
              <w:szCs w:val="18"/>
            </w:rPr>
          </w:pPr>
          <w:r>
            <w:rPr>
              <w:szCs w:val="18"/>
            </w:rPr>
            <w:t>Datum</w:t>
          </w:r>
        </w:p>
      </w:tc>
      <w:tc>
        <w:tcPr>
          <w:tcW w:w="6620" w:type="dxa"/>
        </w:tcPr>
        <w:p w14:paraId="40D76547" w14:textId="5EFA7BCD" w:rsidR="00527BD4" w:rsidRPr="007709EF" w:rsidRDefault="00843365" w:rsidP="00A50CF6">
          <w:r>
            <w:t>4 februari 2026</w:t>
          </w:r>
        </w:p>
      </w:tc>
    </w:tr>
    <w:tr w:rsidR="00455CC3" w14:paraId="3F401EEC" w14:textId="77777777" w:rsidTr="007610AA">
      <w:trPr>
        <w:trHeight w:val="240"/>
      </w:trPr>
      <w:tc>
        <w:tcPr>
          <w:tcW w:w="900" w:type="dxa"/>
        </w:tcPr>
        <w:p w14:paraId="3A5D9DD7" w14:textId="77777777" w:rsidR="00527BD4" w:rsidRPr="007709EF" w:rsidRDefault="003750BE" w:rsidP="00A50CF6">
          <w:pPr>
            <w:rPr>
              <w:szCs w:val="18"/>
            </w:rPr>
          </w:pPr>
          <w:r>
            <w:rPr>
              <w:szCs w:val="18"/>
            </w:rPr>
            <w:t>Betreft</w:t>
          </w:r>
        </w:p>
      </w:tc>
      <w:tc>
        <w:tcPr>
          <w:tcW w:w="6620" w:type="dxa"/>
        </w:tcPr>
        <w:p w14:paraId="347D1FF7" w14:textId="77777777" w:rsidR="00527BD4" w:rsidRPr="007709EF" w:rsidRDefault="003750BE" w:rsidP="00A50CF6">
          <w:r>
            <w:t>De additionele kosten voor Tata Steel aangaande de maatwerkaanpak</w:t>
          </w:r>
        </w:p>
      </w:tc>
    </w:tr>
  </w:tbl>
  <w:p w14:paraId="19EF158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186918"/>
    <w:multiLevelType w:val="multilevel"/>
    <w:tmpl w:val="F1C22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AF7EE3A2">
      <w:start w:val="1"/>
      <w:numFmt w:val="bullet"/>
      <w:pStyle w:val="Lijstopsomteken"/>
      <w:lvlText w:val="•"/>
      <w:lvlJc w:val="left"/>
      <w:pPr>
        <w:tabs>
          <w:tab w:val="num" w:pos="227"/>
        </w:tabs>
        <w:ind w:left="227" w:hanging="227"/>
      </w:pPr>
      <w:rPr>
        <w:rFonts w:ascii="Verdana" w:hAnsi="Verdana" w:hint="default"/>
        <w:sz w:val="18"/>
        <w:szCs w:val="18"/>
      </w:rPr>
    </w:lvl>
    <w:lvl w:ilvl="1" w:tplc="67FCA96E" w:tentative="1">
      <w:start w:val="1"/>
      <w:numFmt w:val="bullet"/>
      <w:lvlText w:val="o"/>
      <w:lvlJc w:val="left"/>
      <w:pPr>
        <w:tabs>
          <w:tab w:val="num" w:pos="1440"/>
        </w:tabs>
        <w:ind w:left="1440" w:hanging="360"/>
      </w:pPr>
      <w:rPr>
        <w:rFonts w:ascii="Courier New" w:hAnsi="Courier New" w:cs="Courier New" w:hint="default"/>
      </w:rPr>
    </w:lvl>
    <w:lvl w:ilvl="2" w:tplc="86EA631C" w:tentative="1">
      <w:start w:val="1"/>
      <w:numFmt w:val="bullet"/>
      <w:lvlText w:val=""/>
      <w:lvlJc w:val="left"/>
      <w:pPr>
        <w:tabs>
          <w:tab w:val="num" w:pos="2160"/>
        </w:tabs>
        <w:ind w:left="2160" w:hanging="360"/>
      </w:pPr>
      <w:rPr>
        <w:rFonts w:ascii="Wingdings" w:hAnsi="Wingdings" w:hint="default"/>
      </w:rPr>
    </w:lvl>
    <w:lvl w:ilvl="3" w:tplc="9414526C" w:tentative="1">
      <w:start w:val="1"/>
      <w:numFmt w:val="bullet"/>
      <w:lvlText w:val=""/>
      <w:lvlJc w:val="left"/>
      <w:pPr>
        <w:tabs>
          <w:tab w:val="num" w:pos="2880"/>
        </w:tabs>
        <w:ind w:left="2880" w:hanging="360"/>
      </w:pPr>
      <w:rPr>
        <w:rFonts w:ascii="Symbol" w:hAnsi="Symbol" w:hint="default"/>
      </w:rPr>
    </w:lvl>
    <w:lvl w:ilvl="4" w:tplc="7AAED87A" w:tentative="1">
      <w:start w:val="1"/>
      <w:numFmt w:val="bullet"/>
      <w:lvlText w:val="o"/>
      <w:lvlJc w:val="left"/>
      <w:pPr>
        <w:tabs>
          <w:tab w:val="num" w:pos="3600"/>
        </w:tabs>
        <w:ind w:left="3600" w:hanging="360"/>
      </w:pPr>
      <w:rPr>
        <w:rFonts w:ascii="Courier New" w:hAnsi="Courier New" w:cs="Courier New" w:hint="default"/>
      </w:rPr>
    </w:lvl>
    <w:lvl w:ilvl="5" w:tplc="38A2FF9A" w:tentative="1">
      <w:start w:val="1"/>
      <w:numFmt w:val="bullet"/>
      <w:lvlText w:val=""/>
      <w:lvlJc w:val="left"/>
      <w:pPr>
        <w:tabs>
          <w:tab w:val="num" w:pos="4320"/>
        </w:tabs>
        <w:ind w:left="4320" w:hanging="360"/>
      </w:pPr>
      <w:rPr>
        <w:rFonts w:ascii="Wingdings" w:hAnsi="Wingdings" w:hint="default"/>
      </w:rPr>
    </w:lvl>
    <w:lvl w:ilvl="6" w:tplc="70D8B300" w:tentative="1">
      <w:start w:val="1"/>
      <w:numFmt w:val="bullet"/>
      <w:lvlText w:val=""/>
      <w:lvlJc w:val="left"/>
      <w:pPr>
        <w:tabs>
          <w:tab w:val="num" w:pos="5040"/>
        </w:tabs>
        <w:ind w:left="5040" w:hanging="360"/>
      </w:pPr>
      <w:rPr>
        <w:rFonts w:ascii="Symbol" w:hAnsi="Symbol" w:hint="default"/>
      </w:rPr>
    </w:lvl>
    <w:lvl w:ilvl="7" w:tplc="9A2C1296" w:tentative="1">
      <w:start w:val="1"/>
      <w:numFmt w:val="bullet"/>
      <w:lvlText w:val="o"/>
      <w:lvlJc w:val="left"/>
      <w:pPr>
        <w:tabs>
          <w:tab w:val="num" w:pos="5760"/>
        </w:tabs>
        <w:ind w:left="5760" w:hanging="360"/>
      </w:pPr>
      <w:rPr>
        <w:rFonts w:ascii="Courier New" w:hAnsi="Courier New" w:cs="Courier New" w:hint="default"/>
      </w:rPr>
    </w:lvl>
    <w:lvl w:ilvl="8" w:tplc="423ED5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4243B3"/>
    <w:multiLevelType w:val="multilevel"/>
    <w:tmpl w:val="F99E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7E76BA"/>
    <w:multiLevelType w:val="hybridMultilevel"/>
    <w:tmpl w:val="44E8F484"/>
    <w:lvl w:ilvl="0" w:tplc="14F8DF18">
      <w:start w:val="1"/>
      <w:numFmt w:val="decimal"/>
      <w:lvlText w:val="%1."/>
      <w:lvlJc w:val="left"/>
      <w:pPr>
        <w:ind w:left="1020" w:hanging="360"/>
      </w:pPr>
    </w:lvl>
    <w:lvl w:ilvl="1" w:tplc="3196B1BE">
      <w:start w:val="1"/>
      <w:numFmt w:val="decimal"/>
      <w:lvlText w:val="%2."/>
      <w:lvlJc w:val="left"/>
      <w:pPr>
        <w:ind w:left="1020" w:hanging="360"/>
      </w:pPr>
    </w:lvl>
    <w:lvl w:ilvl="2" w:tplc="60FAF298">
      <w:start w:val="1"/>
      <w:numFmt w:val="decimal"/>
      <w:lvlText w:val="%3."/>
      <w:lvlJc w:val="left"/>
      <w:pPr>
        <w:ind w:left="1020" w:hanging="360"/>
      </w:pPr>
    </w:lvl>
    <w:lvl w:ilvl="3" w:tplc="39F49A7E">
      <w:start w:val="1"/>
      <w:numFmt w:val="decimal"/>
      <w:lvlText w:val="%4."/>
      <w:lvlJc w:val="left"/>
      <w:pPr>
        <w:ind w:left="1020" w:hanging="360"/>
      </w:pPr>
    </w:lvl>
    <w:lvl w:ilvl="4" w:tplc="789ED032">
      <w:start w:val="1"/>
      <w:numFmt w:val="decimal"/>
      <w:lvlText w:val="%5."/>
      <w:lvlJc w:val="left"/>
      <w:pPr>
        <w:ind w:left="1020" w:hanging="360"/>
      </w:pPr>
    </w:lvl>
    <w:lvl w:ilvl="5" w:tplc="8564C722">
      <w:start w:val="1"/>
      <w:numFmt w:val="decimal"/>
      <w:lvlText w:val="%6."/>
      <w:lvlJc w:val="left"/>
      <w:pPr>
        <w:ind w:left="1020" w:hanging="360"/>
      </w:pPr>
    </w:lvl>
    <w:lvl w:ilvl="6" w:tplc="EB5E0E92">
      <w:start w:val="1"/>
      <w:numFmt w:val="decimal"/>
      <w:lvlText w:val="%7."/>
      <w:lvlJc w:val="left"/>
      <w:pPr>
        <w:ind w:left="1020" w:hanging="360"/>
      </w:pPr>
    </w:lvl>
    <w:lvl w:ilvl="7" w:tplc="75747212">
      <w:start w:val="1"/>
      <w:numFmt w:val="decimal"/>
      <w:lvlText w:val="%8."/>
      <w:lvlJc w:val="left"/>
      <w:pPr>
        <w:ind w:left="1020" w:hanging="360"/>
      </w:pPr>
    </w:lvl>
    <w:lvl w:ilvl="8" w:tplc="A356A52C">
      <w:start w:val="1"/>
      <w:numFmt w:val="decimal"/>
      <w:lvlText w:val="%9."/>
      <w:lvlJc w:val="left"/>
      <w:pPr>
        <w:ind w:left="1020" w:hanging="360"/>
      </w:pPr>
    </w:lvl>
  </w:abstractNum>
  <w:abstractNum w:abstractNumId="14" w15:restartNumberingAfterBreak="0">
    <w:nsid w:val="18593833"/>
    <w:multiLevelType w:val="hybridMultilevel"/>
    <w:tmpl w:val="A16E8574"/>
    <w:lvl w:ilvl="0" w:tplc="76749AEC">
      <w:start w:val="47"/>
      <w:numFmt w:val="bullet"/>
      <w:lvlText w:val="-"/>
      <w:lvlJc w:val="left"/>
      <w:pPr>
        <w:ind w:left="720" w:hanging="360"/>
      </w:pPr>
      <w:rPr>
        <w:rFonts w:ascii="Verdana" w:hAnsi="Verdana" w:hint="default"/>
      </w:rPr>
    </w:lvl>
    <w:lvl w:ilvl="1" w:tplc="EE7474C2" w:tentative="1">
      <w:start w:val="1"/>
      <w:numFmt w:val="bullet"/>
      <w:lvlText w:val="o"/>
      <w:lvlJc w:val="left"/>
      <w:pPr>
        <w:ind w:left="1440" w:hanging="360"/>
      </w:pPr>
      <w:rPr>
        <w:rFonts w:ascii="Courier New" w:hAnsi="Courier New" w:hint="default"/>
      </w:rPr>
    </w:lvl>
    <w:lvl w:ilvl="2" w:tplc="CCBA9680" w:tentative="1">
      <w:start w:val="1"/>
      <w:numFmt w:val="bullet"/>
      <w:lvlText w:val=""/>
      <w:lvlJc w:val="left"/>
      <w:pPr>
        <w:ind w:left="2160" w:hanging="360"/>
      </w:pPr>
      <w:rPr>
        <w:rFonts w:ascii="Wingdings" w:hAnsi="Wingdings" w:hint="default"/>
      </w:rPr>
    </w:lvl>
    <w:lvl w:ilvl="3" w:tplc="30E04D12" w:tentative="1">
      <w:start w:val="1"/>
      <w:numFmt w:val="bullet"/>
      <w:lvlText w:val=""/>
      <w:lvlJc w:val="left"/>
      <w:pPr>
        <w:ind w:left="2880" w:hanging="360"/>
      </w:pPr>
      <w:rPr>
        <w:rFonts w:ascii="Symbol" w:hAnsi="Symbol" w:hint="default"/>
      </w:rPr>
    </w:lvl>
    <w:lvl w:ilvl="4" w:tplc="11F8C6B2" w:tentative="1">
      <w:start w:val="1"/>
      <w:numFmt w:val="bullet"/>
      <w:lvlText w:val="o"/>
      <w:lvlJc w:val="left"/>
      <w:pPr>
        <w:ind w:left="3600" w:hanging="360"/>
      </w:pPr>
      <w:rPr>
        <w:rFonts w:ascii="Courier New" w:hAnsi="Courier New" w:hint="default"/>
      </w:rPr>
    </w:lvl>
    <w:lvl w:ilvl="5" w:tplc="35707178" w:tentative="1">
      <w:start w:val="1"/>
      <w:numFmt w:val="bullet"/>
      <w:lvlText w:val=""/>
      <w:lvlJc w:val="left"/>
      <w:pPr>
        <w:ind w:left="4320" w:hanging="360"/>
      </w:pPr>
      <w:rPr>
        <w:rFonts w:ascii="Wingdings" w:hAnsi="Wingdings" w:hint="default"/>
      </w:rPr>
    </w:lvl>
    <w:lvl w:ilvl="6" w:tplc="90BE751A" w:tentative="1">
      <w:start w:val="1"/>
      <w:numFmt w:val="bullet"/>
      <w:lvlText w:val=""/>
      <w:lvlJc w:val="left"/>
      <w:pPr>
        <w:ind w:left="5040" w:hanging="360"/>
      </w:pPr>
      <w:rPr>
        <w:rFonts w:ascii="Symbol" w:hAnsi="Symbol" w:hint="default"/>
      </w:rPr>
    </w:lvl>
    <w:lvl w:ilvl="7" w:tplc="ED8E160E" w:tentative="1">
      <w:start w:val="1"/>
      <w:numFmt w:val="bullet"/>
      <w:lvlText w:val="o"/>
      <w:lvlJc w:val="left"/>
      <w:pPr>
        <w:ind w:left="5760" w:hanging="360"/>
      </w:pPr>
      <w:rPr>
        <w:rFonts w:ascii="Courier New" w:hAnsi="Courier New" w:hint="default"/>
      </w:rPr>
    </w:lvl>
    <w:lvl w:ilvl="8" w:tplc="58DC8B90" w:tentative="1">
      <w:start w:val="1"/>
      <w:numFmt w:val="bullet"/>
      <w:lvlText w:val=""/>
      <w:lvlJc w:val="left"/>
      <w:pPr>
        <w:ind w:left="648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D92FB1"/>
    <w:multiLevelType w:val="multilevel"/>
    <w:tmpl w:val="AA9E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555FEF"/>
    <w:multiLevelType w:val="hybridMultilevel"/>
    <w:tmpl w:val="50F0923E"/>
    <w:lvl w:ilvl="0" w:tplc="99C8F50C">
      <w:start w:val="1"/>
      <w:numFmt w:val="bullet"/>
      <w:pStyle w:val="Lijstopsomteken2"/>
      <w:lvlText w:val="–"/>
      <w:lvlJc w:val="left"/>
      <w:pPr>
        <w:tabs>
          <w:tab w:val="num" w:pos="227"/>
        </w:tabs>
        <w:ind w:left="227" w:firstLine="0"/>
      </w:pPr>
      <w:rPr>
        <w:rFonts w:ascii="Verdana" w:hAnsi="Verdana" w:hint="default"/>
      </w:rPr>
    </w:lvl>
    <w:lvl w:ilvl="1" w:tplc="981E53BE" w:tentative="1">
      <w:start w:val="1"/>
      <w:numFmt w:val="bullet"/>
      <w:lvlText w:val="o"/>
      <w:lvlJc w:val="left"/>
      <w:pPr>
        <w:tabs>
          <w:tab w:val="num" w:pos="1440"/>
        </w:tabs>
        <w:ind w:left="1440" w:hanging="360"/>
      </w:pPr>
      <w:rPr>
        <w:rFonts w:ascii="Courier New" w:hAnsi="Courier New" w:cs="Courier New" w:hint="default"/>
      </w:rPr>
    </w:lvl>
    <w:lvl w:ilvl="2" w:tplc="0152E2C6" w:tentative="1">
      <w:start w:val="1"/>
      <w:numFmt w:val="bullet"/>
      <w:lvlText w:val=""/>
      <w:lvlJc w:val="left"/>
      <w:pPr>
        <w:tabs>
          <w:tab w:val="num" w:pos="2160"/>
        </w:tabs>
        <w:ind w:left="2160" w:hanging="360"/>
      </w:pPr>
      <w:rPr>
        <w:rFonts w:ascii="Wingdings" w:hAnsi="Wingdings" w:hint="default"/>
      </w:rPr>
    </w:lvl>
    <w:lvl w:ilvl="3" w:tplc="4EAEDEEA" w:tentative="1">
      <w:start w:val="1"/>
      <w:numFmt w:val="bullet"/>
      <w:lvlText w:val=""/>
      <w:lvlJc w:val="left"/>
      <w:pPr>
        <w:tabs>
          <w:tab w:val="num" w:pos="2880"/>
        </w:tabs>
        <w:ind w:left="2880" w:hanging="360"/>
      </w:pPr>
      <w:rPr>
        <w:rFonts w:ascii="Symbol" w:hAnsi="Symbol" w:hint="default"/>
      </w:rPr>
    </w:lvl>
    <w:lvl w:ilvl="4" w:tplc="50A8D684" w:tentative="1">
      <w:start w:val="1"/>
      <w:numFmt w:val="bullet"/>
      <w:lvlText w:val="o"/>
      <w:lvlJc w:val="left"/>
      <w:pPr>
        <w:tabs>
          <w:tab w:val="num" w:pos="3600"/>
        </w:tabs>
        <w:ind w:left="3600" w:hanging="360"/>
      </w:pPr>
      <w:rPr>
        <w:rFonts w:ascii="Courier New" w:hAnsi="Courier New" w:cs="Courier New" w:hint="default"/>
      </w:rPr>
    </w:lvl>
    <w:lvl w:ilvl="5" w:tplc="3852F8F2" w:tentative="1">
      <w:start w:val="1"/>
      <w:numFmt w:val="bullet"/>
      <w:lvlText w:val=""/>
      <w:lvlJc w:val="left"/>
      <w:pPr>
        <w:tabs>
          <w:tab w:val="num" w:pos="4320"/>
        </w:tabs>
        <w:ind w:left="4320" w:hanging="360"/>
      </w:pPr>
      <w:rPr>
        <w:rFonts w:ascii="Wingdings" w:hAnsi="Wingdings" w:hint="default"/>
      </w:rPr>
    </w:lvl>
    <w:lvl w:ilvl="6" w:tplc="1D20A188" w:tentative="1">
      <w:start w:val="1"/>
      <w:numFmt w:val="bullet"/>
      <w:lvlText w:val=""/>
      <w:lvlJc w:val="left"/>
      <w:pPr>
        <w:tabs>
          <w:tab w:val="num" w:pos="5040"/>
        </w:tabs>
        <w:ind w:left="5040" w:hanging="360"/>
      </w:pPr>
      <w:rPr>
        <w:rFonts w:ascii="Symbol" w:hAnsi="Symbol" w:hint="default"/>
      </w:rPr>
    </w:lvl>
    <w:lvl w:ilvl="7" w:tplc="6CF2D800" w:tentative="1">
      <w:start w:val="1"/>
      <w:numFmt w:val="bullet"/>
      <w:lvlText w:val="o"/>
      <w:lvlJc w:val="left"/>
      <w:pPr>
        <w:tabs>
          <w:tab w:val="num" w:pos="5760"/>
        </w:tabs>
        <w:ind w:left="5760" w:hanging="360"/>
      </w:pPr>
      <w:rPr>
        <w:rFonts w:ascii="Courier New" w:hAnsi="Courier New" w:cs="Courier New" w:hint="default"/>
      </w:rPr>
    </w:lvl>
    <w:lvl w:ilvl="8" w:tplc="0AA6C7D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C42481"/>
    <w:multiLevelType w:val="multilevel"/>
    <w:tmpl w:val="68B0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C751D2"/>
    <w:multiLevelType w:val="hybridMultilevel"/>
    <w:tmpl w:val="5D363650"/>
    <w:lvl w:ilvl="0" w:tplc="FC389254">
      <w:start w:val="1"/>
      <w:numFmt w:val="bullet"/>
      <w:lvlText w:val="-"/>
      <w:lvlJc w:val="left"/>
      <w:pPr>
        <w:ind w:left="720" w:hanging="360"/>
      </w:pPr>
      <w:rPr>
        <w:rFonts w:ascii="Verdana" w:hAnsi="Verdana" w:hint="default"/>
      </w:rPr>
    </w:lvl>
    <w:lvl w:ilvl="1" w:tplc="4E84B5A0" w:tentative="1">
      <w:start w:val="1"/>
      <w:numFmt w:val="bullet"/>
      <w:lvlText w:val="o"/>
      <w:lvlJc w:val="left"/>
      <w:pPr>
        <w:ind w:left="1440" w:hanging="360"/>
      </w:pPr>
      <w:rPr>
        <w:rFonts w:ascii="Courier New" w:hAnsi="Courier New" w:hint="default"/>
      </w:rPr>
    </w:lvl>
    <w:lvl w:ilvl="2" w:tplc="43243A42" w:tentative="1">
      <w:start w:val="1"/>
      <w:numFmt w:val="bullet"/>
      <w:lvlText w:val=""/>
      <w:lvlJc w:val="left"/>
      <w:pPr>
        <w:ind w:left="2160" w:hanging="360"/>
      </w:pPr>
      <w:rPr>
        <w:rFonts w:ascii="Wingdings" w:hAnsi="Wingdings" w:hint="default"/>
      </w:rPr>
    </w:lvl>
    <w:lvl w:ilvl="3" w:tplc="86A297BA" w:tentative="1">
      <w:start w:val="1"/>
      <w:numFmt w:val="bullet"/>
      <w:lvlText w:val=""/>
      <w:lvlJc w:val="left"/>
      <w:pPr>
        <w:ind w:left="2880" w:hanging="360"/>
      </w:pPr>
      <w:rPr>
        <w:rFonts w:ascii="Symbol" w:hAnsi="Symbol" w:hint="default"/>
      </w:rPr>
    </w:lvl>
    <w:lvl w:ilvl="4" w:tplc="49362FCC" w:tentative="1">
      <w:start w:val="1"/>
      <w:numFmt w:val="bullet"/>
      <w:lvlText w:val="o"/>
      <w:lvlJc w:val="left"/>
      <w:pPr>
        <w:ind w:left="3600" w:hanging="360"/>
      </w:pPr>
      <w:rPr>
        <w:rFonts w:ascii="Courier New" w:hAnsi="Courier New" w:hint="default"/>
      </w:rPr>
    </w:lvl>
    <w:lvl w:ilvl="5" w:tplc="067C1FFA" w:tentative="1">
      <w:start w:val="1"/>
      <w:numFmt w:val="bullet"/>
      <w:lvlText w:val=""/>
      <w:lvlJc w:val="left"/>
      <w:pPr>
        <w:ind w:left="4320" w:hanging="360"/>
      </w:pPr>
      <w:rPr>
        <w:rFonts w:ascii="Wingdings" w:hAnsi="Wingdings" w:hint="default"/>
      </w:rPr>
    </w:lvl>
    <w:lvl w:ilvl="6" w:tplc="38E64AA8" w:tentative="1">
      <w:start w:val="1"/>
      <w:numFmt w:val="bullet"/>
      <w:lvlText w:val=""/>
      <w:lvlJc w:val="left"/>
      <w:pPr>
        <w:ind w:left="5040" w:hanging="360"/>
      </w:pPr>
      <w:rPr>
        <w:rFonts w:ascii="Symbol" w:hAnsi="Symbol" w:hint="default"/>
      </w:rPr>
    </w:lvl>
    <w:lvl w:ilvl="7" w:tplc="888247DC" w:tentative="1">
      <w:start w:val="1"/>
      <w:numFmt w:val="bullet"/>
      <w:lvlText w:val="o"/>
      <w:lvlJc w:val="left"/>
      <w:pPr>
        <w:ind w:left="5760" w:hanging="360"/>
      </w:pPr>
      <w:rPr>
        <w:rFonts w:ascii="Courier New" w:hAnsi="Courier New" w:hint="default"/>
      </w:rPr>
    </w:lvl>
    <w:lvl w:ilvl="8" w:tplc="2F4CDBCC" w:tentative="1">
      <w:start w:val="1"/>
      <w:numFmt w:val="bullet"/>
      <w:lvlText w:val=""/>
      <w:lvlJc w:val="left"/>
      <w:pPr>
        <w:ind w:left="6480" w:hanging="360"/>
      </w:pPr>
      <w:rPr>
        <w:rFonts w:ascii="Wingdings" w:hAnsi="Wingdings" w:hint="default"/>
      </w:rPr>
    </w:lvl>
  </w:abstractNum>
  <w:abstractNum w:abstractNumId="20" w15:restartNumberingAfterBreak="0">
    <w:nsid w:val="24A50C8B"/>
    <w:multiLevelType w:val="multilevel"/>
    <w:tmpl w:val="A484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62590F"/>
    <w:multiLevelType w:val="hybridMultilevel"/>
    <w:tmpl w:val="BB96FE82"/>
    <w:lvl w:ilvl="0" w:tplc="5D865C6A">
      <w:start w:val="1"/>
      <w:numFmt w:val="decimal"/>
      <w:lvlText w:val="%1."/>
      <w:lvlJc w:val="left"/>
      <w:pPr>
        <w:ind w:left="1020" w:hanging="360"/>
      </w:pPr>
    </w:lvl>
    <w:lvl w:ilvl="1" w:tplc="B3569220">
      <w:start w:val="1"/>
      <w:numFmt w:val="decimal"/>
      <w:lvlText w:val="%2."/>
      <w:lvlJc w:val="left"/>
      <w:pPr>
        <w:ind w:left="1020" w:hanging="360"/>
      </w:pPr>
    </w:lvl>
    <w:lvl w:ilvl="2" w:tplc="587615CE">
      <w:start w:val="1"/>
      <w:numFmt w:val="decimal"/>
      <w:lvlText w:val="%3."/>
      <w:lvlJc w:val="left"/>
      <w:pPr>
        <w:ind w:left="1020" w:hanging="360"/>
      </w:pPr>
    </w:lvl>
    <w:lvl w:ilvl="3" w:tplc="DB026B0A">
      <w:start w:val="1"/>
      <w:numFmt w:val="decimal"/>
      <w:lvlText w:val="%4."/>
      <w:lvlJc w:val="left"/>
      <w:pPr>
        <w:ind w:left="1020" w:hanging="360"/>
      </w:pPr>
    </w:lvl>
    <w:lvl w:ilvl="4" w:tplc="FED61AAC">
      <w:start w:val="1"/>
      <w:numFmt w:val="decimal"/>
      <w:lvlText w:val="%5."/>
      <w:lvlJc w:val="left"/>
      <w:pPr>
        <w:ind w:left="1020" w:hanging="360"/>
      </w:pPr>
    </w:lvl>
    <w:lvl w:ilvl="5" w:tplc="B7A6E228">
      <w:start w:val="1"/>
      <w:numFmt w:val="decimal"/>
      <w:lvlText w:val="%6."/>
      <w:lvlJc w:val="left"/>
      <w:pPr>
        <w:ind w:left="1020" w:hanging="360"/>
      </w:pPr>
    </w:lvl>
    <w:lvl w:ilvl="6" w:tplc="B172EF00">
      <w:start w:val="1"/>
      <w:numFmt w:val="decimal"/>
      <w:lvlText w:val="%7."/>
      <w:lvlJc w:val="left"/>
      <w:pPr>
        <w:ind w:left="1020" w:hanging="360"/>
      </w:pPr>
    </w:lvl>
    <w:lvl w:ilvl="7" w:tplc="5806797C">
      <w:start w:val="1"/>
      <w:numFmt w:val="decimal"/>
      <w:lvlText w:val="%8."/>
      <w:lvlJc w:val="left"/>
      <w:pPr>
        <w:ind w:left="1020" w:hanging="360"/>
      </w:pPr>
    </w:lvl>
    <w:lvl w:ilvl="8" w:tplc="1CB4A73E">
      <w:start w:val="1"/>
      <w:numFmt w:val="decimal"/>
      <w:lvlText w:val="%9."/>
      <w:lvlJc w:val="left"/>
      <w:pPr>
        <w:ind w:left="1020" w:hanging="360"/>
      </w:pPr>
    </w:lvl>
  </w:abstractNum>
  <w:abstractNum w:abstractNumId="22" w15:restartNumberingAfterBreak="0">
    <w:nsid w:val="288D67BE"/>
    <w:multiLevelType w:val="multilevel"/>
    <w:tmpl w:val="8816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1B18F6"/>
    <w:multiLevelType w:val="multilevel"/>
    <w:tmpl w:val="BA96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DF27D2"/>
    <w:multiLevelType w:val="hybridMultilevel"/>
    <w:tmpl w:val="DB303AE6"/>
    <w:lvl w:ilvl="0" w:tplc="F618A418">
      <w:start w:val="1"/>
      <w:numFmt w:val="decimal"/>
      <w:lvlText w:val="%1."/>
      <w:lvlJc w:val="left"/>
      <w:pPr>
        <w:ind w:left="1020" w:hanging="360"/>
      </w:pPr>
    </w:lvl>
    <w:lvl w:ilvl="1" w:tplc="9816F522">
      <w:start w:val="1"/>
      <w:numFmt w:val="decimal"/>
      <w:lvlText w:val="%2."/>
      <w:lvlJc w:val="left"/>
      <w:pPr>
        <w:ind w:left="1020" w:hanging="360"/>
      </w:pPr>
    </w:lvl>
    <w:lvl w:ilvl="2" w:tplc="BE94D49A">
      <w:start w:val="1"/>
      <w:numFmt w:val="decimal"/>
      <w:lvlText w:val="%3."/>
      <w:lvlJc w:val="left"/>
      <w:pPr>
        <w:ind w:left="1020" w:hanging="360"/>
      </w:pPr>
    </w:lvl>
    <w:lvl w:ilvl="3" w:tplc="B9CE8E44">
      <w:start w:val="1"/>
      <w:numFmt w:val="decimal"/>
      <w:lvlText w:val="%4."/>
      <w:lvlJc w:val="left"/>
      <w:pPr>
        <w:ind w:left="1020" w:hanging="360"/>
      </w:pPr>
    </w:lvl>
    <w:lvl w:ilvl="4" w:tplc="6054EB70">
      <w:start w:val="1"/>
      <w:numFmt w:val="decimal"/>
      <w:lvlText w:val="%5."/>
      <w:lvlJc w:val="left"/>
      <w:pPr>
        <w:ind w:left="1020" w:hanging="360"/>
      </w:pPr>
    </w:lvl>
    <w:lvl w:ilvl="5" w:tplc="C6E849CC">
      <w:start w:val="1"/>
      <w:numFmt w:val="decimal"/>
      <w:lvlText w:val="%6."/>
      <w:lvlJc w:val="left"/>
      <w:pPr>
        <w:ind w:left="1020" w:hanging="360"/>
      </w:pPr>
    </w:lvl>
    <w:lvl w:ilvl="6" w:tplc="75D4B6B0">
      <w:start w:val="1"/>
      <w:numFmt w:val="decimal"/>
      <w:lvlText w:val="%7."/>
      <w:lvlJc w:val="left"/>
      <w:pPr>
        <w:ind w:left="1020" w:hanging="360"/>
      </w:pPr>
    </w:lvl>
    <w:lvl w:ilvl="7" w:tplc="FE7EC95A">
      <w:start w:val="1"/>
      <w:numFmt w:val="decimal"/>
      <w:lvlText w:val="%8."/>
      <w:lvlJc w:val="left"/>
      <w:pPr>
        <w:ind w:left="1020" w:hanging="360"/>
      </w:pPr>
    </w:lvl>
    <w:lvl w:ilvl="8" w:tplc="1E308A50">
      <w:start w:val="1"/>
      <w:numFmt w:val="decimal"/>
      <w:lvlText w:val="%9."/>
      <w:lvlJc w:val="left"/>
      <w:pPr>
        <w:ind w:left="1020" w:hanging="360"/>
      </w:pPr>
    </w:lvl>
  </w:abstractNum>
  <w:abstractNum w:abstractNumId="25" w15:restartNumberingAfterBreak="0">
    <w:nsid w:val="31071A99"/>
    <w:multiLevelType w:val="multilevel"/>
    <w:tmpl w:val="3104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873CBA"/>
    <w:multiLevelType w:val="hybridMultilevel"/>
    <w:tmpl w:val="B1BE7CD6"/>
    <w:lvl w:ilvl="0" w:tplc="A98E1F0E">
      <w:start w:val="1"/>
      <w:numFmt w:val="decimal"/>
      <w:lvlText w:val="%1."/>
      <w:lvlJc w:val="left"/>
      <w:pPr>
        <w:ind w:left="1020" w:hanging="360"/>
      </w:pPr>
    </w:lvl>
    <w:lvl w:ilvl="1" w:tplc="ADD2C8A0">
      <w:start w:val="1"/>
      <w:numFmt w:val="decimal"/>
      <w:lvlText w:val="%2."/>
      <w:lvlJc w:val="left"/>
      <w:pPr>
        <w:ind w:left="1020" w:hanging="360"/>
      </w:pPr>
    </w:lvl>
    <w:lvl w:ilvl="2" w:tplc="28C472DA">
      <w:start w:val="1"/>
      <w:numFmt w:val="decimal"/>
      <w:lvlText w:val="%3."/>
      <w:lvlJc w:val="left"/>
      <w:pPr>
        <w:ind w:left="1020" w:hanging="360"/>
      </w:pPr>
    </w:lvl>
    <w:lvl w:ilvl="3" w:tplc="908AA9B8">
      <w:start w:val="1"/>
      <w:numFmt w:val="decimal"/>
      <w:lvlText w:val="%4."/>
      <w:lvlJc w:val="left"/>
      <w:pPr>
        <w:ind w:left="1020" w:hanging="360"/>
      </w:pPr>
    </w:lvl>
    <w:lvl w:ilvl="4" w:tplc="657233E2">
      <w:start w:val="1"/>
      <w:numFmt w:val="decimal"/>
      <w:lvlText w:val="%5."/>
      <w:lvlJc w:val="left"/>
      <w:pPr>
        <w:ind w:left="1020" w:hanging="360"/>
      </w:pPr>
    </w:lvl>
    <w:lvl w:ilvl="5" w:tplc="DFFA27BE">
      <w:start w:val="1"/>
      <w:numFmt w:val="decimal"/>
      <w:lvlText w:val="%6."/>
      <w:lvlJc w:val="left"/>
      <w:pPr>
        <w:ind w:left="1020" w:hanging="360"/>
      </w:pPr>
    </w:lvl>
    <w:lvl w:ilvl="6" w:tplc="122EAF4C">
      <w:start w:val="1"/>
      <w:numFmt w:val="decimal"/>
      <w:lvlText w:val="%7."/>
      <w:lvlJc w:val="left"/>
      <w:pPr>
        <w:ind w:left="1020" w:hanging="360"/>
      </w:pPr>
    </w:lvl>
    <w:lvl w:ilvl="7" w:tplc="6EBA55DC">
      <w:start w:val="1"/>
      <w:numFmt w:val="decimal"/>
      <w:lvlText w:val="%8."/>
      <w:lvlJc w:val="left"/>
      <w:pPr>
        <w:ind w:left="1020" w:hanging="360"/>
      </w:pPr>
    </w:lvl>
    <w:lvl w:ilvl="8" w:tplc="37F4E94A">
      <w:start w:val="1"/>
      <w:numFmt w:val="decimal"/>
      <w:lvlText w:val="%9."/>
      <w:lvlJc w:val="left"/>
      <w:pPr>
        <w:ind w:left="1020" w:hanging="360"/>
      </w:pPr>
    </w:lvl>
  </w:abstractNum>
  <w:abstractNum w:abstractNumId="27" w15:restartNumberingAfterBreak="0">
    <w:nsid w:val="375A45D8"/>
    <w:multiLevelType w:val="multilevel"/>
    <w:tmpl w:val="5F6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FD2B3F"/>
    <w:multiLevelType w:val="hybridMultilevel"/>
    <w:tmpl w:val="B8D45422"/>
    <w:lvl w:ilvl="0" w:tplc="916E9FC0">
      <w:start w:val="2"/>
      <w:numFmt w:val="bullet"/>
      <w:lvlText w:val="-"/>
      <w:lvlJc w:val="left"/>
      <w:pPr>
        <w:ind w:left="720" w:hanging="360"/>
      </w:pPr>
      <w:rPr>
        <w:rFonts w:ascii="Verdana" w:hAnsi="Verdana" w:hint="default"/>
      </w:rPr>
    </w:lvl>
    <w:lvl w:ilvl="1" w:tplc="2A5EB100" w:tentative="1">
      <w:start w:val="1"/>
      <w:numFmt w:val="bullet"/>
      <w:lvlText w:val="o"/>
      <w:lvlJc w:val="left"/>
      <w:pPr>
        <w:ind w:left="1440" w:hanging="360"/>
      </w:pPr>
      <w:rPr>
        <w:rFonts w:ascii="Courier New" w:hAnsi="Courier New" w:hint="default"/>
      </w:rPr>
    </w:lvl>
    <w:lvl w:ilvl="2" w:tplc="C1207DE2" w:tentative="1">
      <w:start w:val="1"/>
      <w:numFmt w:val="bullet"/>
      <w:lvlText w:val=""/>
      <w:lvlJc w:val="left"/>
      <w:pPr>
        <w:ind w:left="2160" w:hanging="360"/>
      </w:pPr>
      <w:rPr>
        <w:rFonts w:ascii="Wingdings" w:hAnsi="Wingdings" w:hint="default"/>
      </w:rPr>
    </w:lvl>
    <w:lvl w:ilvl="3" w:tplc="B0A2ACD8" w:tentative="1">
      <w:start w:val="1"/>
      <w:numFmt w:val="bullet"/>
      <w:lvlText w:val=""/>
      <w:lvlJc w:val="left"/>
      <w:pPr>
        <w:ind w:left="2880" w:hanging="360"/>
      </w:pPr>
      <w:rPr>
        <w:rFonts w:ascii="Symbol" w:hAnsi="Symbol" w:hint="default"/>
      </w:rPr>
    </w:lvl>
    <w:lvl w:ilvl="4" w:tplc="89449BA6" w:tentative="1">
      <w:start w:val="1"/>
      <w:numFmt w:val="bullet"/>
      <w:lvlText w:val="o"/>
      <w:lvlJc w:val="left"/>
      <w:pPr>
        <w:ind w:left="3600" w:hanging="360"/>
      </w:pPr>
      <w:rPr>
        <w:rFonts w:ascii="Courier New" w:hAnsi="Courier New" w:hint="default"/>
      </w:rPr>
    </w:lvl>
    <w:lvl w:ilvl="5" w:tplc="DDDCC7E4" w:tentative="1">
      <w:start w:val="1"/>
      <w:numFmt w:val="bullet"/>
      <w:lvlText w:val=""/>
      <w:lvlJc w:val="left"/>
      <w:pPr>
        <w:ind w:left="4320" w:hanging="360"/>
      </w:pPr>
      <w:rPr>
        <w:rFonts w:ascii="Wingdings" w:hAnsi="Wingdings" w:hint="default"/>
      </w:rPr>
    </w:lvl>
    <w:lvl w:ilvl="6" w:tplc="20C20BAC" w:tentative="1">
      <w:start w:val="1"/>
      <w:numFmt w:val="bullet"/>
      <w:lvlText w:val=""/>
      <w:lvlJc w:val="left"/>
      <w:pPr>
        <w:ind w:left="5040" w:hanging="360"/>
      </w:pPr>
      <w:rPr>
        <w:rFonts w:ascii="Symbol" w:hAnsi="Symbol" w:hint="default"/>
      </w:rPr>
    </w:lvl>
    <w:lvl w:ilvl="7" w:tplc="4B520D62" w:tentative="1">
      <w:start w:val="1"/>
      <w:numFmt w:val="bullet"/>
      <w:lvlText w:val="o"/>
      <w:lvlJc w:val="left"/>
      <w:pPr>
        <w:ind w:left="5760" w:hanging="360"/>
      </w:pPr>
      <w:rPr>
        <w:rFonts w:ascii="Courier New" w:hAnsi="Courier New" w:hint="default"/>
      </w:rPr>
    </w:lvl>
    <w:lvl w:ilvl="8" w:tplc="DF0EAF6A" w:tentative="1">
      <w:start w:val="1"/>
      <w:numFmt w:val="bullet"/>
      <w:lvlText w:val=""/>
      <w:lvlJc w:val="left"/>
      <w:pPr>
        <w:ind w:left="6480" w:hanging="360"/>
      </w:pPr>
      <w:rPr>
        <w:rFonts w:ascii="Wingdings" w:hAnsi="Wingdings" w:hint="default"/>
      </w:rPr>
    </w:lvl>
  </w:abstractNum>
  <w:abstractNum w:abstractNumId="29" w15:restartNumberingAfterBreak="0">
    <w:nsid w:val="412B4369"/>
    <w:multiLevelType w:val="multilevel"/>
    <w:tmpl w:val="96AE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5C0F10"/>
    <w:multiLevelType w:val="hybridMultilevel"/>
    <w:tmpl w:val="4D064A10"/>
    <w:lvl w:ilvl="0" w:tplc="1908C140">
      <w:start w:val="1"/>
      <w:numFmt w:val="bullet"/>
      <w:lvlText w:val="-"/>
      <w:lvlJc w:val="left"/>
      <w:pPr>
        <w:ind w:left="720" w:hanging="360"/>
      </w:pPr>
      <w:rPr>
        <w:rFonts w:ascii="Verdana" w:hAnsi="Verdana" w:hint="default"/>
      </w:rPr>
    </w:lvl>
    <w:lvl w:ilvl="1" w:tplc="2E0004FC">
      <w:start w:val="1"/>
      <w:numFmt w:val="bullet"/>
      <w:lvlText w:val="o"/>
      <w:lvlJc w:val="left"/>
      <w:pPr>
        <w:ind w:left="1440" w:hanging="360"/>
      </w:pPr>
      <w:rPr>
        <w:rFonts w:ascii="Courier New" w:hAnsi="Courier New" w:hint="default"/>
      </w:rPr>
    </w:lvl>
    <w:lvl w:ilvl="2" w:tplc="A0402B10" w:tentative="1">
      <w:start w:val="1"/>
      <w:numFmt w:val="bullet"/>
      <w:lvlText w:val=""/>
      <w:lvlJc w:val="left"/>
      <w:pPr>
        <w:ind w:left="2160" w:hanging="360"/>
      </w:pPr>
      <w:rPr>
        <w:rFonts w:ascii="Wingdings" w:hAnsi="Wingdings" w:hint="default"/>
      </w:rPr>
    </w:lvl>
    <w:lvl w:ilvl="3" w:tplc="70D65606" w:tentative="1">
      <w:start w:val="1"/>
      <w:numFmt w:val="bullet"/>
      <w:lvlText w:val=""/>
      <w:lvlJc w:val="left"/>
      <w:pPr>
        <w:ind w:left="2880" w:hanging="360"/>
      </w:pPr>
      <w:rPr>
        <w:rFonts w:ascii="Symbol" w:hAnsi="Symbol" w:hint="default"/>
      </w:rPr>
    </w:lvl>
    <w:lvl w:ilvl="4" w:tplc="979EED40" w:tentative="1">
      <w:start w:val="1"/>
      <w:numFmt w:val="bullet"/>
      <w:lvlText w:val="o"/>
      <w:lvlJc w:val="left"/>
      <w:pPr>
        <w:ind w:left="3600" w:hanging="360"/>
      </w:pPr>
      <w:rPr>
        <w:rFonts w:ascii="Courier New" w:hAnsi="Courier New" w:hint="default"/>
      </w:rPr>
    </w:lvl>
    <w:lvl w:ilvl="5" w:tplc="64B25694" w:tentative="1">
      <w:start w:val="1"/>
      <w:numFmt w:val="bullet"/>
      <w:lvlText w:val=""/>
      <w:lvlJc w:val="left"/>
      <w:pPr>
        <w:ind w:left="4320" w:hanging="360"/>
      </w:pPr>
      <w:rPr>
        <w:rFonts w:ascii="Wingdings" w:hAnsi="Wingdings" w:hint="default"/>
      </w:rPr>
    </w:lvl>
    <w:lvl w:ilvl="6" w:tplc="D9984D8C" w:tentative="1">
      <w:start w:val="1"/>
      <w:numFmt w:val="bullet"/>
      <w:lvlText w:val=""/>
      <w:lvlJc w:val="left"/>
      <w:pPr>
        <w:ind w:left="5040" w:hanging="360"/>
      </w:pPr>
      <w:rPr>
        <w:rFonts w:ascii="Symbol" w:hAnsi="Symbol" w:hint="default"/>
      </w:rPr>
    </w:lvl>
    <w:lvl w:ilvl="7" w:tplc="4BCE9EF0" w:tentative="1">
      <w:start w:val="1"/>
      <w:numFmt w:val="bullet"/>
      <w:lvlText w:val="o"/>
      <w:lvlJc w:val="left"/>
      <w:pPr>
        <w:ind w:left="5760" w:hanging="360"/>
      </w:pPr>
      <w:rPr>
        <w:rFonts w:ascii="Courier New" w:hAnsi="Courier New" w:hint="default"/>
      </w:rPr>
    </w:lvl>
    <w:lvl w:ilvl="8" w:tplc="C638EB2E" w:tentative="1">
      <w:start w:val="1"/>
      <w:numFmt w:val="bullet"/>
      <w:lvlText w:val=""/>
      <w:lvlJc w:val="left"/>
      <w:pPr>
        <w:ind w:left="6480" w:hanging="360"/>
      </w:pPr>
      <w:rPr>
        <w:rFonts w:ascii="Wingdings" w:hAnsi="Wingdings" w:hint="default"/>
      </w:rPr>
    </w:lvl>
  </w:abstractNum>
  <w:abstractNum w:abstractNumId="32" w15:restartNumberingAfterBreak="0">
    <w:nsid w:val="552A03DD"/>
    <w:multiLevelType w:val="multilevel"/>
    <w:tmpl w:val="E86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8B0911"/>
    <w:multiLevelType w:val="hybridMultilevel"/>
    <w:tmpl w:val="1082A1FA"/>
    <w:lvl w:ilvl="0" w:tplc="98BE5C4E">
      <w:start w:val="1"/>
      <w:numFmt w:val="bullet"/>
      <w:lvlText w:val="-"/>
      <w:lvlJc w:val="left"/>
      <w:pPr>
        <w:ind w:left="720" w:hanging="360"/>
      </w:pPr>
      <w:rPr>
        <w:rFonts w:ascii="Verdana" w:hAnsi="Verdana" w:hint="default"/>
      </w:rPr>
    </w:lvl>
    <w:lvl w:ilvl="1" w:tplc="7CDA4024" w:tentative="1">
      <w:start w:val="1"/>
      <w:numFmt w:val="bullet"/>
      <w:lvlText w:val="o"/>
      <w:lvlJc w:val="left"/>
      <w:pPr>
        <w:ind w:left="1440" w:hanging="360"/>
      </w:pPr>
      <w:rPr>
        <w:rFonts w:ascii="Courier New" w:hAnsi="Courier New" w:hint="default"/>
      </w:rPr>
    </w:lvl>
    <w:lvl w:ilvl="2" w:tplc="2D50C0C6" w:tentative="1">
      <w:start w:val="1"/>
      <w:numFmt w:val="bullet"/>
      <w:lvlText w:val=""/>
      <w:lvlJc w:val="left"/>
      <w:pPr>
        <w:ind w:left="2160" w:hanging="360"/>
      </w:pPr>
      <w:rPr>
        <w:rFonts w:ascii="Wingdings" w:hAnsi="Wingdings" w:hint="default"/>
      </w:rPr>
    </w:lvl>
    <w:lvl w:ilvl="3" w:tplc="183863D6" w:tentative="1">
      <w:start w:val="1"/>
      <w:numFmt w:val="bullet"/>
      <w:lvlText w:val=""/>
      <w:lvlJc w:val="left"/>
      <w:pPr>
        <w:ind w:left="2880" w:hanging="360"/>
      </w:pPr>
      <w:rPr>
        <w:rFonts w:ascii="Symbol" w:hAnsi="Symbol" w:hint="default"/>
      </w:rPr>
    </w:lvl>
    <w:lvl w:ilvl="4" w:tplc="6DFAAE66" w:tentative="1">
      <w:start w:val="1"/>
      <w:numFmt w:val="bullet"/>
      <w:lvlText w:val="o"/>
      <w:lvlJc w:val="left"/>
      <w:pPr>
        <w:ind w:left="3600" w:hanging="360"/>
      </w:pPr>
      <w:rPr>
        <w:rFonts w:ascii="Courier New" w:hAnsi="Courier New" w:hint="default"/>
      </w:rPr>
    </w:lvl>
    <w:lvl w:ilvl="5" w:tplc="1B68AA66" w:tentative="1">
      <w:start w:val="1"/>
      <w:numFmt w:val="bullet"/>
      <w:lvlText w:val=""/>
      <w:lvlJc w:val="left"/>
      <w:pPr>
        <w:ind w:left="4320" w:hanging="360"/>
      </w:pPr>
      <w:rPr>
        <w:rFonts w:ascii="Wingdings" w:hAnsi="Wingdings" w:hint="default"/>
      </w:rPr>
    </w:lvl>
    <w:lvl w:ilvl="6" w:tplc="9C389BCC" w:tentative="1">
      <w:start w:val="1"/>
      <w:numFmt w:val="bullet"/>
      <w:lvlText w:val=""/>
      <w:lvlJc w:val="left"/>
      <w:pPr>
        <w:ind w:left="5040" w:hanging="360"/>
      </w:pPr>
      <w:rPr>
        <w:rFonts w:ascii="Symbol" w:hAnsi="Symbol" w:hint="default"/>
      </w:rPr>
    </w:lvl>
    <w:lvl w:ilvl="7" w:tplc="63448650" w:tentative="1">
      <w:start w:val="1"/>
      <w:numFmt w:val="bullet"/>
      <w:lvlText w:val="o"/>
      <w:lvlJc w:val="left"/>
      <w:pPr>
        <w:ind w:left="5760" w:hanging="360"/>
      </w:pPr>
      <w:rPr>
        <w:rFonts w:ascii="Courier New" w:hAnsi="Courier New" w:hint="default"/>
      </w:rPr>
    </w:lvl>
    <w:lvl w:ilvl="8" w:tplc="4B94E0DE" w:tentative="1">
      <w:start w:val="1"/>
      <w:numFmt w:val="bullet"/>
      <w:lvlText w:val=""/>
      <w:lvlJc w:val="left"/>
      <w:pPr>
        <w:ind w:left="6480" w:hanging="360"/>
      </w:pPr>
      <w:rPr>
        <w:rFonts w:ascii="Wingdings" w:hAnsi="Wingdings" w:hint="default"/>
      </w:rPr>
    </w:lvl>
  </w:abstractNum>
  <w:abstractNum w:abstractNumId="34" w15:restartNumberingAfterBreak="0">
    <w:nsid w:val="5A1235ED"/>
    <w:multiLevelType w:val="multilevel"/>
    <w:tmpl w:val="08AA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DC02F6"/>
    <w:multiLevelType w:val="multilevel"/>
    <w:tmpl w:val="8BBE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CD2269"/>
    <w:multiLevelType w:val="multilevel"/>
    <w:tmpl w:val="AC14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97693C"/>
    <w:multiLevelType w:val="hybridMultilevel"/>
    <w:tmpl w:val="8B141446"/>
    <w:lvl w:ilvl="0" w:tplc="5CF812FE">
      <w:start w:val="47"/>
      <w:numFmt w:val="bullet"/>
      <w:lvlText w:val="-"/>
      <w:lvlJc w:val="left"/>
      <w:pPr>
        <w:ind w:left="720" w:hanging="360"/>
      </w:pPr>
      <w:rPr>
        <w:rFonts w:ascii="Verdana" w:hAnsi="Verdana" w:hint="default"/>
      </w:rPr>
    </w:lvl>
    <w:lvl w:ilvl="1" w:tplc="070483E8" w:tentative="1">
      <w:start w:val="1"/>
      <w:numFmt w:val="bullet"/>
      <w:lvlText w:val="o"/>
      <w:lvlJc w:val="left"/>
      <w:pPr>
        <w:ind w:left="1440" w:hanging="360"/>
      </w:pPr>
      <w:rPr>
        <w:rFonts w:ascii="Courier New" w:hAnsi="Courier New" w:hint="default"/>
      </w:rPr>
    </w:lvl>
    <w:lvl w:ilvl="2" w:tplc="F6BE814E" w:tentative="1">
      <w:start w:val="1"/>
      <w:numFmt w:val="bullet"/>
      <w:lvlText w:val=""/>
      <w:lvlJc w:val="left"/>
      <w:pPr>
        <w:ind w:left="2160" w:hanging="360"/>
      </w:pPr>
      <w:rPr>
        <w:rFonts w:ascii="Wingdings" w:hAnsi="Wingdings" w:hint="default"/>
      </w:rPr>
    </w:lvl>
    <w:lvl w:ilvl="3" w:tplc="0B40E6F0" w:tentative="1">
      <w:start w:val="1"/>
      <w:numFmt w:val="bullet"/>
      <w:lvlText w:val=""/>
      <w:lvlJc w:val="left"/>
      <w:pPr>
        <w:ind w:left="2880" w:hanging="360"/>
      </w:pPr>
      <w:rPr>
        <w:rFonts w:ascii="Symbol" w:hAnsi="Symbol" w:hint="default"/>
      </w:rPr>
    </w:lvl>
    <w:lvl w:ilvl="4" w:tplc="14BA663C" w:tentative="1">
      <w:start w:val="1"/>
      <w:numFmt w:val="bullet"/>
      <w:lvlText w:val="o"/>
      <w:lvlJc w:val="left"/>
      <w:pPr>
        <w:ind w:left="3600" w:hanging="360"/>
      </w:pPr>
      <w:rPr>
        <w:rFonts w:ascii="Courier New" w:hAnsi="Courier New" w:hint="default"/>
      </w:rPr>
    </w:lvl>
    <w:lvl w:ilvl="5" w:tplc="AC3ADBA4" w:tentative="1">
      <w:start w:val="1"/>
      <w:numFmt w:val="bullet"/>
      <w:lvlText w:val=""/>
      <w:lvlJc w:val="left"/>
      <w:pPr>
        <w:ind w:left="4320" w:hanging="360"/>
      </w:pPr>
      <w:rPr>
        <w:rFonts w:ascii="Wingdings" w:hAnsi="Wingdings" w:hint="default"/>
      </w:rPr>
    </w:lvl>
    <w:lvl w:ilvl="6" w:tplc="CA54B1AE" w:tentative="1">
      <w:start w:val="1"/>
      <w:numFmt w:val="bullet"/>
      <w:lvlText w:val=""/>
      <w:lvlJc w:val="left"/>
      <w:pPr>
        <w:ind w:left="5040" w:hanging="360"/>
      </w:pPr>
      <w:rPr>
        <w:rFonts w:ascii="Symbol" w:hAnsi="Symbol" w:hint="default"/>
      </w:rPr>
    </w:lvl>
    <w:lvl w:ilvl="7" w:tplc="CECAA1A4" w:tentative="1">
      <w:start w:val="1"/>
      <w:numFmt w:val="bullet"/>
      <w:lvlText w:val="o"/>
      <w:lvlJc w:val="left"/>
      <w:pPr>
        <w:ind w:left="5760" w:hanging="360"/>
      </w:pPr>
      <w:rPr>
        <w:rFonts w:ascii="Courier New" w:hAnsi="Courier New" w:hint="default"/>
      </w:rPr>
    </w:lvl>
    <w:lvl w:ilvl="8" w:tplc="A3D842DE" w:tentative="1">
      <w:start w:val="1"/>
      <w:numFmt w:val="bullet"/>
      <w:lvlText w:val=""/>
      <w:lvlJc w:val="left"/>
      <w:pPr>
        <w:ind w:left="6480" w:hanging="360"/>
      </w:pPr>
      <w:rPr>
        <w:rFonts w:ascii="Wingdings" w:hAnsi="Wingdings" w:hint="default"/>
      </w:rPr>
    </w:lvl>
  </w:abstractNum>
  <w:abstractNum w:abstractNumId="38" w15:restartNumberingAfterBreak="0">
    <w:nsid w:val="6CD20657"/>
    <w:multiLevelType w:val="multilevel"/>
    <w:tmpl w:val="EE8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80F2B4"/>
    <w:multiLevelType w:val="hybridMultilevel"/>
    <w:tmpl w:val="FFFFFFFF"/>
    <w:lvl w:ilvl="0" w:tplc="E94C9644">
      <w:start w:val="1"/>
      <w:numFmt w:val="bullet"/>
      <w:lvlText w:val="-"/>
      <w:lvlJc w:val="left"/>
      <w:pPr>
        <w:ind w:left="720" w:hanging="360"/>
      </w:pPr>
      <w:rPr>
        <w:rFonts w:ascii="Aptos" w:hAnsi="Aptos" w:hint="default"/>
      </w:rPr>
    </w:lvl>
    <w:lvl w:ilvl="1" w:tplc="299462AE">
      <w:start w:val="1"/>
      <w:numFmt w:val="bullet"/>
      <w:lvlText w:val="o"/>
      <w:lvlJc w:val="left"/>
      <w:pPr>
        <w:ind w:left="1440" w:hanging="360"/>
      </w:pPr>
      <w:rPr>
        <w:rFonts w:ascii="Courier New" w:hAnsi="Courier New" w:hint="default"/>
      </w:rPr>
    </w:lvl>
    <w:lvl w:ilvl="2" w:tplc="3758939E">
      <w:start w:val="1"/>
      <w:numFmt w:val="bullet"/>
      <w:lvlText w:val=""/>
      <w:lvlJc w:val="left"/>
      <w:pPr>
        <w:ind w:left="2160" w:hanging="360"/>
      </w:pPr>
      <w:rPr>
        <w:rFonts w:ascii="Wingdings" w:hAnsi="Wingdings" w:hint="default"/>
      </w:rPr>
    </w:lvl>
    <w:lvl w:ilvl="3" w:tplc="B770E128">
      <w:start w:val="1"/>
      <w:numFmt w:val="bullet"/>
      <w:lvlText w:val=""/>
      <w:lvlJc w:val="left"/>
      <w:pPr>
        <w:ind w:left="2880" w:hanging="360"/>
      </w:pPr>
      <w:rPr>
        <w:rFonts w:ascii="Symbol" w:hAnsi="Symbol" w:hint="default"/>
      </w:rPr>
    </w:lvl>
    <w:lvl w:ilvl="4" w:tplc="6562BC48">
      <w:start w:val="1"/>
      <w:numFmt w:val="bullet"/>
      <w:lvlText w:val="o"/>
      <w:lvlJc w:val="left"/>
      <w:pPr>
        <w:ind w:left="3600" w:hanging="360"/>
      </w:pPr>
      <w:rPr>
        <w:rFonts w:ascii="Courier New" w:hAnsi="Courier New" w:hint="default"/>
      </w:rPr>
    </w:lvl>
    <w:lvl w:ilvl="5" w:tplc="CC7422D4">
      <w:start w:val="1"/>
      <w:numFmt w:val="bullet"/>
      <w:lvlText w:val=""/>
      <w:lvlJc w:val="left"/>
      <w:pPr>
        <w:ind w:left="4320" w:hanging="360"/>
      </w:pPr>
      <w:rPr>
        <w:rFonts w:ascii="Wingdings" w:hAnsi="Wingdings" w:hint="default"/>
      </w:rPr>
    </w:lvl>
    <w:lvl w:ilvl="6" w:tplc="867222E6">
      <w:start w:val="1"/>
      <w:numFmt w:val="bullet"/>
      <w:lvlText w:val=""/>
      <w:lvlJc w:val="left"/>
      <w:pPr>
        <w:ind w:left="5040" w:hanging="360"/>
      </w:pPr>
      <w:rPr>
        <w:rFonts w:ascii="Symbol" w:hAnsi="Symbol" w:hint="default"/>
      </w:rPr>
    </w:lvl>
    <w:lvl w:ilvl="7" w:tplc="4A96CCE4">
      <w:start w:val="1"/>
      <w:numFmt w:val="bullet"/>
      <w:lvlText w:val="o"/>
      <w:lvlJc w:val="left"/>
      <w:pPr>
        <w:ind w:left="5760" w:hanging="360"/>
      </w:pPr>
      <w:rPr>
        <w:rFonts w:ascii="Courier New" w:hAnsi="Courier New" w:hint="default"/>
      </w:rPr>
    </w:lvl>
    <w:lvl w:ilvl="8" w:tplc="F5B6F1B8">
      <w:start w:val="1"/>
      <w:numFmt w:val="bullet"/>
      <w:lvlText w:val=""/>
      <w:lvlJc w:val="left"/>
      <w:pPr>
        <w:ind w:left="6480" w:hanging="360"/>
      </w:pPr>
      <w:rPr>
        <w:rFonts w:ascii="Wingdings" w:hAnsi="Wingdings" w:hint="default"/>
      </w:rPr>
    </w:lvl>
  </w:abstractNum>
  <w:abstractNum w:abstractNumId="40" w15:restartNumberingAfterBreak="0">
    <w:nsid w:val="74DE4A26"/>
    <w:multiLevelType w:val="multilevel"/>
    <w:tmpl w:val="979C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156A30"/>
    <w:multiLevelType w:val="multilevel"/>
    <w:tmpl w:val="1BF2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CA6710"/>
    <w:multiLevelType w:val="hybridMultilevel"/>
    <w:tmpl w:val="4FFC091C"/>
    <w:lvl w:ilvl="0" w:tplc="E9A4CCAC">
      <w:start w:val="1"/>
      <w:numFmt w:val="decimal"/>
      <w:lvlText w:val="%1."/>
      <w:lvlJc w:val="left"/>
      <w:pPr>
        <w:ind w:left="1020" w:hanging="360"/>
      </w:pPr>
    </w:lvl>
    <w:lvl w:ilvl="1" w:tplc="63F67176">
      <w:start w:val="1"/>
      <w:numFmt w:val="decimal"/>
      <w:lvlText w:val="%2."/>
      <w:lvlJc w:val="left"/>
      <w:pPr>
        <w:ind w:left="1020" w:hanging="360"/>
      </w:pPr>
    </w:lvl>
    <w:lvl w:ilvl="2" w:tplc="367CAE36">
      <w:start w:val="1"/>
      <w:numFmt w:val="decimal"/>
      <w:lvlText w:val="%3."/>
      <w:lvlJc w:val="left"/>
      <w:pPr>
        <w:ind w:left="1020" w:hanging="360"/>
      </w:pPr>
    </w:lvl>
    <w:lvl w:ilvl="3" w:tplc="C36829A2">
      <w:start w:val="1"/>
      <w:numFmt w:val="decimal"/>
      <w:lvlText w:val="%4."/>
      <w:lvlJc w:val="left"/>
      <w:pPr>
        <w:ind w:left="1020" w:hanging="360"/>
      </w:pPr>
    </w:lvl>
    <w:lvl w:ilvl="4" w:tplc="9CD8AF7C">
      <w:start w:val="1"/>
      <w:numFmt w:val="decimal"/>
      <w:lvlText w:val="%5."/>
      <w:lvlJc w:val="left"/>
      <w:pPr>
        <w:ind w:left="1020" w:hanging="360"/>
      </w:pPr>
    </w:lvl>
    <w:lvl w:ilvl="5" w:tplc="9CACFEF2">
      <w:start w:val="1"/>
      <w:numFmt w:val="decimal"/>
      <w:lvlText w:val="%6."/>
      <w:lvlJc w:val="left"/>
      <w:pPr>
        <w:ind w:left="1020" w:hanging="360"/>
      </w:pPr>
    </w:lvl>
    <w:lvl w:ilvl="6" w:tplc="355C62BA">
      <w:start w:val="1"/>
      <w:numFmt w:val="decimal"/>
      <w:lvlText w:val="%7."/>
      <w:lvlJc w:val="left"/>
      <w:pPr>
        <w:ind w:left="1020" w:hanging="360"/>
      </w:pPr>
    </w:lvl>
    <w:lvl w:ilvl="7" w:tplc="0770AEB0">
      <w:start w:val="1"/>
      <w:numFmt w:val="decimal"/>
      <w:lvlText w:val="%8."/>
      <w:lvlJc w:val="left"/>
      <w:pPr>
        <w:ind w:left="1020" w:hanging="360"/>
      </w:pPr>
    </w:lvl>
    <w:lvl w:ilvl="8" w:tplc="0B7015A2">
      <w:start w:val="1"/>
      <w:numFmt w:val="decimal"/>
      <w:lvlText w:val="%9."/>
      <w:lvlJc w:val="left"/>
      <w:pPr>
        <w:ind w:left="1020" w:hanging="360"/>
      </w:pPr>
    </w:lvl>
  </w:abstractNum>
  <w:abstractNum w:abstractNumId="43" w15:restartNumberingAfterBreak="0">
    <w:nsid w:val="7ECD4BB1"/>
    <w:multiLevelType w:val="hybridMultilevel"/>
    <w:tmpl w:val="F3FE0090"/>
    <w:lvl w:ilvl="0" w:tplc="E6362B5C">
      <w:start w:val="1"/>
      <w:numFmt w:val="decimal"/>
      <w:lvlText w:val="%1)"/>
      <w:lvlJc w:val="left"/>
      <w:pPr>
        <w:ind w:left="1020" w:hanging="360"/>
      </w:pPr>
    </w:lvl>
    <w:lvl w:ilvl="1" w:tplc="D6841B0A">
      <w:start w:val="1"/>
      <w:numFmt w:val="decimal"/>
      <w:lvlText w:val="%2)"/>
      <w:lvlJc w:val="left"/>
      <w:pPr>
        <w:ind w:left="1020" w:hanging="360"/>
      </w:pPr>
    </w:lvl>
    <w:lvl w:ilvl="2" w:tplc="D2CC8B78">
      <w:start w:val="1"/>
      <w:numFmt w:val="decimal"/>
      <w:lvlText w:val="%3)"/>
      <w:lvlJc w:val="left"/>
      <w:pPr>
        <w:ind w:left="1020" w:hanging="360"/>
      </w:pPr>
    </w:lvl>
    <w:lvl w:ilvl="3" w:tplc="0FD0F540">
      <w:start w:val="1"/>
      <w:numFmt w:val="decimal"/>
      <w:lvlText w:val="%4)"/>
      <w:lvlJc w:val="left"/>
      <w:pPr>
        <w:ind w:left="1020" w:hanging="360"/>
      </w:pPr>
    </w:lvl>
    <w:lvl w:ilvl="4" w:tplc="25905A10">
      <w:start w:val="1"/>
      <w:numFmt w:val="decimal"/>
      <w:lvlText w:val="%5)"/>
      <w:lvlJc w:val="left"/>
      <w:pPr>
        <w:ind w:left="1020" w:hanging="360"/>
      </w:pPr>
    </w:lvl>
    <w:lvl w:ilvl="5" w:tplc="7EDAEED0">
      <w:start w:val="1"/>
      <w:numFmt w:val="decimal"/>
      <w:lvlText w:val="%6)"/>
      <w:lvlJc w:val="left"/>
      <w:pPr>
        <w:ind w:left="1020" w:hanging="360"/>
      </w:pPr>
    </w:lvl>
    <w:lvl w:ilvl="6" w:tplc="4A4EF08A">
      <w:start w:val="1"/>
      <w:numFmt w:val="decimal"/>
      <w:lvlText w:val="%7)"/>
      <w:lvlJc w:val="left"/>
      <w:pPr>
        <w:ind w:left="1020" w:hanging="360"/>
      </w:pPr>
    </w:lvl>
    <w:lvl w:ilvl="7" w:tplc="7A4C27C6">
      <w:start w:val="1"/>
      <w:numFmt w:val="decimal"/>
      <w:lvlText w:val="%8)"/>
      <w:lvlJc w:val="left"/>
      <w:pPr>
        <w:ind w:left="1020" w:hanging="360"/>
      </w:pPr>
    </w:lvl>
    <w:lvl w:ilvl="8" w:tplc="32321D8A">
      <w:start w:val="1"/>
      <w:numFmt w:val="decimal"/>
      <w:lvlText w:val="%9)"/>
      <w:lvlJc w:val="left"/>
      <w:pPr>
        <w:ind w:left="1020" w:hanging="360"/>
      </w:pPr>
    </w:lvl>
  </w:abstractNum>
  <w:num w:numId="1" w16cid:durableId="673000665">
    <w:abstractNumId w:val="11"/>
  </w:num>
  <w:num w:numId="2" w16cid:durableId="1531727266">
    <w:abstractNumId w:val="7"/>
  </w:num>
  <w:num w:numId="3" w16cid:durableId="1983802802">
    <w:abstractNumId w:val="6"/>
  </w:num>
  <w:num w:numId="4" w16cid:durableId="822815446">
    <w:abstractNumId w:val="5"/>
  </w:num>
  <w:num w:numId="5" w16cid:durableId="828062458">
    <w:abstractNumId w:val="4"/>
  </w:num>
  <w:num w:numId="6" w16cid:durableId="1671519121">
    <w:abstractNumId w:val="8"/>
  </w:num>
  <w:num w:numId="7" w16cid:durableId="899708130">
    <w:abstractNumId w:val="3"/>
  </w:num>
  <w:num w:numId="8" w16cid:durableId="881136759">
    <w:abstractNumId w:val="2"/>
  </w:num>
  <w:num w:numId="9" w16cid:durableId="406727257">
    <w:abstractNumId w:val="1"/>
  </w:num>
  <w:num w:numId="10" w16cid:durableId="367028641">
    <w:abstractNumId w:val="0"/>
  </w:num>
  <w:num w:numId="11" w16cid:durableId="610429407">
    <w:abstractNumId w:val="10"/>
  </w:num>
  <w:num w:numId="12" w16cid:durableId="190728785">
    <w:abstractNumId w:val="15"/>
  </w:num>
  <w:num w:numId="13" w16cid:durableId="1792818735">
    <w:abstractNumId w:val="30"/>
  </w:num>
  <w:num w:numId="14" w16cid:durableId="834761292">
    <w:abstractNumId w:val="17"/>
  </w:num>
  <w:num w:numId="15" w16cid:durableId="1166017644">
    <w:abstractNumId w:val="39"/>
  </w:num>
  <w:num w:numId="16" w16cid:durableId="1829517200">
    <w:abstractNumId w:val="31"/>
  </w:num>
  <w:num w:numId="17" w16cid:durableId="1639456561">
    <w:abstractNumId w:val="16"/>
  </w:num>
  <w:num w:numId="18" w16cid:durableId="756556702">
    <w:abstractNumId w:val="32"/>
  </w:num>
  <w:num w:numId="19" w16cid:durableId="850292179">
    <w:abstractNumId w:val="18"/>
  </w:num>
  <w:num w:numId="20" w16cid:durableId="1317801838">
    <w:abstractNumId w:val="19"/>
  </w:num>
  <w:num w:numId="21" w16cid:durableId="349181542">
    <w:abstractNumId w:val="38"/>
  </w:num>
  <w:num w:numId="22" w16cid:durableId="286085296">
    <w:abstractNumId w:val="41"/>
  </w:num>
  <w:num w:numId="23" w16cid:durableId="1992296072">
    <w:abstractNumId w:val="23"/>
  </w:num>
  <w:num w:numId="24" w16cid:durableId="349376147">
    <w:abstractNumId w:val="25"/>
  </w:num>
  <w:num w:numId="25" w16cid:durableId="1117144075">
    <w:abstractNumId w:val="35"/>
  </w:num>
  <w:num w:numId="26" w16cid:durableId="279844783">
    <w:abstractNumId w:val="22"/>
  </w:num>
  <w:num w:numId="27" w16cid:durableId="1471047020">
    <w:abstractNumId w:val="29"/>
  </w:num>
  <w:num w:numId="28" w16cid:durableId="1939487991">
    <w:abstractNumId w:val="20"/>
  </w:num>
  <w:num w:numId="29" w16cid:durableId="1892307118">
    <w:abstractNumId w:val="12"/>
  </w:num>
  <w:num w:numId="30" w16cid:durableId="1345280164">
    <w:abstractNumId w:val="40"/>
  </w:num>
  <w:num w:numId="31" w16cid:durableId="2014916119">
    <w:abstractNumId w:val="36"/>
  </w:num>
  <w:num w:numId="32" w16cid:durableId="1053963862">
    <w:abstractNumId w:val="34"/>
  </w:num>
  <w:num w:numId="33" w16cid:durableId="577598912">
    <w:abstractNumId w:val="27"/>
  </w:num>
  <w:num w:numId="34" w16cid:durableId="1097753885">
    <w:abstractNumId w:val="14"/>
  </w:num>
  <w:num w:numId="35" w16cid:durableId="1756321616">
    <w:abstractNumId w:val="37"/>
  </w:num>
  <w:num w:numId="36" w16cid:durableId="1560172851">
    <w:abstractNumId w:val="28"/>
  </w:num>
  <w:num w:numId="37" w16cid:durableId="1490755174">
    <w:abstractNumId w:val="33"/>
  </w:num>
  <w:num w:numId="38" w16cid:durableId="1965650883">
    <w:abstractNumId w:val="9"/>
  </w:num>
  <w:num w:numId="39" w16cid:durableId="411850079">
    <w:abstractNumId w:val="42"/>
  </w:num>
  <w:num w:numId="40" w16cid:durableId="795371694">
    <w:abstractNumId w:val="21"/>
  </w:num>
  <w:num w:numId="41" w16cid:durableId="1262102515">
    <w:abstractNumId w:val="24"/>
  </w:num>
  <w:num w:numId="42" w16cid:durableId="676350744">
    <w:abstractNumId w:val="26"/>
  </w:num>
  <w:num w:numId="43" w16cid:durableId="33970954">
    <w:abstractNumId w:val="13"/>
  </w:num>
  <w:num w:numId="44" w16cid:durableId="1402017922">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508"/>
    <w:rsid w:val="000049FB"/>
    <w:rsid w:val="00013862"/>
    <w:rsid w:val="00016012"/>
    <w:rsid w:val="00016D70"/>
    <w:rsid w:val="00020189"/>
    <w:rsid w:val="00020EE4"/>
    <w:rsid w:val="00023E9A"/>
    <w:rsid w:val="00033CDD"/>
    <w:rsid w:val="00034A84"/>
    <w:rsid w:val="00035E67"/>
    <w:rsid w:val="000366F3"/>
    <w:rsid w:val="00037854"/>
    <w:rsid w:val="00042A5B"/>
    <w:rsid w:val="00054E58"/>
    <w:rsid w:val="0006024D"/>
    <w:rsid w:val="000652D4"/>
    <w:rsid w:val="00071F28"/>
    <w:rsid w:val="00074079"/>
    <w:rsid w:val="0008215A"/>
    <w:rsid w:val="000849A7"/>
    <w:rsid w:val="000856A2"/>
    <w:rsid w:val="00090B79"/>
    <w:rsid w:val="00092799"/>
    <w:rsid w:val="00092C5F"/>
    <w:rsid w:val="00096680"/>
    <w:rsid w:val="000A0F36"/>
    <w:rsid w:val="000A174A"/>
    <w:rsid w:val="000A3E0A"/>
    <w:rsid w:val="000A65AC"/>
    <w:rsid w:val="000A7159"/>
    <w:rsid w:val="000B3A44"/>
    <w:rsid w:val="000B7281"/>
    <w:rsid w:val="000B7FAB"/>
    <w:rsid w:val="000C0163"/>
    <w:rsid w:val="000C1BA1"/>
    <w:rsid w:val="000C3EA9"/>
    <w:rsid w:val="000C7089"/>
    <w:rsid w:val="000D0225"/>
    <w:rsid w:val="000D370F"/>
    <w:rsid w:val="000E7895"/>
    <w:rsid w:val="000F0BFD"/>
    <w:rsid w:val="000F161D"/>
    <w:rsid w:val="000F3CAA"/>
    <w:rsid w:val="000F4962"/>
    <w:rsid w:val="00102ABB"/>
    <w:rsid w:val="0010484C"/>
    <w:rsid w:val="00121BF0"/>
    <w:rsid w:val="00123704"/>
    <w:rsid w:val="001267EE"/>
    <w:rsid w:val="001270C7"/>
    <w:rsid w:val="00131CFF"/>
    <w:rsid w:val="00132540"/>
    <w:rsid w:val="00133F0F"/>
    <w:rsid w:val="0014786A"/>
    <w:rsid w:val="001516A4"/>
    <w:rsid w:val="00151E5F"/>
    <w:rsid w:val="001535FC"/>
    <w:rsid w:val="00153B9D"/>
    <w:rsid w:val="00153E28"/>
    <w:rsid w:val="00155015"/>
    <w:rsid w:val="001569AB"/>
    <w:rsid w:val="00156A20"/>
    <w:rsid w:val="00164D63"/>
    <w:rsid w:val="0016725C"/>
    <w:rsid w:val="0017130C"/>
    <w:rsid w:val="001726F3"/>
    <w:rsid w:val="00173C51"/>
    <w:rsid w:val="00174CC2"/>
    <w:rsid w:val="00176CC6"/>
    <w:rsid w:val="00181BE4"/>
    <w:rsid w:val="00185576"/>
    <w:rsid w:val="00185951"/>
    <w:rsid w:val="001940AE"/>
    <w:rsid w:val="00196B8B"/>
    <w:rsid w:val="001A2BEA"/>
    <w:rsid w:val="001A6D93"/>
    <w:rsid w:val="001C32EC"/>
    <w:rsid w:val="001C38BD"/>
    <w:rsid w:val="001C4D5A"/>
    <w:rsid w:val="001D291A"/>
    <w:rsid w:val="001E34C6"/>
    <w:rsid w:val="001E5581"/>
    <w:rsid w:val="001F3C70"/>
    <w:rsid w:val="00200D88"/>
    <w:rsid w:val="00201F68"/>
    <w:rsid w:val="00212F2A"/>
    <w:rsid w:val="002131F8"/>
    <w:rsid w:val="00214F2B"/>
    <w:rsid w:val="00216906"/>
    <w:rsid w:val="00217880"/>
    <w:rsid w:val="00222D66"/>
    <w:rsid w:val="00224A8A"/>
    <w:rsid w:val="00225675"/>
    <w:rsid w:val="002309A8"/>
    <w:rsid w:val="00232167"/>
    <w:rsid w:val="00236CFE"/>
    <w:rsid w:val="002428E3"/>
    <w:rsid w:val="00243031"/>
    <w:rsid w:val="00247260"/>
    <w:rsid w:val="0025042A"/>
    <w:rsid w:val="00260BAF"/>
    <w:rsid w:val="002650F7"/>
    <w:rsid w:val="00273D7A"/>
    <w:rsid w:val="00273F3B"/>
    <w:rsid w:val="00274DB7"/>
    <w:rsid w:val="00275984"/>
    <w:rsid w:val="00280F74"/>
    <w:rsid w:val="00282231"/>
    <w:rsid w:val="002822CA"/>
    <w:rsid w:val="00286998"/>
    <w:rsid w:val="0029019C"/>
    <w:rsid w:val="00291AB7"/>
    <w:rsid w:val="00292EB2"/>
    <w:rsid w:val="0029422B"/>
    <w:rsid w:val="002A0938"/>
    <w:rsid w:val="002A2835"/>
    <w:rsid w:val="002B153C"/>
    <w:rsid w:val="002B16F4"/>
    <w:rsid w:val="002B23D6"/>
    <w:rsid w:val="002B52FC"/>
    <w:rsid w:val="002C2830"/>
    <w:rsid w:val="002C33C1"/>
    <w:rsid w:val="002D001A"/>
    <w:rsid w:val="002D0DDB"/>
    <w:rsid w:val="002D28E2"/>
    <w:rsid w:val="002D317B"/>
    <w:rsid w:val="002D3587"/>
    <w:rsid w:val="002D502D"/>
    <w:rsid w:val="002D770D"/>
    <w:rsid w:val="002E0F69"/>
    <w:rsid w:val="002F5147"/>
    <w:rsid w:val="002F7ABD"/>
    <w:rsid w:val="00305CF1"/>
    <w:rsid w:val="00311F5B"/>
    <w:rsid w:val="00312597"/>
    <w:rsid w:val="00312BF1"/>
    <w:rsid w:val="00315C2B"/>
    <w:rsid w:val="0031624B"/>
    <w:rsid w:val="00322F71"/>
    <w:rsid w:val="00324145"/>
    <w:rsid w:val="003269EB"/>
    <w:rsid w:val="00327BA5"/>
    <w:rsid w:val="0033326F"/>
    <w:rsid w:val="00334154"/>
    <w:rsid w:val="003344F3"/>
    <w:rsid w:val="003372C4"/>
    <w:rsid w:val="00340ECA"/>
    <w:rsid w:val="00341FA0"/>
    <w:rsid w:val="00344F3D"/>
    <w:rsid w:val="00345299"/>
    <w:rsid w:val="00351A8D"/>
    <w:rsid w:val="003526BB"/>
    <w:rsid w:val="00352BCF"/>
    <w:rsid w:val="00352DFB"/>
    <w:rsid w:val="00353932"/>
    <w:rsid w:val="00354580"/>
    <w:rsid w:val="0035464B"/>
    <w:rsid w:val="003563F1"/>
    <w:rsid w:val="00357994"/>
    <w:rsid w:val="003612B2"/>
    <w:rsid w:val="00361A56"/>
    <w:rsid w:val="0036252A"/>
    <w:rsid w:val="00364D65"/>
    <w:rsid w:val="00364D9D"/>
    <w:rsid w:val="00371048"/>
    <w:rsid w:val="0037396C"/>
    <w:rsid w:val="0037421D"/>
    <w:rsid w:val="003750BE"/>
    <w:rsid w:val="00376093"/>
    <w:rsid w:val="00383DA1"/>
    <w:rsid w:val="00385F30"/>
    <w:rsid w:val="00393696"/>
    <w:rsid w:val="00393963"/>
    <w:rsid w:val="00395575"/>
    <w:rsid w:val="00395672"/>
    <w:rsid w:val="003A06C8"/>
    <w:rsid w:val="003A0D7C"/>
    <w:rsid w:val="003A5290"/>
    <w:rsid w:val="003A7635"/>
    <w:rsid w:val="003B0155"/>
    <w:rsid w:val="003B2A5B"/>
    <w:rsid w:val="003B3E22"/>
    <w:rsid w:val="003B7EE7"/>
    <w:rsid w:val="003C2CCB"/>
    <w:rsid w:val="003D1726"/>
    <w:rsid w:val="003D1D86"/>
    <w:rsid w:val="003D39EC"/>
    <w:rsid w:val="003D5DED"/>
    <w:rsid w:val="003E3DD5"/>
    <w:rsid w:val="003F07C6"/>
    <w:rsid w:val="003F1F6B"/>
    <w:rsid w:val="003F3757"/>
    <w:rsid w:val="003F38BD"/>
    <w:rsid w:val="003F44B7"/>
    <w:rsid w:val="004008E9"/>
    <w:rsid w:val="00413D48"/>
    <w:rsid w:val="004155FE"/>
    <w:rsid w:val="004211E5"/>
    <w:rsid w:val="00423A19"/>
    <w:rsid w:val="00424CCA"/>
    <w:rsid w:val="00441AC2"/>
    <w:rsid w:val="0044249B"/>
    <w:rsid w:val="0045023C"/>
    <w:rsid w:val="00451A5B"/>
    <w:rsid w:val="00452BCD"/>
    <w:rsid w:val="00452CEA"/>
    <w:rsid w:val="00455CC3"/>
    <w:rsid w:val="00463DA5"/>
    <w:rsid w:val="00465B52"/>
    <w:rsid w:val="0046708E"/>
    <w:rsid w:val="00467DD5"/>
    <w:rsid w:val="00472A65"/>
    <w:rsid w:val="00474463"/>
    <w:rsid w:val="00474B75"/>
    <w:rsid w:val="004826CC"/>
    <w:rsid w:val="00483F0B"/>
    <w:rsid w:val="004840E3"/>
    <w:rsid w:val="00487462"/>
    <w:rsid w:val="00487D0F"/>
    <w:rsid w:val="00495E10"/>
    <w:rsid w:val="00496319"/>
    <w:rsid w:val="00497279"/>
    <w:rsid w:val="004A163B"/>
    <w:rsid w:val="004A670A"/>
    <w:rsid w:val="004B5465"/>
    <w:rsid w:val="004B70F0"/>
    <w:rsid w:val="004C21A8"/>
    <w:rsid w:val="004C4F26"/>
    <w:rsid w:val="004D505E"/>
    <w:rsid w:val="004D72CA"/>
    <w:rsid w:val="004E2070"/>
    <w:rsid w:val="004E2242"/>
    <w:rsid w:val="004E26AB"/>
    <w:rsid w:val="004E505E"/>
    <w:rsid w:val="004E59D1"/>
    <w:rsid w:val="004F42FF"/>
    <w:rsid w:val="004F44C2"/>
    <w:rsid w:val="00502512"/>
    <w:rsid w:val="00503FD2"/>
    <w:rsid w:val="00505262"/>
    <w:rsid w:val="00516022"/>
    <w:rsid w:val="00521CEE"/>
    <w:rsid w:val="005246E7"/>
    <w:rsid w:val="00524FB4"/>
    <w:rsid w:val="0052508C"/>
    <w:rsid w:val="00525A20"/>
    <w:rsid w:val="005277A8"/>
    <w:rsid w:val="00527BD4"/>
    <w:rsid w:val="00537095"/>
    <w:rsid w:val="005403C8"/>
    <w:rsid w:val="005429DC"/>
    <w:rsid w:val="005461DA"/>
    <w:rsid w:val="005565F9"/>
    <w:rsid w:val="00564F82"/>
    <w:rsid w:val="00573041"/>
    <w:rsid w:val="0057388D"/>
    <w:rsid w:val="0057473E"/>
    <w:rsid w:val="00575B80"/>
    <w:rsid w:val="0057620F"/>
    <w:rsid w:val="005819CE"/>
    <w:rsid w:val="0058298D"/>
    <w:rsid w:val="00584C1A"/>
    <w:rsid w:val="005925FB"/>
    <w:rsid w:val="00593C2B"/>
    <w:rsid w:val="00595231"/>
    <w:rsid w:val="00596166"/>
    <w:rsid w:val="00597F64"/>
    <w:rsid w:val="005A207F"/>
    <w:rsid w:val="005A2F35"/>
    <w:rsid w:val="005B3814"/>
    <w:rsid w:val="005B463E"/>
    <w:rsid w:val="005C34E1"/>
    <w:rsid w:val="005C3FE0"/>
    <w:rsid w:val="005C740C"/>
    <w:rsid w:val="005D625B"/>
    <w:rsid w:val="005E1A1E"/>
    <w:rsid w:val="005E6FDA"/>
    <w:rsid w:val="005E7C6F"/>
    <w:rsid w:val="005F0D54"/>
    <w:rsid w:val="005F2B6C"/>
    <w:rsid w:val="005F62D3"/>
    <w:rsid w:val="005F6D11"/>
    <w:rsid w:val="00600CF0"/>
    <w:rsid w:val="00604036"/>
    <w:rsid w:val="006048F4"/>
    <w:rsid w:val="0060660A"/>
    <w:rsid w:val="006077D9"/>
    <w:rsid w:val="00613B1D"/>
    <w:rsid w:val="00617A44"/>
    <w:rsid w:val="006202B6"/>
    <w:rsid w:val="00625CD0"/>
    <w:rsid w:val="0062627D"/>
    <w:rsid w:val="00627432"/>
    <w:rsid w:val="006310A0"/>
    <w:rsid w:val="00634032"/>
    <w:rsid w:val="006448E4"/>
    <w:rsid w:val="00645414"/>
    <w:rsid w:val="00651CEE"/>
    <w:rsid w:val="00653606"/>
    <w:rsid w:val="006610E9"/>
    <w:rsid w:val="00661591"/>
    <w:rsid w:val="00664678"/>
    <w:rsid w:val="0066632F"/>
    <w:rsid w:val="00674A89"/>
    <w:rsid w:val="00674F3D"/>
    <w:rsid w:val="00685545"/>
    <w:rsid w:val="006864B3"/>
    <w:rsid w:val="00692D64"/>
    <w:rsid w:val="006A068A"/>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4344"/>
    <w:rsid w:val="006E7D82"/>
    <w:rsid w:val="006F038F"/>
    <w:rsid w:val="006F0F93"/>
    <w:rsid w:val="006F31F2"/>
    <w:rsid w:val="006F509E"/>
    <w:rsid w:val="006F5802"/>
    <w:rsid w:val="006F7494"/>
    <w:rsid w:val="006F751F"/>
    <w:rsid w:val="007060B1"/>
    <w:rsid w:val="00706453"/>
    <w:rsid w:val="00714DC5"/>
    <w:rsid w:val="00715237"/>
    <w:rsid w:val="007170DB"/>
    <w:rsid w:val="00721AE1"/>
    <w:rsid w:val="007254A5"/>
    <w:rsid w:val="00725748"/>
    <w:rsid w:val="00735D88"/>
    <w:rsid w:val="0073720D"/>
    <w:rsid w:val="00737507"/>
    <w:rsid w:val="00740712"/>
    <w:rsid w:val="00742AB9"/>
    <w:rsid w:val="00747885"/>
    <w:rsid w:val="00751A6A"/>
    <w:rsid w:val="00752D90"/>
    <w:rsid w:val="00754FBF"/>
    <w:rsid w:val="007610AA"/>
    <w:rsid w:val="007709EF"/>
    <w:rsid w:val="00782701"/>
    <w:rsid w:val="00783559"/>
    <w:rsid w:val="0079551B"/>
    <w:rsid w:val="00797AA5"/>
    <w:rsid w:val="007A26BD"/>
    <w:rsid w:val="007A4105"/>
    <w:rsid w:val="007A4F00"/>
    <w:rsid w:val="007B4503"/>
    <w:rsid w:val="007C35CC"/>
    <w:rsid w:val="007C406E"/>
    <w:rsid w:val="007C5183"/>
    <w:rsid w:val="007C53DC"/>
    <w:rsid w:val="007C7573"/>
    <w:rsid w:val="007E17B0"/>
    <w:rsid w:val="007E2B20"/>
    <w:rsid w:val="007E3CEE"/>
    <w:rsid w:val="007E7475"/>
    <w:rsid w:val="007F15DB"/>
    <w:rsid w:val="007F3645"/>
    <w:rsid w:val="007F439C"/>
    <w:rsid w:val="007F5331"/>
    <w:rsid w:val="00800CCA"/>
    <w:rsid w:val="00806120"/>
    <w:rsid w:val="00806F63"/>
    <w:rsid w:val="00810C93"/>
    <w:rsid w:val="00812028"/>
    <w:rsid w:val="00812DD8"/>
    <w:rsid w:val="00813082"/>
    <w:rsid w:val="00813465"/>
    <w:rsid w:val="00814D03"/>
    <w:rsid w:val="00820371"/>
    <w:rsid w:val="00821FC1"/>
    <w:rsid w:val="00823AE2"/>
    <w:rsid w:val="0083178B"/>
    <w:rsid w:val="00831EE4"/>
    <w:rsid w:val="00833695"/>
    <w:rsid w:val="008336B7"/>
    <w:rsid w:val="00833A8E"/>
    <w:rsid w:val="00836ACA"/>
    <w:rsid w:val="00842CD8"/>
    <w:rsid w:val="008431FA"/>
    <w:rsid w:val="00843365"/>
    <w:rsid w:val="00847444"/>
    <w:rsid w:val="00850017"/>
    <w:rsid w:val="008517C6"/>
    <w:rsid w:val="008547BA"/>
    <w:rsid w:val="008553C7"/>
    <w:rsid w:val="00857FEB"/>
    <w:rsid w:val="008601AF"/>
    <w:rsid w:val="008712B6"/>
    <w:rsid w:val="00872271"/>
    <w:rsid w:val="00872F41"/>
    <w:rsid w:val="00876818"/>
    <w:rsid w:val="00883137"/>
    <w:rsid w:val="00894A3B"/>
    <w:rsid w:val="008A1424"/>
    <w:rsid w:val="008A1F5D"/>
    <w:rsid w:val="008A28F5"/>
    <w:rsid w:val="008B1198"/>
    <w:rsid w:val="008B3471"/>
    <w:rsid w:val="008B3929"/>
    <w:rsid w:val="008B3B16"/>
    <w:rsid w:val="008B4125"/>
    <w:rsid w:val="008B4CB3"/>
    <w:rsid w:val="008B567B"/>
    <w:rsid w:val="008B7B24"/>
    <w:rsid w:val="008C356D"/>
    <w:rsid w:val="008C3639"/>
    <w:rsid w:val="008C3732"/>
    <w:rsid w:val="008D4043"/>
    <w:rsid w:val="008D43B5"/>
    <w:rsid w:val="008E0B3F"/>
    <w:rsid w:val="008E49AD"/>
    <w:rsid w:val="008E4F08"/>
    <w:rsid w:val="008E698E"/>
    <w:rsid w:val="008F2584"/>
    <w:rsid w:val="008F3246"/>
    <w:rsid w:val="008F332D"/>
    <w:rsid w:val="008F3C1B"/>
    <w:rsid w:val="008F508C"/>
    <w:rsid w:val="0090128E"/>
    <w:rsid w:val="00901BE9"/>
    <w:rsid w:val="0090271B"/>
    <w:rsid w:val="00910642"/>
    <w:rsid w:val="00910DDF"/>
    <w:rsid w:val="00912DCE"/>
    <w:rsid w:val="00923CBD"/>
    <w:rsid w:val="00926AE2"/>
    <w:rsid w:val="00930B13"/>
    <w:rsid w:val="009311C8"/>
    <w:rsid w:val="00931CE4"/>
    <w:rsid w:val="00933376"/>
    <w:rsid w:val="00933A2F"/>
    <w:rsid w:val="0093610A"/>
    <w:rsid w:val="00962C44"/>
    <w:rsid w:val="009716D8"/>
    <w:rsid w:val="009718F9"/>
    <w:rsid w:val="00971F42"/>
    <w:rsid w:val="00972E35"/>
    <w:rsid w:val="00972FB9"/>
    <w:rsid w:val="00975112"/>
    <w:rsid w:val="00981768"/>
    <w:rsid w:val="00983E8F"/>
    <w:rsid w:val="00983FCE"/>
    <w:rsid w:val="0098444E"/>
    <w:rsid w:val="00985E56"/>
    <w:rsid w:val="0098788A"/>
    <w:rsid w:val="00994FDA"/>
    <w:rsid w:val="009A24E1"/>
    <w:rsid w:val="009A31BF"/>
    <w:rsid w:val="009A3B71"/>
    <w:rsid w:val="009A61BC"/>
    <w:rsid w:val="009B0138"/>
    <w:rsid w:val="009B0FE9"/>
    <w:rsid w:val="009B173A"/>
    <w:rsid w:val="009C3F20"/>
    <w:rsid w:val="009C490E"/>
    <w:rsid w:val="009C7CA1"/>
    <w:rsid w:val="009D043D"/>
    <w:rsid w:val="009F3259"/>
    <w:rsid w:val="009F3ABA"/>
    <w:rsid w:val="009F6CF8"/>
    <w:rsid w:val="00A03727"/>
    <w:rsid w:val="00A037D5"/>
    <w:rsid w:val="00A056DE"/>
    <w:rsid w:val="00A07F1B"/>
    <w:rsid w:val="00A1247D"/>
    <w:rsid w:val="00A128AD"/>
    <w:rsid w:val="00A1399B"/>
    <w:rsid w:val="00A21E76"/>
    <w:rsid w:val="00A23BC8"/>
    <w:rsid w:val="00A245F8"/>
    <w:rsid w:val="00A30E68"/>
    <w:rsid w:val="00A31933"/>
    <w:rsid w:val="00A329D2"/>
    <w:rsid w:val="00A34AA0"/>
    <w:rsid w:val="00A3715C"/>
    <w:rsid w:val="00A413B4"/>
    <w:rsid w:val="00A41FE2"/>
    <w:rsid w:val="00A46FEF"/>
    <w:rsid w:val="00A47948"/>
    <w:rsid w:val="00A50CF6"/>
    <w:rsid w:val="00A5417F"/>
    <w:rsid w:val="00A56946"/>
    <w:rsid w:val="00A6170E"/>
    <w:rsid w:val="00A63B8C"/>
    <w:rsid w:val="00A704D1"/>
    <w:rsid w:val="00A715F8"/>
    <w:rsid w:val="00A77F6F"/>
    <w:rsid w:val="00A831FD"/>
    <w:rsid w:val="00A83352"/>
    <w:rsid w:val="00A850A2"/>
    <w:rsid w:val="00A91FA3"/>
    <w:rsid w:val="00A927D3"/>
    <w:rsid w:val="00A9433C"/>
    <w:rsid w:val="00A9567C"/>
    <w:rsid w:val="00AA0C1B"/>
    <w:rsid w:val="00AA708B"/>
    <w:rsid w:val="00AA7FC9"/>
    <w:rsid w:val="00AB237D"/>
    <w:rsid w:val="00AB5933"/>
    <w:rsid w:val="00AD1D10"/>
    <w:rsid w:val="00AE013D"/>
    <w:rsid w:val="00AE11B7"/>
    <w:rsid w:val="00AE73C3"/>
    <w:rsid w:val="00AE7F68"/>
    <w:rsid w:val="00AF0CB7"/>
    <w:rsid w:val="00AF2321"/>
    <w:rsid w:val="00AF2F73"/>
    <w:rsid w:val="00AF52F6"/>
    <w:rsid w:val="00AF52FD"/>
    <w:rsid w:val="00AF54A8"/>
    <w:rsid w:val="00AF7237"/>
    <w:rsid w:val="00B0043A"/>
    <w:rsid w:val="00B00D75"/>
    <w:rsid w:val="00B070CB"/>
    <w:rsid w:val="00B12456"/>
    <w:rsid w:val="00B1412B"/>
    <w:rsid w:val="00B145F0"/>
    <w:rsid w:val="00B156A6"/>
    <w:rsid w:val="00B2102F"/>
    <w:rsid w:val="00B23C77"/>
    <w:rsid w:val="00B259C8"/>
    <w:rsid w:val="00B26CCF"/>
    <w:rsid w:val="00B30FC2"/>
    <w:rsid w:val="00B331A2"/>
    <w:rsid w:val="00B425F0"/>
    <w:rsid w:val="00B42DFA"/>
    <w:rsid w:val="00B531DD"/>
    <w:rsid w:val="00B55014"/>
    <w:rsid w:val="00B55136"/>
    <w:rsid w:val="00B62232"/>
    <w:rsid w:val="00B66B2A"/>
    <w:rsid w:val="00B67065"/>
    <w:rsid w:val="00B70BF3"/>
    <w:rsid w:val="00B71DC2"/>
    <w:rsid w:val="00B849F5"/>
    <w:rsid w:val="00B91CFC"/>
    <w:rsid w:val="00B935CF"/>
    <w:rsid w:val="00B93893"/>
    <w:rsid w:val="00BA0727"/>
    <w:rsid w:val="00BA1397"/>
    <w:rsid w:val="00BA2FFD"/>
    <w:rsid w:val="00BA51E1"/>
    <w:rsid w:val="00BA7E0A"/>
    <w:rsid w:val="00BC2C00"/>
    <w:rsid w:val="00BC3B53"/>
    <w:rsid w:val="00BC3B96"/>
    <w:rsid w:val="00BC4AE3"/>
    <w:rsid w:val="00BC5B28"/>
    <w:rsid w:val="00BD2370"/>
    <w:rsid w:val="00BE3F88"/>
    <w:rsid w:val="00BE4756"/>
    <w:rsid w:val="00BE5ED9"/>
    <w:rsid w:val="00BE7B41"/>
    <w:rsid w:val="00BF1327"/>
    <w:rsid w:val="00C07220"/>
    <w:rsid w:val="00C15A91"/>
    <w:rsid w:val="00C206F1"/>
    <w:rsid w:val="00C217E1"/>
    <w:rsid w:val="00C219B1"/>
    <w:rsid w:val="00C23A7D"/>
    <w:rsid w:val="00C323E0"/>
    <w:rsid w:val="00C4015B"/>
    <w:rsid w:val="00C40C60"/>
    <w:rsid w:val="00C435ED"/>
    <w:rsid w:val="00C4458F"/>
    <w:rsid w:val="00C47373"/>
    <w:rsid w:val="00C4755F"/>
    <w:rsid w:val="00C5258E"/>
    <w:rsid w:val="00C530C9"/>
    <w:rsid w:val="00C5603C"/>
    <w:rsid w:val="00C619A7"/>
    <w:rsid w:val="00C678EA"/>
    <w:rsid w:val="00C73D5F"/>
    <w:rsid w:val="00C82AFE"/>
    <w:rsid w:val="00C83DBC"/>
    <w:rsid w:val="00C83ECB"/>
    <w:rsid w:val="00C924E6"/>
    <w:rsid w:val="00C97C80"/>
    <w:rsid w:val="00CA477F"/>
    <w:rsid w:val="00CA47D3"/>
    <w:rsid w:val="00CA5F93"/>
    <w:rsid w:val="00CA6533"/>
    <w:rsid w:val="00CA6799"/>
    <w:rsid w:val="00CA6A25"/>
    <w:rsid w:val="00CA6A3F"/>
    <w:rsid w:val="00CA7C99"/>
    <w:rsid w:val="00CC44F6"/>
    <w:rsid w:val="00CC6290"/>
    <w:rsid w:val="00CD233D"/>
    <w:rsid w:val="00CD3499"/>
    <w:rsid w:val="00CD362D"/>
    <w:rsid w:val="00CE101D"/>
    <w:rsid w:val="00CE1814"/>
    <w:rsid w:val="00CE1A95"/>
    <w:rsid w:val="00CE1C84"/>
    <w:rsid w:val="00CE5055"/>
    <w:rsid w:val="00CE73A4"/>
    <w:rsid w:val="00CE78E9"/>
    <w:rsid w:val="00CF053F"/>
    <w:rsid w:val="00CF1A17"/>
    <w:rsid w:val="00D0375A"/>
    <w:rsid w:val="00D0609E"/>
    <w:rsid w:val="00D078E1"/>
    <w:rsid w:val="00D07DD2"/>
    <w:rsid w:val="00D100E9"/>
    <w:rsid w:val="00D17942"/>
    <w:rsid w:val="00D21E4B"/>
    <w:rsid w:val="00D22441"/>
    <w:rsid w:val="00D23522"/>
    <w:rsid w:val="00D24138"/>
    <w:rsid w:val="00D264D6"/>
    <w:rsid w:val="00D33BF0"/>
    <w:rsid w:val="00D33DE0"/>
    <w:rsid w:val="00D36447"/>
    <w:rsid w:val="00D40BE0"/>
    <w:rsid w:val="00D516BE"/>
    <w:rsid w:val="00D5423B"/>
    <w:rsid w:val="00D54E6A"/>
    <w:rsid w:val="00D54F4E"/>
    <w:rsid w:val="00D57A56"/>
    <w:rsid w:val="00D604B3"/>
    <w:rsid w:val="00D60BA4"/>
    <w:rsid w:val="00D61C85"/>
    <w:rsid w:val="00D62419"/>
    <w:rsid w:val="00D738C7"/>
    <w:rsid w:val="00D77870"/>
    <w:rsid w:val="00D801E2"/>
    <w:rsid w:val="00D80977"/>
    <w:rsid w:val="00D80CCE"/>
    <w:rsid w:val="00D86EEA"/>
    <w:rsid w:val="00D87195"/>
    <w:rsid w:val="00D87D03"/>
    <w:rsid w:val="00D9360B"/>
    <w:rsid w:val="00D95C88"/>
    <w:rsid w:val="00D96FFA"/>
    <w:rsid w:val="00D97B2E"/>
    <w:rsid w:val="00DA241E"/>
    <w:rsid w:val="00DB36FE"/>
    <w:rsid w:val="00DB533A"/>
    <w:rsid w:val="00DB60AE"/>
    <w:rsid w:val="00DB6307"/>
    <w:rsid w:val="00DC66E7"/>
    <w:rsid w:val="00DD1DCD"/>
    <w:rsid w:val="00DD338F"/>
    <w:rsid w:val="00DD66F2"/>
    <w:rsid w:val="00DE3FE0"/>
    <w:rsid w:val="00DE578A"/>
    <w:rsid w:val="00DE79B9"/>
    <w:rsid w:val="00DF2583"/>
    <w:rsid w:val="00DF54D9"/>
    <w:rsid w:val="00DF7283"/>
    <w:rsid w:val="00E01A59"/>
    <w:rsid w:val="00E10DC6"/>
    <w:rsid w:val="00E11F8E"/>
    <w:rsid w:val="00E137D4"/>
    <w:rsid w:val="00E14A6E"/>
    <w:rsid w:val="00E15881"/>
    <w:rsid w:val="00E15E45"/>
    <w:rsid w:val="00E16A8F"/>
    <w:rsid w:val="00E16F72"/>
    <w:rsid w:val="00E21437"/>
    <w:rsid w:val="00E21DE3"/>
    <w:rsid w:val="00E273C5"/>
    <w:rsid w:val="00E307D1"/>
    <w:rsid w:val="00E32D08"/>
    <w:rsid w:val="00E3731D"/>
    <w:rsid w:val="00E51469"/>
    <w:rsid w:val="00E634E3"/>
    <w:rsid w:val="00E717C4"/>
    <w:rsid w:val="00E73FC9"/>
    <w:rsid w:val="00E745DE"/>
    <w:rsid w:val="00E76DD0"/>
    <w:rsid w:val="00E77E18"/>
    <w:rsid w:val="00E77F89"/>
    <w:rsid w:val="00E80330"/>
    <w:rsid w:val="00E806C5"/>
    <w:rsid w:val="00E80E71"/>
    <w:rsid w:val="00E850D3"/>
    <w:rsid w:val="00E853D6"/>
    <w:rsid w:val="00E876B9"/>
    <w:rsid w:val="00EA0AD7"/>
    <w:rsid w:val="00EA0F13"/>
    <w:rsid w:val="00EA5230"/>
    <w:rsid w:val="00EB4683"/>
    <w:rsid w:val="00EB4E8D"/>
    <w:rsid w:val="00EC0DFF"/>
    <w:rsid w:val="00EC237D"/>
    <w:rsid w:val="00EC2918"/>
    <w:rsid w:val="00EC4D0E"/>
    <w:rsid w:val="00EC4E2B"/>
    <w:rsid w:val="00ED072A"/>
    <w:rsid w:val="00ED539E"/>
    <w:rsid w:val="00EE1445"/>
    <w:rsid w:val="00EE3B5C"/>
    <w:rsid w:val="00EE4A1F"/>
    <w:rsid w:val="00EE4C2D"/>
    <w:rsid w:val="00EF1B5A"/>
    <w:rsid w:val="00EF24FB"/>
    <w:rsid w:val="00EF2CCA"/>
    <w:rsid w:val="00EF3F74"/>
    <w:rsid w:val="00EF495B"/>
    <w:rsid w:val="00EF4D51"/>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5633E"/>
    <w:rsid w:val="00F61569"/>
    <w:rsid w:val="00F61A72"/>
    <w:rsid w:val="00F62B67"/>
    <w:rsid w:val="00F66F13"/>
    <w:rsid w:val="00F74073"/>
    <w:rsid w:val="00F75603"/>
    <w:rsid w:val="00F77FB2"/>
    <w:rsid w:val="00F83175"/>
    <w:rsid w:val="00F845B4"/>
    <w:rsid w:val="00F84B66"/>
    <w:rsid w:val="00F85486"/>
    <w:rsid w:val="00F8713B"/>
    <w:rsid w:val="00F911E7"/>
    <w:rsid w:val="00F93F9E"/>
    <w:rsid w:val="00F972A3"/>
    <w:rsid w:val="00FA2CD7"/>
    <w:rsid w:val="00FB06ED"/>
    <w:rsid w:val="00FB08DC"/>
    <w:rsid w:val="00FC2311"/>
    <w:rsid w:val="00FC3165"/>
    <w:rsid w:val="00FC36AB"/>
    <w:rsid w:val="00FC3F98"/>
    <w:rsid w:val="00FC4101"/>
    <w:rsid w:val="00FC4300"/>
    <w:rsid w:val="00FC7F66"/>
    <w:rsid w:val="00FD5776"/>
    <w:rsid w:val="00FE1CB6"/>
    <w:rsid w:val="00FE486B"/>
    <w:rsid w:val="00FE4F08"/>
    <w:rsid w:val="00FF192E"/>
    <w:rsid w:val="0C3FA50C"/>
    <w:rsid w:val="1ED45C64"/>
    <w:rsid w:val="2694E30F"/>
    <w:rsid w:val="3DED6751"/>
    <w:rsid w:val="625529A4"/>
    <w:rsid w:val="703335C6"/>
    <w:rsid w:val="79B6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7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Onopgelostemelding">
    <w:name w:val="Unresolved Mention"/>
    <w:basedOn w:val="Standaardalinea-lettertype"/>
    <w:uiPriority w:val="99"/>
    <w:semiHidden/>
    <w:unhideWhenUsed/>
    <w:rsid w:val="00247260"/>
    <w:rPr>
      <w:color w:val="605E5C"/>
      <w:shd w:val="clear" w:color="auto" w:fill="E1DFDD"/>
    </w:rPr>
  </w:style>
  <w:style w:type="paragraph" w:styleId="Lijstalinea">
    <w:name w:val="List Paragraph"/>
    <w:basedOn w:val="Standaard"/>
    <w:uiPriority w:val="34"/>
    <w:qFormat/>
    <w:rsid w:val="00247260"/>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247260"/>
    <w:rPr>
      <w:vertAlign w:val="superscript"/>
    </w:rPr>
  </w:style>
  <w:style w:type="paragraph" w:styleId="Tekstopmerking">
    <w:name w:val="annotation text"/>
    <w:basedOn w:val="Standaard"/>
    <w:link w:val="TekstopmerkingChar"/>
    <w:uiPriority w:val="99"/>
    <w:unhideWhenUsed/>
    <w:rsid w:val="00247260"/>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247260"/>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247260"/>
    <w:rPr>
      <w:sz w:val="16"/>
      <w:szCs w:val="16"/>
    </w:rPr>
  </w:style>
  <w:style w:type="paragraph" w:styleId="Onderwerpvanopmerking">
    <w:name w:val="annotation subject"/>
    <w:basedOn w:val="Tekstopmerking"/>
    <w:next w:val="Tekstopmerking"/>
    <w:link w:val="OnderwerpvanopmerkingChar"/>
    <w:uiPriority w:val="99"/>
    <w:semiHidden/>
    <w:unhideWhenUsed/>
    <w:rsid w:val="00247260"/>
    <w:rPr>
      <w:b/>
      <w:bCs/>
    </w:rPr>
  </w:style>
  <w:style w:type="character" w:customStyle="1" w:styleId="OnderwerpvanopmerkingChar">
    <w:name w:val="Onderwerp van opmerking Char"/>
    <w:basedOn w:val="TekstopmerkingChar"/>
    <w:link w:val="Onderwerpvanopmerking"/>
    <w:uiPriority w:val="99"/>
    <w:semiHidden/>
    <w:rsid w:val="00247260"/>
    <w:rPr>
      <w:rFonts w:asciiTheme="minorHAnsi" w:eastAsiaTheme="minorHAnsi" w:hAnsiTheme="minorHAnsi" w:cstheme="minorBidi"/>
      <w:b/>
      <w:bCs/>
      <w:lang w:val="nl-NL"/>
    </w:rPr>
  </w:style>
  <w:style w:type="paragraph" w:styleId="Revisie">
    <w:name w:val="Revision"/>
    <w:hidden/>
    <w:uiPriority w:val="99"/>
    <w:semiHidden/>
    <w:rsid w:val="00247260"/>
    <w:rPr>
      <w:rFonts w:asciiTheme="minorHAnsi" w:eastAsiaTheme="minorHAnsi" w:hAnsiTheme="minorHAnsi" w:cstheme="minorBidi"/>
      <w:sz w:val="24"/>
      <w:szCs w:val="24"/>
      <w:lang w:val="nl-NL"/>
    </w:rPr>
  </w:style>
  <w:style w:type="character" w:styleId="Vermelding">
    <w:name w:val="Mention"/>
    <w:basedOn w:val="Standaardalinea-lettertype"/>
    <w:uiPriority w:val="99"/>
    <w:unhideWhenUsed/>
    <w:rsid w:val="002472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5/09/29/memorandum-common-futures-evaluation-of-barriers-to-biomethane-sourcing-from-new-production-countries" TargetMode="External"/><Relationship Id="rId3" Type="http://schemas.openxmlformats.org/officeDocument/2006/relationships/hyperlink" Target="https://www.rijksoverheid.nl/documenten/rapporten/2025/12/02/formatierapport-klimaat-en-energie-2025-routes-naar-realisatie-keuzes-voor-het-klimaat-en-de-energietransitie" TargetMode="External"/><Relationship Id="rId7" Type="http://schemas.openxmlformats.org/officeDocument/2006/relationships/hyperlink" Target="https://www.rijksoverheid.nl/documenten/rapporten/2025/07/04/onderzoek-lange-termijn-productie-en-inzet-groen-gras" TargetMode="External"/><Relationship Id="rId2" Type="http://schemas.openxmlformats.org/officeDocument/2006/relationships/hyperlink" Target="https://www.rijksoverheid.nl/documenten/rapporten/2025/12/03/kantelpunt-voor-klimaat-en-industrie" TargetMode="External"/><Relationship Id="rId1" Type="http://schemas.openxmlformats.org/officeDocument/2006/relationships/hyperlink" Target="https://esb.nu/wp-content/uploads/2025/12/Tata-reacties.pdf" TargetMode="External"/><Relationship Id="rId6" Type="http://schemas.openxmlformats.org/officeDocument/2006/relationships/hyperlink" Target="https://www.rijksoverheid.nl/documenten/rapporten/2025/09/29/memorandum-common-futures-evaluation-of-barriers-to-biomethane-sourcing-from-new-production-countries" TargetMode="External"/><Relationship Id="rId5" Type="http://schemas.openxmlformats.org/officeDocument/2006/relationships/hyperlink" Target="https://open.overheid.nl/documenten/a03ca577-1938-4b68-a967-b810c30043aa/file" TargetMode="External"/><Relationship Id="rId4" Type="http://schemas.openxmlformats.org/officeDocument/2006/relationships/hyperlink" Target="https://ce.nl/wp-content/uploads/2023/07/CE_Delft_220377_Vervolgstudie-Bijmengverplichting-groen-gas_Def.pdf" TargetMode="External"/><Relationship Id="rId9" Type="http://schemas.openxmlformats.org/officeDocument/2006/relationships/hyperlink" Target="https://www.rijksoverheid.nl/documenten/kamerstukken/2024/04/26/mandaat-onderhandelingen-tata-steel-nederland-defintief-26-apr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22</ap:Pages>
  <ap:Words>8478</ap:Words>
  <ap:Characters>46635</ap:Characters>
  <ap:DocSecurity>0</ap:DocSecurity>
  <ap:Lines>388</ap:Lines>
  <ap:Paragraphs>110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2026-02-04T12:53:00.0000000Z</dcterms:created>
  <dcterms:modified xsi:type="dcterms:W3CDTF">2026-02-04T12:53:00.0000000Z</dcterms:modified>
  <dc:description>------------------------</dc:description>
  <dc:subject/>
  <keywords/>
  <version/>
  <category/>
</coreProperties>
</file>