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02"/>
        <w:gridCol w:w="3188"/>
      </w:tblGrid>
      <w:tr w:rsidRPr="002168F4" w:rsidR="00CB3578" w:rsidTr="00A11E73" w14:paraId="000BA9FF" w14:textId="77777777"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2168F4" w:rsidR="00CB3578" w:rsidRDefault="00CB3578" w14:paraId="7B1B0B67" w14:textId="77777777">
            <w:pPr>
              <w:pStyle w:val="Amendement"/>
              <w:rPr>
                <w:rFonts w:ascii="Times New Roman" w:hAnsi="Times New Roman" w:cs="Times New Roman"/>
                <w:spacing w:val="40"/>
                <w:sz w:val="22"/>
                <w:szCs w:val="22"/>
              </w:rPr>
            </w:pPr>
            <w:r w:rsidRPr="002168F4">
              <w:rPr>
                <w:rFonts w:ascii="Times New Roman" w:hAnsi="Times New Roman" w:cs="Times New Roman"/>
                <w:spacing w:val="40"/>
                <w:sz w:val="30"/>
                <w:szCs w:val="30"/>
              </w:rPr>
              <w:t>T</w:t>
            </w:r>
            <w:r w:rsidRPr="002168F4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WEEDE  </w:t>
            </w:r>
            <w:r w:rsidRPr="002168F4">
              <w:rPr>
                <w:rFonts w:ascii="Times New Roman" w:hAnsi="Times New Roman" w:cs="Times New Roman"/>
                <w:spacing w:val="40"/>
                <w:sz w:val="30"/>
                <w:szCs w:val="30"/>
              </w:rPr>
              <w:t>K</w:t>
            </w:r>
            <w:r w:rsidRPr="002168F4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>AMER  DER</w:t>
            </w:r>
            <w:r w:rsidRPr="002168F4">
              <w:rPr>
                <w:rFonts w:ascii="Times New Roman" w:hAnsi="Times New Roman" w:cs="Times New Roman"/>
                <w:spacing w:val="40"/>
                <w:sz w:val="30"/>
                <w:szCs w:val="30"/>
              </w:rPr>
              <w:t xml:space="preserve"> S</w:t>
            </w:r>
            <w:r w:rsidRPr="002168F4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>TATEN-</w:t>
            </w:r>
            <w:r w:rsidRPr="002168F4">
              <w:rPr>
                <w:rFonts w:ascii="Times New Roman" w:hAnsi="Times New Roman" w:cs="Times New Roman"/>
                <w:spacing w:val="40"/>
                <w:sz w:val="30"/>
                <w:szCs w:val="30"/>
              </w:rPr>
              <w:t>G</w:t>
            </w:r>
            <w:r w:rsidRPr="002168F4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>ENERAAL</w:t>
            </w: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791663A" w14:textId="77777777">
            <w:pPr>
              <w:pStyle w:val="Amendement"/>
              <w:jc w:val="right"/>
              <w:rPr>
                <w:rFonts w:ascii="Times New Roman" w:hAnsi="Times New Roman" w:cs="Times New Roman"/>
                <w:spacing w:val="40"/>
                <w:sz w:val="22"/>
                <w:szCs w:val="22"/>
              </w:rPr>
            </w:pPr>
            <w:r w:rsidRPr="002168F4">
              <w:rPr>
                <w:rFonts w:ascii="Times New Roman" w:hAnsi="Times New Roman" w:cs="Times New Roman"/>
                <w:sz w:val="88"/>
                <w:szCs w:val="88"/>
              </w:rPr>
              <w:t>2</w:t>
            </w:r>
          </w:p>
        </w:tc>
      </w:tr>
      <w:tr w:rsidRPr="002168F4" w:rsidR="00CB3578" w:rsidTr="00A11E73" w14:paraId="4860EFE3" w14:textId="77777777">
        <w:trPr>
          <w:cantSplit/>
        </w:trPr>
        <w:tc>
          <w:tcPr>
            <w:tcW w:w="9142" w:type="dxa"/>
            <w:gridSpan w:val="3"/>
            <w:tcBorders>
              <w:left w:val="nil"/>
              <w:bottom w:val="nil"/>
              <w:right w:val="nil"/>
            </w:tcBorders>
          </w:tcPr>
          <w:p w:rsidRPr="002168F4" w:rsidR="00CB3578" w:rsidP="00C63E6E" w:rsidRDefault="00D731D6" w14:paraId="5A8556D4" w14:textId="298931DD">
            <w:pPr>
              <w:pStyle w:val="Amendement"/>
              <w:rPr>
                <w:rFonts w:ascii="Times New Roman" w:hAnsi="Times New Roman" w:cs="Times New Roman"/>
              </w:rPr>
            </w:pPr>
            <w:r w:rsidRPr="00D731D6">
              <w:rPr>
                <w:rFonts w:ascii="Times New Roman" w:hAnsi="Times New Roman" w:cs="Times New Roman"/>
                <w:b w:val="0"/>
                <w:bCs w:val="0"/>
              </w:rPr>
              <w:t xml:space="preserve">Vergaderjaar </w:t>
            </w:r>
            <w:r w:rsidR="00AC459D">
              <w:rPr>
                <w:rFonts w:ascii="Times New Roman" w:hAnsi="Times New Roman" w:cs="Times New Roman"/>
                <w:b w:val="0"/>
                <w:bCs w:val="0"/>
              </w:rPr>
              <w:t>2025-2026</w:t>
            </w:r>
          </w:p>
        </w:tc>
      </w:tr>
      <w:tr w:rsidRPr="002168F4" w:rsidR="00CB3578" w:rsidTr="00A11E73" w14:paraId="273CDC84" w14:textId="77777777">
        <w:trPr>
          <w:cantSplit/>
        </w:trPr>
        <w:tc>
          <w:tcPr>
            <w:tcW w:w="9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9DFBC05" w14:textId="77777777">
            <w:pPr>
              <w:pStyle w:val="Amendement"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Pr="002168F4" w:rsidR="00CB3578" w:rsidTr="00A11E73" w14:paraId="2CFB6F1F" w14:textId="77777777">
        <w:trPr>
          <w:cantSplit/>
        </w:trPr>
        <w:tc>
          <w:tcPr>
            <w:tcW w:w="9142" w:type="dxa"/>
            <w:gridSpan w:val="3"/>
            <w:tcBorders>
              <w:top w:val="nil"/>
              <w:left w:val="nil"/>
              <w:right w:val="nil"/>
            </w:tcBorders>
          </w:tcPr>
          <w:p w:rsidRPr="002168F4" w:rsidR="00CB3578" w:rsidRDefault="00CB3578" w14:paraId="64E47F7B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28D80E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4E2BF25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9CBC1D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D731D6" w:rsidTr="00A11E73" w14:paraId="103F6F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D731D6" w:rsidRDefault="008E4E56" w14:paraId="03C262D0" w14:textId="457AEC2E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36 893</w:t>
            </w:r>
          </w:p>
        </w:tc>
        <w:tc>
          <w:tcPr>
            <w:tcW w:w="6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731D6" w:rsidP="00194E56" w:rsidRDefault="00AC459D" w14:paraId="53557391" w14:textId="0D3DA8C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Voorstel van het Presidium tot wijziging van het Reglement van Orde </w:t>
            </w:r>
            <w:bookmarkStart w:name="_Hlk215235758" w:id="0"/>
            <w:r w:rsidRPr="001046F5" w:rsidR="001046F5">
              <w:rPr>
                <w:rFonts w:ascii="Times New Roman" w:hAnsi="Times New Roman"/>
                <w:b/>
                <w:bCs/>
                <w:sz w:val="24"/>
              </w:rPr>
              <w:t>om vast te leggen dat de termijn voor de toekenning van een debat eenmaal kan worden verlengd</w:t>
            </w:r>
            <w:bookmarkEnd w:id="0"/>
          </w:p>
        </w:tc>
      </w:tr>
      <w:tr w:rsidRPr="002168F4" w:rsidR="00D731D6" w:rsidTr="00A11E73" w14:paraId="3F31BC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D731D6" w:rsidRDefault="00D731D6" w14:paraId="6CAEC5B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731D6" w:rsidRDefault="00D731D6" w14:paraId="07E389F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D731D6" w:rsidTr="00A11E73" w14:paraId="4B2132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D731D6" w:rsidRDefault="00D731D6" w14:paraId="720626F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731D6" w:rsidRDefault="00D731D6" w14:paraId="711198D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D731D6" w:rsidTr="00A11E73" w14:paraId="6F8986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D731D6" w:rsidRDefault="00D731D6" w14:paraId="538C83C9" w14:textId="77777777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 2</w:t>
            </w:r>
          </w:p>
        </w:tc>
        <w:tc>
          <w:tcPr>
            <w:tcW w:w="6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731D6" w:rsidRDefault="00D731D6" w14:paraId="50A89C85" w14:textId="77777777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VOORSTEL</w:t>
            </w:r>
          </w:p>
        </w:tc>
      </w:tr>
      <w:tr w:rsidRPr="002168F4" w:rsidR="00D731D6" w:rsidTr="00A11E73" w14:paraId="358732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D731D6" w:rsidRDefault="00D731D6" w14:paraId="0A02D422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4630B" w:rsidR="00D731D6" w:rsidRDefault="00D731D6" w14:paraId="2990DD51" w14:textId="77777777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54630B" w:rsidP="00A11E73" w:rsidRDefault="0054630B" w14:paraId="1EA5B2A6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0735ED" w:rsidP="0050635F" w:rsidRDefault="0050635F" w14:paraId="55C34F3D" w14:textId="55FCAC48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="00AC459D">
        <w:rPr>
          <w:rFonts w:ascii="Times New Roman" w:hAnsi="Times New Roman"/>
          <w:sz w:val="24"/>
          <w:szCs w:val="20"/>
        </w:rPr>
        <w:t>In artikel 12.8, tweede lid, van h</w:t>
      </w:r>
      <w:r>
        <w:rPr>
          <w:rFonts w:ascii="Times New Roman" w:hAnsi="Times New Roman"/>
          <w:sz w:val="24"/>
          <w:szCs w:val="20"/>
        </w:rPr>
        <w:t xml:space="preserve">et Reglement van Orde van de Tweede Kamer </w:t>
      </w:r>
      <w:r w:rsidR="00C63E6E">
        <w:rPr>
          <w:rFonts w:ascii="Times New Roman" w:hAnsi="Times New Roman"/>
          <w:sz w:val="24"/>
          <w:szCs w:val="20"/>
        </w:rPr>
        <w:t xml:space="preserve">der Staten-Generaal </w:t>
      </w:r>
      <w:r>
        <w:rPr>
          <w:rFonts w:ascii="Times New Roman" w:hAnsi="Times New Roman"/>
          <w:sz w:val="24"/>
          <w:szCs w:val="20"/>
        </w:rPr>
        <w:t xml:space="preserve">wordt </w:t>
      </w:r>
      <w:r w:rsidR="00AC459D">
        <w:rPr>
          <w:rFonts w:ascii="Times New Roman" w:hAnsi="Times New Roman"/>
          <w:sz w:val="24"/>
          <w:szCs w:val="20"/>
        </w:rPr>
        <w:t>“ten hoogste twee keer” vervangen door “eenmaal”.</w:t>
      </w:r>
    </w:p>
    <w:p w:rsidRPr="00D731D6" w:rsidR="00D731D6" w:rsidP="00D731D6" w:rsidRDefault="00D731D6" w14:paraId="578EAFC0" w14:textId="77777777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</w:rPr>
      </w:pPr>
    </w:p>
    <w:p w:rsidRPr="00D731D6" w:rsidR="00D731D6" w:rsidP="00D731D6" w:rsidRDefault="00D731D6" w14:paraId="17F93BF5" w14:textId="77777777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b/>
          <w:sz w:val="24"/>
        </w:rPr>
      </w:pPr>
      <w:r w:rsidRPr="00D731D6">
        <w:rPr>
          <w:rFonts w:ascii="Times New Roman" w:hAnsi="Times New Roman"/>
          <w:b/>
          <w:sz w:val="24"/>
        </w:rPr>
        <w:t>Toelichting</w:t>
      </w:r>
    </w:p>
    <w:p w:rsidR="00D731D6" w:rsidP="00D731D6" w:rsidRDefault="00D731D6" w14:paraId="4F7DEC5C" w14:textId="77777777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</w:rPr>
      </w:pPr>
    </w:p>
    <w:p w:rsidR="00616E0D" w:rsidP="00D731D6" w:rsidRDefault="00F03F9D" w14:paraId="6D094D4A" w14:textId="7A161E15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Naar aanleiding van het besluit van de Kamer om de aanbevelingen van de </w:t>
      </w:r>
      <w:r w:rsidRPr="00362B27" w:rsidR="0008704F">
        <w:rPr>
          <w:rFonts w:ascii="Times New Roman" w:hAnsi="Times New Roman"/>
          <w:sz w:val="24"/>
        </w:rPr>
        <w:t>werkgroep</w:t>
      </w:r>
      <w:r>
        <w:rPr>
          <w:rFonts w:ascii="Times New Roman" w:hAnsi="Times New Roman"/>
          <w:sz w:val="24"/>
        </w:rPr>
        <w:t xml:space="preserve">- Kamminga </w:t>
      </w:r>
      <w:r w:rsidRPr="00362B27" w:rsidR="0008704F">
        <w:rPr>
          <w:rFonts w:ascii="Times New Roman" w:hAnsi="Times New Roman"/>
          <w:sz w:val="24"/>
        </w:rPr>
        <w:t>‘Voor een Kamer die Werkt</w:t>
      </w:r>
      <w:r w:rsidRPr="00362B27" w:rsidR="001C414C">
        <w:rPr>
          <w:rFonts w:ascii="Times New Roman" w:hAnsi="Times New Roman"/>
          <w:sz w:val="24"/>
        </w:rPr>
        <w:t>’</w:t>
      </w:r>
      <w:r>
        <w:rPr>
          <w:rFonts w:ascii="Times New Roman" w:hAnsi="Times New Roman"/>
          <w:sz w:val="24"/>
        </w:rPr>
        <w:t xml:space="preserve"> over te nemen</w:t>
      </w:r>
      <w:r w:rsidRPr="00362B27" w:rsidR="001C414C">
        <w:rPr>
          <w:rFonts w:ascii="Times New Roman" w:hAnsi="Times New Roman"/>
          <w:sz w:val="24"/>
        </w:rPr>
        <w:t xml:space="preserve">, stelt het Presidium hierbij voor om in </w:t>
      </w:r>
      <w:r w:rsidRPr="00362B27" w:rsidR="009507AA">
        <w:rPr>
          <w:rFonts w:ascii="Times New Roman" w:hAnsi="Times New Roman"/>
          <w:sz w:val="24"/>
        </w:rPr>
        <w:t>artikel 12.8, tweede lid, van het Reglement van Orde vast</w:t>
      </w:r>
      <w:r w:rsidRPr="00362B27" w:rsidR="001C414C">
        <w:rPr>
          <w:rFonts w:ascii="Times New Roman" w:hAnsi="Times New Roman"/>
          <w:sz w:val="24"/>
        </w:rPr>
        <w:t xml:space="preserve"> te leggen</w:t>
      </w:r>
      <w:r w:rsidRPr="00362B27" w:rsidR="009507AA">
        <w:rPr>
          <w:rFonts w:ascii="Times New Roman" w:hAnsi="Times New Roman"/>
          <w:sz w:val="24"/>
        </w:rPr>
        <w:t xml:space="preserve"> dat een verlenging van de </w:t>
      </w:r>
      <w:r w:rsidRPr="00362B27" w:rsidR="00F00C12">
        <w:rPr>
          <w:rFonts w:ascii="Times New Roman" w:hAnsi="Times New Roman"/>
          <w:sz w:val="24"/>
        </w:rPr>
        <w:t>toekennings</w:t>
      </w:r>
      <w:r w:rsidRPr="00362B27" w:rsidR="009507AA">
        <w:rPr>
          <w:rFonts w:ascii="Times New Roman" w:hAnsi="Times New Roman"/>
          <w:sz w:val="24"/>
        </w:rPr>
        <w:t>termijn</w:t>
      </w:r>
      <w:r w:rsidRPr="00362B27" w:rsidR="00F00C12">
        <w:rPr>
          <w:rFonts w:ascii="Times New Roman" w:hAnsi="Times New Roman"/>
          <w:sz w:val="24"/>
        </w:rPr>
        <w:t xml:space="preserve"> van een debat</w:t>
      </w:r>
      <w:r w:rsidRPr="00362B27" w:rsidR="009507AA">
        <w:rPr>
          <w:rFonts w:ascii="Times New Roman" w:hAnsi="Times New Roman"/>
          <w:sz w:val="24"/>
        </w:rPr>
        <w:t xml:space="preserve"> slechts eenmaal</w:t>
      </w:r>
      <w:r w:rsidRPr="00362B27" w:rsidR="00645A00">
        <w:rPr>
          <w:rFonts w:ascii="Times New Roman" w:hAnsi="Times New Roman"/>
          <w:sz w:val="24"/>
        </w:rPr>
        <w:t xml:space="preserve"> </w:t>
      </w:r>
      <w:r w:rsidRPr="00362B27" w:rsidR="009507AA">
        <w:rPr>
          <w:rFonts w:ascii="Times New Roman" w:hAnsi="Times New Roman"/>
          <w:sz w:val="24"/>
        </w:rPr>
        <w:t>kan plaatsvinden.</w:t>
      </w:r>
      <w:r w:rsidR="00947654">
        <w:rPr>
          <w:rStyle w:val="Voetnootmarkering"/>
          <w:rFonts w:ascii="Times New Roman" w:hAnsi="Times New Roman"/>
          <w:sz w:val="24"/>
        </w:rPr>
        <w:footnoteReference w:id="1"/>
      </w:r>
      <w:r w:rsidRPr="00362B27" w:rsidR="00A4111D">
        <w:rPr>
          <w:rFonts w:ascii="Times New Roman" w:hAnsi="Times New Roman"/>
          <w:sz w:val="24"/>
        </w:rPr>
        <w:t xml:space="preserve"> De verlenging </w:t>
      </w:r>
      <w:r w:rsidRPr="00362B27" w:rsidR="007D706A">
        <w:rPr>
          <w:rFonts w:ascii="Times New Roman" w:hAnsi="Times New Roman"/>
          <w:sz w:val="24"/>
        </w:rPr>
        <w:t xml:space="preserve">geldt daarbij </w:t>
      </w:r>
      <w:r w:rsidRPr="00362B27" w:rsidR="000E7C5B">
        <w:rPr>
          <w:rFonts w:ascii="Times New Roman" w:hAnsi="Times New Roman"/>
          <w:sz w:val="24"/>
        </w:rPr>
        <w:t>tot en met de eerste vergadering twaalf weken na</w:t>
      </w:r>
      <w:r w:rsidRPr="00362B27" w:rsidR="008F42E2">
        <w:rPr>
          <w:rFonts w:ascii="Times New Roman" w:hAnsi="Times New Roman"/>
          <w:sz w:val="24"/>
        </w:rPr>
        <w:t>dien</w:t>
      </w:r>
      <w:r w:rsidRPr="00362B27" w:rsidR="000E7C5B">
        <w:rPr>
          <w:rFonts w:ascii="Times New Roman" w:hAnsi="Times New Roman"/>
          <w:sz w:val="24"/>
        </w:rPr>
        <w:t>.</w:t>
      </w:r>
      <w:r w:rsidRPr="00362B27" w:rsidR="008F42E2">
        <w:rPr>
          <w:rFonts w:ascii="Times New Roman" w:hAnsi="Times New Roman"/>
          <w:sz w:val="24"/>
        </w:rPr>
        <w:t xml:space="preserve"> </w:t>
      </w:r>
    </w:p>
    <w:p w:rsidRPr="00362B27" w:rsidR="009507AA" w:rsidP="00D731D6" w:rsidRDefault="008F42E2" w14:paraId="5F5FE551" w14:textId="23FE477D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</w:rPr>
      </w:pPr>
      <w:r w:rsidRPr="00362B27">
        <w:rPr>
          <w:rFonts w:ascii="Times New Roman" w:hAnsi="Times New Roman"/>
          <w:sz w:val="24"/>
        </w:rPr>
        <w:t xml:space="preserve">Dit vergroot de ruimte voor plenaire behandeling van wetgeving, </w:t>
      </w:r>
      <w:r w:rsidRPr="00362B27" w:rsidR="00362B27">
        <w:rPr>
          <w:rFonts w:ascii="Times New Roman" w:hAnsi="Times New Roman"/>
          <w:sz w:val="24"/>
        </w:rPr>
        <w:t>en biedt plaats</w:t>
      </w:r>
      <w:r w:rsidRPr="00362B27">
        <w:rPr>
          <w:rFonts w:ascii="Times New Roman" w:hAnsi="Times New Roman"/>
          <w:sz w:val="24"/>
        </w:rPr>
        <w:t xml:space="preserve"> voor meer actuele meerderheids- </w:t>
      </w:r>
      <w:r w:rsidR="00362B27">
        <w:rPr>
          <w:rFonts w:ascii="Times New Roman" w:hAnsi="Times New Roman"/>
          <w:sz w:val="24"/>
        </w:rPr>
        <w:t>e</w:t>
      </w:r>
      <w:r w:rsidRPr="00362B27">
        <w:rPr>
          <w:rFonts w:ascii="Times New Roman" w:hAnsi="Times New Roman"/>
          <w:sz w:val="24"/>
        </w:rPr>
        <w:t>n dertigledendebatten</w:t>
      </w:r>
      <w:r w:rsidRPr="00362B27" w:rsidR="00362B27">
        <w:rPr>
          <w:rFonts w:ascii="Times New Roman" w:hAnsi="Times New Roman"/>
          <w:sz w:val="24"/>
        </w:rPr>
        <w:t>.</w:t>
      </w:r>
    </w:p>
    <w:p w:rsidRPr="00D731D6" w:rsidR="009507AA" w:rsidP="00D731D6" w:rsidRDefault="009507AA" w14:paraId="02DE8BEC" w14:textId="77777777">
      <w:pPr>
        <w:tabs>
          <w:tab w:val="left" w:pos="284"/>
          <w:tab w:val="left" w:pos="567"/>
          <w:tab w:val="left" w:pos="851"/>
          <w:tab w:val="left" w:pos="9070"/>
        </w:tabs>
        <w:ind w:right="-2"/>
        <w:rPr>
          <w:rFonts w:ascii="Times New Roman" w:hAnsi="Times New Roman"/>
          <w:sz w:val="24"/>
        </w:rPr>
      </w:pPr>
    </w:p>
    <w:p w:rsidR="0054630B" w:rsidP="00A11E73" w:rsidRDefault="00AC459D" w14:paraId="31D87C60" w14:textId="4BB23D7D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De Voorzitter van de </w:t>
      </w:r>
      <w:r>
        <w:rPr>
          <w:rFonts w:ascii="Times New Roman" w:hAnsi="Times New Roman"/>
          <w:sz w:val="24"/>
          <w:szCs w:val="20"/>
        </w:rPr>
        <w:t>Tweede Kamer der Staten-Generaal,</w:t>
      </w:r>
    </w:p>
    <w:p w:rsidRPr="002168F4" w:rsidR="00AC459D" w:rsidP="00A11E73" w:rsidRDefault="008E4E56" w14:paraId="5264F07C" w14:textId="2C0D4865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Cs/>
          <w:sz w:val="24"/>
        </w:rPr>
        <w:t>Van</w:t>
      </w:r>
      <w:r w:rsidR="00AC459D">
        <w:rPr>
          <w:rFonts w:ascii="Times New Roman" w:hAnsi="Times New Roman"/>
          <w:bCs/>
          <w:sz w:val="24"/>
        </w:rPr>
        <w:t xml:space="preserve"> Campen</w:t>
      </w:r>
    </w:p>
    <w:sectPr w:rsidRPr="002168F4" w:rsidR="00AC459D" w:rsidSect="00A11E73">
      <w:footerReference w:type="even" r:id="rId11"/>
      <w:footerReference w:type="default" r:id="rId12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8E83A" w14:textId="77777777" w:rsidR="0095145D" w:rsidRDefault="0095145D">
      <w:pPr>
        <w:spacing w:line="20" w:lineRule="exact"/>
      </w:pPr>
    </w:p>
  </w:endnote>
  <w:endnote w:type="continuationSeparator" w:id="0">
    <w:p w14:paraId="7BD7AA1F" w14:textId="77777777" w:rsidR="0095145D" w:rsidRDefault="0095145D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5763AE6E" w14:textId="77777777" w:rsidR="0095145D" w:rsidRDefault="0095145D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DC63" w14:textId="77777777" w:rsidR="00955C06" w:rsidRDefault="00955C06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04F8421" w14:textId="77777777" w:rsidR="00955C06" w:rsidRDefault="00955C06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422B" w14:textId="77777777" w:rsidR="00955C06" w:rsidRPr="002168F4" w:rsidRDefault="00955C06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C63E6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7A0B369F" w14:textId="77777777" w:rsidR="00955C06" w:rsidRPr="002168F4" w:rsidRDefault="00955C06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D2B8" w14:textId="77777777" w:rsidR="0095145D" w:rsidRDefault="0095145D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2563B55A" w14:textId="77777777" w:rsidR="0095145D" w:rsidRDefault="0095145D">
      <w:r>
        <w:continuationSeparator/>
      </w:r>
    </w:p>
  </w:footnote>
  <w:footnote w:id="1">
    <w:p w14:paraId="7A01687F" w14:textId="334740C2" w:rsidR="00947654" w:rsidRDefault="0094765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3E7325" w:rsidRPr="007312FF">
        <w:rPr>
          <w:rFonts w:ascii="Times New Roman" w:hAnsi="Times New Roman"/>
          <w:sz w:val="18"/>
          <w:szCs w:val="18"/>
        </w:rPr>
        <w:t>Zie Kamerstukken 36</w:t>
      </w:r>
      <w:r w:rsidR="008E4E56">
        <w:rPr>
          <w:rFonts w:ascii="Times New Roman" w:hAnsi="Times New Roman"/>
          <w:sz w:val="18"/>
          <w:szCs w:val="18"/>
        </w:rPr>
        <w:t xml:space="preserve"> </w:t>
      </w:r>
      <w:r w:rsidR="003E7325" w:rsidRPr="007312FF">
        <w:rPr>
          <w:rFonts w:ascii="Times New Roman" w:hAnsi="Times New Roman"/>
          <w:sz w:val="18"/>
          <w:szCs w:val="18"/>
        </w:rPr>
        <w:t>673</w:t>
      </w:r>
      <w:r w:rsidR="008E4E56">
        <w:rPr>
          <w:rFonts w:ascii="Times New Roman" w:hAnsi="Times New Roman"/>
          <w:sz w:val="18"/>
          <w:szCs w:val="18"/>
        </w:rPr>
        <w:t>,</w:t>
      </w:r>
      <w:r w:rsidR="003E7325" w:rsidRPr="007312FF">
        <w:rPr>
          <w:rFonts w:ascii="Times New Roman" w:hAnsi="Times New Roman"/>
          <w:sz w:val="18"/>
          <w:szCs w:val="18"/>
        </w:rPr>
        <w:t xml:space="preserve"> nr. </w:t>
      </w:r>
      <w:r w:rsidR="003E7325">
        <w:fldChar w:fldCharType="begin"/>
      </w:r>
      <w:r w:rsidR="003E7325">
        <w:instrText>HYPERLINK "https://zoek.officielebekendmakingen.nl/kst-36673-4.html"</w:instrText>
      </w:r>
      <w:r w:rsidR="003E7325">
        <w:fldChar w:fldCharType="separate"/>
      </w:r>
      <w:r w:rsidR="003E7325" w:rsidRPr="00371B2C">
        <w:rPr>
          <w:rStyle w:val="Hyperlink"/>
          <w:rFonts w:ascii="Times New Roman" w:hAnsi="Times New Roman"/>
          <w:sz w:val="18"/>
          <w:szCs w:val="18"/>
        </w:rPr>
        <w:t>4</w:t>
      </w:r>
      <w:r w:rsidR="003E7325">
        <w:fldChar w:fldCharType="end"/>
      </w:r>
      <w:r w:rsidR="007312FF" w:rsidRPr="007312FF">
        <w:rPr>
          <w:rFonts w:ascii="Times New Roman" w:hAnsi="Times New Roman"/>
          <w:sz w:val="18"/>
          <w:szCs w:val="18"/>
        </w:rPr>
        <w:t xml:space="preserve">, </w:t>
      </w:r>
      <w:hyperlink r:id="rId1" w:history="1">
        <w:r w:rsidR="007312FF" w:rsidRPr="00D717E7">
          <w:rPr>
            <w:rStyle w:val="Hyperlink"/>
            <w:rFonts w:ascii="Times New Roman" w:hAnsi="Times New Roman"/>
            <w:sz w:val="18"/>
            <w:szCs w:val="18"/>
          </w:rPr>
          <w:t>bijl</w:t>
        </w:r>
        <w:r w:rsidR="007312FF" w:rsidRPr="00D717E7">
          <w:rPr>
            <w:rStyle w:val="Hyperlink"/>
            <w:rFonts w:ascii="Times New Roman" w:hAnsi="Times New Roman"/>
            <w:sz w:val="18"/>
            <w:szCs w:val="18"/>
          </w:rPr>
          <w:t>a</w:t>
        </w:r>
        <w:r w:rsidR="007312FF" w:rsidRPr="00D717E7">
          <w:rPr>
            <w:rStyle w:val="Hyperlink"/>
            <w:rFonts w:ascii="Times New Roman" w:hAnsi="Times New Roman"/>
            <w:sz w:val="18"/>
            <w:szCs w:val="18"/>
          </w:rPr>
          <w:t>ge</w:t>
        </w:r>
      </w:hyperlink>
      <w:r w:rsidR="007312FF" w:rsidRPr="007312FF">
        <w:rPr>
          <w:rFonts w:ascii="Times New Roman" w:hAnsi="Times New Roman"/>
          <w:sz w:val="18"/>
          <w:szCs w:val="18"/>
        </w:rPr>
        <w:t xml:space="preserve">, </w:t>
      </w:r>
      <w:proofErr w:type="spellStart"/>
      <w:r w:rsidR="007312FF" w:rsidRPr="007312FF">
        <w:rPr>
          <w:rFonts w:ascii="Times New Roman" w:hAnsi="Times New Roman"/>
          <w:sz w:val="18"/>
          <w:szCs w:val="18"/>
        </w:rPr>
        <w:t>subparagraaf</w:t>
      </w:r>
      <w:proofErr w:type="spellEnd"/>
      <w:r w:rsidR="007312FF" w:rsidRPr="007312FF">
        <w:rPr>
          <w:rFonts w:ascii="Times New Roman" w:hAnsi="Times New Roman"/>
          <w:sz w:val="18"/>
          <w:szCs w:val="18"/>
        </w:rPr>
        <w:t xml:space="preserve"> 3.3.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7317"/>
    <w:multiLevelType w:val="hybridMultilevel"/>
    <w:tmpl w:val="82E623F2"/>
    <w:lvl w:ilvl="0" w:tplc="63B0DF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E635E"/>
    <w:multiLevelType w:val="hybridMultilevel"/>
    <w:tmpl w:val="A580ADD4"/>
    <w:lvl w:ilvl="0" w:tplc="7A72C45C">
      <w:start w:val="1"/>
      <w:numFmt w:val="decimal"/>
      <w:lvlText w:val="%1."/>
      <w:lvlJc w:val="left"/>
      <w:pPr>
        <w:ind w:left="644" w:hanging="360"/>
      </w:pPr>
    </w:lvl>
    <w:lvl w:ilvl="1" w:tplc="04130019">
      <w:start w:val="1"/>
      <w:numFmt w:val="lowerLetter"/>
      <w:lvlText w:val="%2."/>
      <w:lvlJc w:val="left"/>
      <w:pPr>
        <w:ind w:left="1364" w:hanging="360"/>
      </w:pPr>
    </w:lvl>
    <w:lvl w:ilvl="2" w:tplc="0413001B">
      <w:start w:val="1"/>
      <w:numFmt w:val="lowerRoman"/>
      <w:lvlText w:val="%3."/>
      <w:lvlJc w:val="right"/>
      <w:pPr>
        <w:ind w:left="2084" w:hanging="180"/>
      </w:pPr>
    </w:lvl>
    <w:lvl w:ilvl="3" w:tplc="0413000F">
      <w:start w:val="1"/>
      <w:numFmt w:val="decimal"/>
      <w:lvlText w:val="%4."/>
      <w:lvlJc w:val="left"/>
      <w:pPr>
        <w:ind w:left="2804" w:hanging="360"/>
      </w:pPr>
    </w:lvl>
    <w:lvl w:ilvl="4" w:tplc="04130019">
      <w:start w:val="1"/>
      <w:numFmt w:val="lowerLetter"/>
      <w:lvlText w:val="%5."/>
      <w:lvlJc w:val="left"/>
      <w:pPr>
        <w:ind w:left="3524" w:hanging="360"/>
      </w:pPr>
    </w:lvl>
    <w:lvl w:ilvl="5" w:tplc="0413001B">
      <w:start w:val="1"/>
      <w:numFmt w:val="lowerRoman"/>
      <w:lvlText w:val="%6."/>
      <w:lvlJc w:val="right"/>
      <w:pPr>
        <w:ind w:left="4244" w:hanging="180"/>
      </w:pPr>
    </w:lvl>
    <w:lvl w:ilvl="6" w:tplc="0413000F">
      <w:start w:val="1"/>
      <w:numFmt w:val="decimal"/>
      <w:lvlText w:val="%7."/>
      <w:lvlJc w:val="left"/>
      <w:pPr>
        <w:ind w:left="4964" w:hanging="360"/>
      </w:pPr>
    </w:lvl>
    <w:lvl w:ilvl="7" w:tplc="04130019">
      <w:start w:val="1"/>
      <w:numFmt w:val="lowerLetter"/>
      <w:lvlText w:val="%8."/>
      <w:lvlJc w:val="left"/>
      <w:pPr>
        <w:ind w:left="5684" w:hanging="360"/>
      </w:pPr>
    </w:lvl>
    <w:lvl w:ilvl="8" w:tplc="0413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829204800">
    <w:abstractNumId w:val="0"/>
  </w:num>
  <w:num w:numId="2" w16cid:durableId="6191451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0B"/>
    <w:rsid w:val="000051AE"/>
    <w:rsid w:val="0002187F"/>
    <w:rsid w:val="000735ED"/>
    <w:rsid w:val="0008704F"/>
    <w:rsid w:val="000A1D81"/>
    <w:rsid w:val="000A371F"/>
    <w:rsid w:val="000B3159"/>
    <w:rsid w:val="000E7C5B"/>
    <w:rsid w:val="00102E1C"/>
    <w:rsid w:val="001046F5"/>
    <w:rsid w:val="00111ED3"/>
    <w:rsid w:val="00135398"/>
    <w:rsid w:val="00144D87"/>
    <w:rsid w:val="00164FB4"/>
    <w:rsid w:val="001672D1"/>
    <w:rsid w:val="00194E56"/>
    <w:rsid w:val="001A221D"/>
    <w:rsid w:val="001C190E"/>
    <w:rsid w:val="001C3DB0"/>
    <w:rsid w:val="001C414C"/>
    <w:rsid w:val="002168F4"/>
    <w:rsid w:val="00242899"/>
    <w:rsid w:val="0025092E"/>
    <w:rsid w:val="00252C4C"/>
    <w:rsid w:val="00252F4B"/>
    <w:rsid w:val="002B3436"/>
    <w:rsid w:val="00323BB8"/>
    <w:rsid w:val="00336B04"/>
    <w:rsid w:val="00336C1F"/>
    <w:rsid w:val="003378C9"/>
    <w:rsid w:val="00362B27"/>
    <w:rsid w:val="00371B2C"/>
    <w:rsid w:val="003A03DA"/>
    <w:rsid w:val="003B56E8"/>
    <w:rsid w:val="003E7325"/>
    <w:rsid w:val="003F322A"/>
    <w:rsid w:val="004671A3"/>
    <w:rsid w:val="0050635F"/>
    <w:rsid w:val="00523D86"/>
    <w:rsid w:val="0054630B"/>
    <w:rsid w:val="00587E9B"/>
    <w:rsid w:val="00597AEA"/>
    <w:rsid w:val="005B1AD2"/>
    <w:rsid w:val="005D2707"/>
    <w:rsid w:val="00606255"/>
    <w:rsid w:val="00616E0D"/>
    <w:rsid w:val="00645A00"/>
    <w:rsid w:val="006964DD"/>
    <w:rsid w:val="006C72A7"/>
    <w:rsid w:val="00716770"/>
    <w:rsid w:val="007312FF"/>
    <w:rsid w:val="007D451C"/>
    <w:rsid w:val="007D706A"/>
    <w:rsid w:val="00807207"/>
    <w:rsid w:val="00813B98"/>
    <w:rsid w:val="00826224"/>
    <w:rsid w:val="008307E5"/>
    <w:rsid w:val="00857952"/>
    <w:rsid w:val="008C06A8"/>
    <w:rsid w:val="008D2CB1"/>
    <w:rsid w:val="008E4E56"/>
    <w:rsid w:val="008E5D8F"/>
    <w:rsid w:val="008E7BA5"/>
    <w:rsid w:val="008F42E2"/>
    <w:rsid w:val="00930A23"/>
    <w:rsid w:val="00946EF6"/>
    <w:rsid w:val="00947654"/>
    <w:rsid w:val="009507AA"/>
    <w:rsid w:val="0095145D"/>
    <w:rsid w:val="00955C06"/>
    <w:rsid w:val="00976502"/>
    <w:rsid w:val="00996C80"/>
    <w:rsid w:val="009B699E"/>
    <w:rsid w:val="009C7354"/>
    <w:rsid w:val="009E0ED9"/>
    <w:rsid w:val="009E6D7F"/>
    <w:rsid w:val="009F183B"/>
    <w:rsid w:val="009F594E"/>
    <w:rsid w:val="00A11E73"/>
    <w:rsid w:val="00A4111D"/>
    <w:rsid w:val="00A9503B"/>
    <w:rsid w:val="00AC459D"/>
    <w:rsid w:val="00AD3FF8"/>
    <w:rsid w:val="00AE436A"/>
    <w:rsid w:val="00B12BE4"/>
    <w:rsid w:val="00B1632B"/>
    <w:rsid w:val="00B23488"/>
    <w:rsid w:val="00B52FBD"/>
    <w:rsid w:val="00B6700A"/>
    <w:rsid w:val="00C135B1"/>
    <w:rsid w:val="00C17673"/>
    <w:rsid w:val="00C63E6E"/>
    <w:rsid w:val="00C72E28"/>
    <w:rsid w:val="00C77A53"/>
    <w:rsid w:val="00C933AA"/>
    <w:rsid w:val="00CB3578"/>
    <w:rsid w:val="00CC312C"/>
    <w:rsid w:val="00CF1826"/>
    <w:rsid w:val="00D311A9"/>
    <w:rsid w:val="00D525A8"/>
    <w:rsid w:val="00D717E7"/>
    <w:rsid w:val="00D731D6"/>
    <w:rsid w:val="00D83C31"/>
    <w:rsid w:val="00D95E9C"/>
    <w:rsid w:val="00D97828"/>
    <w:rsid w:val="00DB0361"/>
    <w:rsid w:val="00E16443"/>
    <w:rsid w:val="00E43AEC"/>
    <w:rsid w:val="00E501A0"/>
    <w:rsid w:val="00E5435D"/>
    <w:rsid w:val="00EC0D5E"/>
    <w:rsid w:val="00EC3CAD"/>
    <w:rsid w:val="00F00C12"/>
    <w:rsid w:val="00F03F9D"/>
    <w:rsid w:val="00F12293"/>
    <w:rsid w:val="00F956D4"/>
    <w:rsid w:val="00F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3EAF9"/>
  <w15:chartTrackingRefBased/>
  <w15:docId w15:val="{F88B8CF0-302F-49EA-81E7-4B6659B2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  <w:lang w:eastAsia="nl-N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  <w:lang w:eastAsia="nl-NL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eastAsia="nl-NL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  <w:lang w:eastAsia="nl-NL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Lijstalinea">
    <w:name w:val="List Paragraph"/>
    <w:basedOn w:val="Standaard"/>
    <w:uiPriority w:val="34"/>
    <w:qFormat/>
    <w:rsid w:val="009B699E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Verwijzingopmerking">
    <w:name w:val="annotation reference"/>
    <w:rsid w:val="009B699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B699E"/>
    <w:rPr>
      <w:szCs w:val="20"/>
    </w:rPr>
  </w:style>
  <w:style w:type="character" w:customStyle="1" w:styleId="TekstopmerkingChar">
    <w:name w:val="Tekst opmerking Char"/>
    <w:link w:val="Tekstopmerking"/>
    <w:rsid w:val="009B699E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B699E"/>
    <w:rPr>
      <w:b/>
      <w:bCs/>
    </w:rPr>
  </w:style>
  <w:style w:type="character" w:customStyle="1" w:styleId="OnderwerpvanopmerkingChar">
    <w:name w:val="Onderwerp van opmerking Char"/>
    <w:link w:val="Onderwerpvanopmerking"/>
    <w:rsid w:val="009B699E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9B699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9B699E"/>
    <w:rPr>
      <w:rFonts w:ascii="Tahoma" w:hAnsi="Tahoma" w:cs="Tahoma"/>
      <w:sz w:val="16"/>
      <w:szCs w:val="16"/>
    </w:rPr>
  </w:style>
  <w:style w:type="character" w:styleId="Voetnootmarkering">
    <w:name w:val="footnote reference"/>
    <w:basedOn w:val="Standaardalinea-lettertype"/>
    <w:rsid w:val="00947654"/>
    <w:rPr>
      <w:vertAlign w:val="superscript"/>
    </w:rPr>
  </w:style>
  <w:style w:type="character" w:styleId="Hyperlink">
    <w:name w:val="Hyperlink"/>
    <w:basedOn w:val="Standaardalinea-lettertype"/>
    <w:rsid w:val="00D717E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717E7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B0361"/>
    <w:rPr>
      <w:rFonts w:ascii="Verdana" w:hAnsi="Verdana"/>
      <w:szCs w:val="24"/>
      <w:lang w:eastAsia="nl-NL"/>
    </w:rPr>
  </w:style>
  <w:style w:type="character" w:styleId="GevolgdeHyperlink">
    <w:name w:val="FollowedHyperlink"/>
    <w:basedOn w:val="Standaardalinea-lettertype"/>
    <w:rsid w:val="008E4E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oek.officielebekendmakingen.nl/blg-1205909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891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2009-12-07T15:10:00.0000000Z</lastPrinted>
  <dcterms:created xsi:type="dcterms:W3CDTF">2026-02-04T15:16:00.0000000Z</dcterms:created>
  <dcterms:modified xsi:type="dcterms:W3CDTF">2026-02-04T15:16:00.0000000Z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Ridder, A.C. de (Alexander)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RIDA0507</vt:lpwstr>
  </property>
  <property fmtid="{D5CDD505-2E9C-101B-9397-08002B2CF9AE}" pid="5" name="_ip_UnifiedCompliancePolicyUIAction">
    <vt:lpwstr/>
  </property>
  <property fmtid="{D5CDD505-2E9C-101B-9397-08002B2CF9AE}" pid="6" name="lcf76f155ced4ddcb4097134ff3c332f">
    <vt:lpwstr/>
  </property>
  <property fmtid="{D5CDD505-2E9C-101B-9397-08002B2CF9AE}" pid="7" name="_ip_UnifiedCompliancePolicyProperties">
    <vt:lpwstr/>
  </property>
  <property fmtid="{D5CDD505-2E9C-101B-9397-08002B2CF9AE}" pid="8" name="TaxCatchAll">
    <vt:lpwstr/>
  </property>
  <property fmtid="{D5CDD505-2E9C-101B-9397-08002B2CF9AE}" pid="9" name="MediaServiceImageTags">
    <vt:lpwstr/>
  </property>
  <property fmtid="{D5CDD505-2E9C-101B-9397-08002B2CF9AE}" pid="10" name="ContentTypeId">
    <vt:lpwstr>0x01010038E60350FC170647B310166F2EB204D8</vt:lpwstr>
  </property>
  <property fmtid="{D5CDD505-2E9C-101B-9397-08002B2CF9AE}" pid="11" name="docLang">
    <vt:lpwstr>nl</vt:lpwstr>
  </property>
</Properties>
</file>