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6ABA" w:rsidR="4C965B4F" w:rsidP="1A738FD5" w:rsidRDefault="1A738FD5" w14:paraId="0958863C" w14:textId="35E32F10">
      <w:pPr>
        <w:pStyle w:val="Kop2"/>
        <w:spacing w:line="276" w:lineRule="auto"/>
        <w:jc w:val="both"/>
        <w:rPr>
          <w:rFonts w:ascii="Verdana" w:hAnsi="Verdana" w:eastAsia="Verdana" w:cs="Verdana"/>
          <w:color w:val="4471C4"/>
          <w:sz w:val="24"/>
          <w:szCs w:val="24"/>
        </w:rPr>
      </w:pPr>
      <w:bookmarkStart w:name="_Hlk190874508" w:id="0"/>
      <w:r w:rsidRPr="1A738FD5">
        <w:rPr>
          <w:rFonts w:ascii="Verdana" w:hAnsi="Verdana" w:eastAsia="Verdana" w:cs="Verdana"/>
          <w:color w:val="4471C4"/>
          <w:sz w:val="24"/>
          <w:szCs w:val="24"/>
        </w:rPr>
        <w:t xml:space="preserve">Geannoteerde agenda Eurogroep en </w:t>
      </w:r>
      <w:proofErr w:type="spellStart"/>
      <w:r w:rsidRPr="1A738FD5">
        <w:rPr>
          <w:rFonts w:ascii="Verdana" w:hAnsi="Verdana" w:eastAsia="Verdana" w:cs="Verdana"/>
          <w:color w:val="4471C4"/>
          <w:sz w:val="24"/>
          <w:szCs w:val="24"/>
        </w:rPr>
        <w:t>Ecofinraad</w:t>
      </w:r>
      <w:proofErr w:type="spellEnd"/>
      <w:r w:rsidRPr="1A738FD5">
        <w:rPr>
          <w:rFonts w:ascii="Verdana" w:hAnsi="Verdana" w:eastAsia="Verdana" w:cs="Verdana"/>
          <w:color w:val="4471C4"/>
          <w:sz w:val="24"/>
          <w:szCs w:val="24"/>
        </w:rPr>
        <w:t xml:space="preserve"> 16-17 februari 2026</w:t>
      </w:r>
    </w:p>
    <w:bookmarkEnd w:id="0"/>
    <w:p w:rsidRPr="00136ABA" w:rsidR="00301447" w:rsidP="00301447" w:rsidRDefault="00301447" w14:paraId="2B3EC9CA" w14:textId="77777777">
      <w:pPr>
        <w:rPr>
          <w:rFonts w:ascii="Verdana" w:hAnsi="Verdana"/>
          <w:sz w:val="18"/>
          <w:szCs w:val="18"/>
        </w:rPr>
      </w:pPr>
    </w:p>
    <w:p w:rsidRPr="00136ABA" w:rsidR="00951D93" w:rsidP="1A738FD5" w:rsidRDefault="1A738FD5" w14:paraId="574DC70B" w14:textId="2D2EF235">
      <w:pPr>
        <w:spacing w:line="276" w:lineRule="auto"/>
        <w:rPr>
          <w:rFonts w:ascii="Verdana" w:hAnsi="Verdana" w:eastAsia="Calibri" w:cs="Arial"/>
          <w:b/>
          <w:bCs/>
          <w:sz w:val="18"/>
          <w:szCs w:val="18"/>
        </w:rPr>
      </w:pPr>
      <w:r w:rsidRPr="1A738FD5">
        <w:rPr>
          <w:rFonts w:ascii="Verdana" w:hAnsi="Verdana" w:eastAsia="Verdana" w:cs="Verdana"/>
          <w:color w:val="4471C4"/>
          <w:sz w:val="24"/>
          <w:szCs w:val="24"/>
        </w:rPr>
        <w:t>Eurogroep</w:t>
      </w:r>
      <w:r w:rsidR="21ADDAEE">
        <w:br/>
      </w:r>
      <w:r w:rsidRPr="1A738FD5">
        <w:rPr>
          <w:rFonts w:ascii="Verdana" w:hAnsi="Verdana" w:eastAsia="Verdana" w:cs="Verdana"/>
          <w:b/>
          <w:bCs/>
          <w:color w:val="000000" w:themeColor="text1"/>
          <w:sz w:val="18"/>
          <w:szCs w:val="18"/>
        </w:rPr>
        <w:t xml:space="preserve">Agendaonderwerp: </w:t>
      </w:r>
      <w:r w:rsidRPr="1A738FD5">
        <w:rPr>
          <w:rFonts w:ascii="Verdana" w:hAnsi="Verdana" w:eastAsia="Verdana" w:cs="Verdana"/>
          <w:sz w:val="18"/>
          <w:szCs w:val="18"/>
        </w:rPr>
        <w:t>Eurozone aanbeveling voor 2026</w:t>
      </w:r>
      <w:r w:rsidR="21ADDAEE">
        <w:br/>
      </w:r>
      <w:r w:rsidRPr="1A738FD5">
        <w:rPr>
          <w:rFonts w:ascii="Verdana" w:hAnsi="Verdana" w:eastAsia="Verdana" w:cs="Verdana"/>
          <w:b/>
          <w:bCs/>
          <w:sz w:val="18"/>
          <w:szCs w:val="18"/>
        </w:rPr>
        <w:t xml:space="preserve">Document: </w:t>
      </w:r>
      <w:r w:rsidRPr="1A738FD5">
        <w:rPr>
          <w:rFonts w:ascii="Verdana" w:hAnsi="Verdana" w:eastAsia="Verdana" w:cs="Verdana"/>
          <w:sz w:val="18"/>
          <w:szCs w:val="18"/>
        </w:rPr>
        <w:t xml:space="preserve">Laatste versie van het document is nog niet beschikbaar. Het document wordt later op het </w:t>
      </w:r>
      <w:proofErr w:type="spellStart"/>
      <w:r w:rsidRPr="1A738FD5">
        <w:rPr>
          <w:rFonts w:ascii="Verdana" w:hAnsi="Verdana" w:eastAsia="Verdana" w:cs="Verdana"/>
          <w:sz w:val="18"/>
          <w:szCs w:val="18"/>
        </w:rPr>
        <w:t>Delegates</w:t>
      </w:r>
      <w:proofErr w:type="spellEnd"/>
      <w:r w:rsidRPr="1A738FD5">
        <w:rPr>
          <w:rFonts w:ascii="Verdana" w:hAnsi="Verdana" w:eastAsia="Verdana" w:cs="Verdana"/>
          <w:sz w:val="18"/>
          <w:szCs w:val="18"/>
        </w:rPr>
        <w:t xml:space="preserve"> Portal geplaatst onder de titel ‘</w:t>
      </w:r>
      <w:r w:rsidRPr="1A738FD5">
        <w:rPr>
          <w:rFonts w:ascii="Verdana" w:hAnsi="Verdana" w:eastAsia="Verdana" w:cs="Verdana"/>
          <w:i/>
          <w:iCs/>
          <w:sz w:val="18"/>
          <w:szCs w:val="18"/>
        </w:rPr>
        <w:t xml:space="preserve">Council </w:t>
      </w:r>
      <w:proofErr w:type="spellStart"/>
      <w:r w:rsidRPr="1A738FD5">
        <w:rPr>
          <w:rFonts w:ascii="Verdana" w:hAnsi="Verdana" w:eastAsia="Verdana" w:cs="Verdana"/>
          <w:i/>
          <w:iCs/>
          <w:sz w:val="18"/>
          <w:szCs w:val="18"/>
        </w:rPr>
        <w:t>recommendation</w:t>
      </w:r>
      <w:proofErr w:type="spellEnd"/>
      <w:r w:rsidRPr="1A738FD5">
        <w:rPr>
          <w:rFonts w:ascii="Verdana" w:hAnsi="Verdana" w:eastAsia="Verdana" w:cs="Verdana"/>
          <w:i/>
          <w:iCs/>
          <w:sz w:val="18"/>
          <w:szCs w:val="18"/>
        </w:rPr>
        <w:t xml:space="preserve"> on </w:t>
      </w:r>
      <w:proofErr w:type="spellStart"/>
      <w:r w:rsidRPr="1A738FD5">
        <w:rPr>
          <w:rFonts w:ascii="Verdana" w:hAnsi="Verdana" w:eastAsia="Verdana" w:cs="Verdana"/>
          <w:i/>
          <w:iCs/>
          <w:sz w:val="18"/>
          <w:szCs w:val="18"/>
        </w:rPr>
        <w:t>the</w:t>
      </w:r>
      <w:proofErr w:type="spellEnd"/>
      <w:r w:rsidRPr="1A738FD5">
        <w:rPr>
          <w:rFonts w:ascii="Verdana" w:hAnsi="Verdana" w:eastAsia="Verdana" w:cs="Verdana"/>
          <w:i/>
          <w:iCs/>
          <w:sz w:val="18"/>
          <w:szCs w:val="18"/>
        </w:rPr>
        <w:t xml:space="preserve"> </w:t>
      </w:r>
      <w:proofErr w:type="spellStart"/>
      <w:r w:rsidRPr="1A738FD5">
        <w:rPr>
          <w:rFonts w:ascii="Verdana" w:hAnsi="Verdana" w:eastAsia="Verdana" w:cs="Verdana"/>
          <w:i/>
          <w:iCs/>
          <w:sz w:val="18"/>
          <w:szCs w:val="18"/>
        </w:rPr>
        <w:t>economic</w:t>
      </w:r>
      <w:proofErr w:type="spellEnd"/>
      <w:r w:rsidRPr="1A738FD5">
        <w:rPr>
          <w:rFonts w:ascii="Verdana" w:hAnsi="Verdana" w:eastAsia="Verdana" w:cs="Verdana"/>
          <w:i/>
          <w:iCs/>
          <w:sz w:val="18"/>
          <w:szCs w:val="18"/>
        </w:rPr>
        <w:t xml:space="preserve"> policy of </w:t>
      </w:r>
      <w:proofErr w:type="spellStart"/>
      <w:r w:rsidRPr="1A738FD5">
        <w:rPr>
          <w:rFonts w:ascii="Verdana" w:hAnsi="Verdana" w:eastAsia="Verdana" w:cs="Verdana"/>
          <w:i/>
          <w:iCs/>
          <w:sz w:val="18"/>
          <w:szCs w:val="18"/>
        </w:rPr>
        <w:t>the</w:t>
      </w:r>
      <w:proofErr w:type="spellEnd"/>
      <w:r w:rsidRPr="1A738FD5">
        <w:rPr>
          <w:rFonts w:ascii="Verdana" w:hAnsi="Verdana" w:eastAsia="Verdana" w:cs="Verdana"/>
          <w:i/>
          <w:iCs/>
          <w:sz w:val="18"/>
          <w:szCs w:val="18"/>
        </w:rPr>
        <w:t xml:space="preserve"> euro area’</w:t>
      </w:r>
      <w:r w:rsidRPr="1A738FD5">
        <w:rPr>
          <w:rFonts w:ascii="Verdana" w:hAnsi="Verdana" w:eastAsia="Verdana" w:cs="Verdana"/>
          <w:sz w:val="18"/>
          <w:szCs w:val="18"/>
        </w:rPr>
        <w:t xml:space="preserve">. </w:t>
      </w:r>
      <w:r w:rsidR="21ADDAEE">
        <w:br/>
      </w:r>
      <w:r w:rsidRPr="1A738FD5">
        <w:rPr>
          <w:rFonts w:ascii="Verdana" w:hAnsi="Verdana" w:eastAsia="Verdana" w:cs="Verdana"/>
          <w:b/>
          <w:bCs/>
          <w:sz w:val="18"/>
          <w:szCs w:val="18"/>
        </w:rPr>
        <w:t xml:space="preserve">Aard bespreking: </w:t>
      </w:r>
      <w:r w:rsidRPr="1A738FD5">
        <w:rPr>
          <w:rFonts w:ascii="Verdana" w:hAnsi="Verdana" w:eastAsia="Verdana" w:cs="Verdana"/>
          <w:sz w:val="18"/>
          <w:szCs w:val="18"/>
        </w:rPr>
        <w:t>Bespreking ten behoeve van goedkeuring door de Raad.</w:t>
      </w:r>
      <w:r w:rsidR="21ADDAEE">
        <w:br/>
      </w:r>
      <w:r w:rsidRPr="1A738FD5">
        <w:rPr>
          <w:rFonts w:ascii="Verdana" w:hAnsi="Verdana" w:eastAsia="Verdana" w:cs="Verdana"/>
          <w:b/>
          <w:bCs/>
          <w:sz w:val="18"/>
          <w:szCs w:val="18"/>
        </w:rPr>
        <w:t xml:space="preserve">Besluitvormingsprocedure: </w:t>
      </w:r>
      <w:r w:rsidRPr="1A738FD5">
        <w:rPr>
          <w:rFonts w:ascii="Verdana" w:hAnsi="Verdana" w:eastAsia="Verdana" w:cs="Verdana"/>
          <w:sz w:val="18"/>
          <w:szCs w:val="18"/>
        </w:rPr>
        <w:t>N.v.t.</w:t>
      </w:r>
      <w:r w:rsidR="21ADDAEE">
        <w:br/>
      </w:r>
      <w:r w:rsidRPr="1A738FD5">
        <w:rPr>
          <w:rFonts w:ascii="Verdana" w:hAnsi="Verdana" w:eastAsia="Verdana" w:cs="Verdana"/>
          <w:b/>
          <w:bCs/>
          <w:sz w:val="18"/>
          <w:szCs w:val="18"/>
        </w:rPr>
        <w:t>Toelichting:</w:t>
      </w:r>
      <w:r w:rsidR="21ADDAEE">
        <w:br/>
      </w:r>
      <w:r w:rsidRPr="1A738FD5">
        <w:rPr>
          <w:rFonts w:ascii="Verdana" w:hAnsi="Verdana" w:eastAsia="Verdana" w:cs="Verdana"/>
          <w:sz w:val="18"/>
          <w:szCs w:val="18"/>
        </w:rPr>
        <w:t>De Commissie heeft op 25 november 2025 het herfstpakket in het kader van het Europees Semester gepubliceerd. Onderdeel van dit pakket is de door de Commissie voorgestelde ontwerpaanbeveling voor het economisch beleid in de eurozone voor 2026 (</w:t>
      </w:r>
      <w:r w:rsidRPr="1A738FD5">
        <w:rPr>
          <w:rFonts w:ascii="Verdana" w:hAnsi="Verdana" w:eastAsia="Verdana" w:cs="Verdana"/>
          <w:i/>
          <w:iCs/>
          <w:sz w:val="18"/>
          <w:szCs w:val="18"/>
        </w:rPr>
        <w:t xml:space="preserve">Euro Area </w:t>
      </w:r>
      <w:proofErr w:type="spellStart"/>
      <w:r w:rsidRPr="1A738FD5">
        <w:rPr>
          <w:rFonts w:ascii="Verdana" w:hAnsi="Verdana" w:eastAsia="Verdana" w:cs="Verdana"/>
          <w:i/>
          <w:iCs/>
          <w:sz w:val="18"/>
          <w:szCs w:val="18"/>
        </w:rPr>
        <w:t>Recommendation</w:t>
      </w:r>
      <w:proofErr w:type="spellEnd"/>
      <w:r w:rsidRPr="1A738FD5">
        <w:rPr>
          <w:rFonts w:ascii="Verdana" w:hAnsi="Verdana" w:eastAsia="Verdana" w:cs="Verdana"/>
          <w:sz w:val="18"/>
          <w:szCs w:val="18"/>
        </w:rPr>
        <w:t xml:space="preserve">, EAR). </w:t>
      </w:r>
    </w:p>
    <w:p w:rsidRPr="00136ABA" w:rsidR="00951D93" w:rsidP="1A738FD5" w:rsidRDefault="21ADDAEE" w14:paraId="3319B523" w14:textId="3EFEF15A">
      <w:pPr>
        <w:spacing w:line="276" w:lineRule="auto"/>
        <w:rPr>
          <w:rFonts w:ascii="Verdana" w:hAnsi="Verdana"/>
          <w:sz w:val="18"/>
          <w:szCs w:val="18"/>
        </w:rPr>
      </w:pPr>
      <w:r w:rsidRPr="00136ABA">
        <w:rPr>
          <w:rFonts w:ascii="Verdana" w:hAnsi="Verdana" w:eastAsia="Verdana" w:cs="Verdana"/>
          <w:sz w:val="18"/>
          <w:szCs w:val="18"/>
        </w:rPr>
        <w:t xml:space="preserve">In de EAR worden de gezamenlijke (beleids-)uitdagingen voor het eurogebied voor 2026 en 2027 geïdentificeerd. De voorliggende aanbevelingen, die zijn aangepast naar aanleiding van besprekingen in de ambtelijke voorportalen van de Eurogroep, de </w:t>
      </w:r>
      <w:proofErr w:type="spellStart"/>
      <w:r w:rsidRPr="00136ABA">
        <w:rPr>
          <w:rFonts w:ascii="Verdana" w:hAnsi="Verdana" w:eastAsia="Verdana" w:cs="Verdana"/>
          <w:sz w:val="18"/>
          <w:szCs w:val="18"/>
        </w:rPr>
        <w:t>Ecofinraad</w:t>
      </w:r>
      <w:proofErr w:type="spellEnd"/>
      <w:r w:rsidRPr="00136ABA">
        <w:rPr>
          <w:rFonts w:ascii="Verdana" w:hAnsi="Verdana" w:eastAsia="Verdana" w:cs="Verdana"/>
          <w:sz w:val="18"/>
          <w:szCs w:val="18"/>
        </w:rPr>
        <w:t xml:space="preserve"> en de Raad Werkgelegenheid en Sociaal Beleid, sluiten aan op de hoofdthema’s: begrotingsbeleid, defensie</w:t>
      </w:r>
      <w:r w:rsidR="008B3D5A">
        <w:rPr>
          <w:rFonts w:ascii="Verdana" w:hAnsi="Verdana" w:eastAsia="Verdana" w:cs="Verdana"/>
          <w:sz w:val="18"/>
          <w:szCs w:val="18"/>
        </w:rPr>
        <w:t>-uitgaven</w:t>
      </w:r>
      <w:r w:rsidRPr="00136ABA">
        <w:rPr>
          <w:rFonts w:ascii="Verdana" w:hAnsi="Verdana" w:eastAsia="Verdana" w:cs="Verdana"/>
          <w:sz w:val="18"/>
          <w:szCs w:val="18"/>
        </w:rPr>
        <w:t xml:space="preserve"> en begrotingsbeleid, arbeidsmarkt, investeringen en innovatie, interne markt, simplificatie, Spaar- en Investeringsunie, de digitale euro en de internationale rol van de euro, en macro-financiële stabiliteit. Een kabinetsappreciatie van de EAR is opgenomen in de geannoteerde agenda van de Eurogroep en </w:t>
      </w:r>
      <w:proofErr w:type="spellStart"/>
      <w:r w:rsidRPr="00136ABA">
        <w:rPr>
          <w:rFonts w:ascii="Verdana" w:hAnsi="Verdana" w:eastAsia="Verdana" w:cs="Verdana"/>
          <w:sz w:val="18"/>
          <w:szCs w:val="18"/>
        </w:rPr>
        <w:t>Ecofinraad</w:t>
      </w:r>
      <w:proofErr w:type="spellEnd"/>
      <w:r w:rsidRPr="00136ABA">
        <w:rPr>
          <w:rFonts w:ascii="Verdana" w:hAnsi="Verdana" w:eastAsia="Verdana" w:cs="Verdana"/>
          <w:sz w:val="18"/>
          <w:szCs w:val="18"/>
        </w:rPr>
        <w:t xml:space="preserve"> van januari 2026.</w:t>
      </w:r>
      <w:hyperlink w:anchor="_ftn1" r:id="rId7"/>
      <w:r w:rsidRPr="00136ABA" w:rsidR="00CF5C27">
        <w:rPr>
          <w:rStyle w:val="Voetnootmarkering"/>
          <w:rFonts w:ascii="Verdana" w:hAnsi="Verdana"/>
          <w:sz w:val="18"/>
          <w:szCs w:val="18"/>
        </w:rPr>
        <w:footnoteReference w:id="2"/>
      </w:r>
    </w:p>
    <w:p w:rsidRPr="00136ABA" w:rsidR="00951D93" w:rsidP="3B296001" w:rsidRDefault="21ADDAEE" w14:paraId="2345DC61" w14:textId="732906D0">
      <w:pPr>
        <w:spacing w:line="276" w:lineRule="auto"/>
        <w:rPr>
          <w:rFonts w:ascii="Verdana" w:hAnsi="Verdana"/>
          <w:sz w:val="18"/>
          <w:szCs w:val="18"/>
        </w:rPr>
      </w:pPr>
      <w:r w:rsidRPr="00136ABA">
        <w:rPr>
          <w:rFonts w:ascii="Verdana" w:hAnsi="Verdana" w:eastAsia="Verdana" w:cs="Verdana"/>
          <w:sz w:val="18"/>
          <w:szCs w:val="18"/>
        </w:rPr>
        <w:t>Alle thema’s in de EAR raken aan voor Nederland belangrijke prioriteiten, waaronder aandacht voor voortgang op de kapitaalmarktunie, onderzoek en innovatie, verdieping van de interne markt, aanpak van regeldruk, en het stimuleren van een goede aansluiting van het onderwijs op de arbeidsmarkt. Het kabinet onderschrijft de urgentie voor de eurozonelidstaten om hier stappen op te zetten. Op veel van de thema’s die in de EAR worden benoemd, onderneemt het kabinet al actie, waaronder het verminderen van regeldruk</w:t>
      </w:r>
      <w:r w:rsidRPr="00136ABA" w:rsidR="00CF5C27">
        <w:rPr>
          <w:rStyle w:val="Voetnootmarkering"/>
          <w:rFonts w:ascii="Verdana" w:hAnsi="Verdana" w:eastAsia="Verdana" w:cs="Verdana"/>
          <w:sz w:val="18"/>
          <w:szCs w:val="18"/>
        </w:rPr>
        <w:footnoteReference w:id="3"/>
      </w:r>
      <w:r w:rsidRPr="00136ABA" w:rsidR="00CF5C27">
        <w:rPr>
          <w:rFonts w:ascii="Verdana" w:hAnsi="Verdana" w:eastAsia="Verdana" w:cs="Verdana"/>
          <w:sz w:val="18"/>
          <w:szCs w:val="18"/>
        </w:rPr>
        <w:t xml:space="preserve">, </w:t>
      </w:r>
      <w:r w:rsidRPr="00136ABA">
        <w:rPr>
          <w:rFonts w:ascii="Verdana" w:hAnsi="Verdana" w:eastAsia="Verdana" w:cs="Verdana"/>
          <w:sz w:val="18"/>
          <w:szCs w:val="18"/>
        </w:rPr>
        <w:t>aandacht voor het versterken van het investeringsklimaat en verdienvermogen in Nederland</w:t>
      </w:r>
      <w:r w:rsidRPr="00136ABA" w:rsidR="00CF5C27">
        <w:rPr>
          <w:rStyle w:val="Voetnootmarkering"/>
          <w:rFonts w:ascii="Verdana" w:hAnsi="Verdana" w:eastAsia="Verdana" w:cs="Verdana"/>
          <w:sz w:val="18"/>
          <w:szCs w:val="18"/>
        </w:rPr>
        <w:footnoteReference w:id="4"/>
      </w:r>
      <w:r w:rsidRPr="00136ABA">
        <w:rPr>
          <w:rFonts w:ascii="Verdana" w:hAnsi="Verdana" w:eastAsia="Verdana" w:cs="Verdana"/>
          <w:sz w:val="18"/>
          <w:szCs w:val="18"/>
        </w:rPr>
        <w:t>, en inzetten voor ambitieuze stappen om de Europese kapitaalmarktunie te versterken</w:t>
      </w:r>
      <w:r w:rsidRPr="00136ABA" w:rsidR="00CF5C27">
        <w:rPr>
          <w:rStyle w:val="Voetnootmarkering"/>
          <w:rFonts w:ascii="Verdana" w:hAnsi="Verdana" w:eastAsia="Verdana" w:cs="Verdana"/>
          <w:sz w:val="18"/>
          <w:szCs w:val="18"/>
        </w:rPr>
        <w:footnoteReference w:id="5"/>
      </w:r>
      <w:r w:rsidRPr="00136ABA">
        <w:rPr>
          <w:rFonts w:ascii="Verdana" w:hAnsi="Verdana" w:eastAsia="Verdana" w:cs="Verdana"/>
          <w:sz w:val="18"/>
          <w:szCs w:val="18"/>
        </w:rPr>
        <w:t xml:space="preserve">. </w:t>
      </w:r>
    </w:p>
    <w:p w:rsidRPr="00136ABA" w:rsidR="00951D93" w:rsidP="1A738FD5" w:rsidRDefault="1A738FD5" w14:paraId="5243C4EA" w14:textId="557DEAA7">
      <w:pPr>
        <w:spacing w:line="276" w:lineRule="auto"/>
        <w:rPr>
          <w:rFonts w:ascii="Verdana" w:hAnsi="Verdana"/>
          <w:sz w:val="18"/>
          <w:szCs w:val="18"/>
        </w:rPr>
      </w:pPr>
      <w:r w:rsidRPr="1A738FD5">
        <w:rPr>
          <w:rFonts w:ascii="Verdana" w:hAnsi="Verdana" w:eastAsia="Verdana" w:cs="Verdana"/>
          <w:sz w:val="18"/>
          <w:szCs w:val="18"/>
        </w:rPr>
        <w:t xml:space="preserve">Op het moment van schrijven worden de laatste aanpassingen aan de conceptraadsaanbeveling nog voorbereid in de ambtelijke voorportalen. Naar verwachting zal het kabinet zich in grote lijnen kunnen vinden in aanbevelingen in de EAR zoals deze zullen voorliggen in de Eurogroep. Na bespreking in de Eurogroep zal de </w:t>
      </w:r>
      <w:proofErr w:type="spellStart"/>
      <w:r w:rsidRPr="1A738FD5">
        <w:rPr>
          <w:rFonts w:ascii="Verdana" w:hAnsi="Verdana" w:eastAsia="Verdana" w:cs="Verdana"/>
          <w:sz w:val="18"/>
          <w:szCs w:val="18"/>
        </w:rPr>
        <w:t>Ecofinraad</w:t>
      </w:r>
      <w:proofErr w:type="spellEnd"/>
      <w:r w:rsidRPr="1A738FD5">
        <w:rPr>
          <w:rFonts w:ascii="Verdana" w:hAnsi="Verdana" w:eastAsia="Verdana" w:cs="Verdana"/>
          <w:sz w:val="18"/>
          <w:szCs w:val="18"/>
        </w:rPr>
        <w:t xml:space="preserve"> de aanbevelingen goedkeuren. De werkgelegenheids- en sociale aspecten van de EAR worden in de Raad Werkgelegenheid en Sociaal Beleid van maart 2026 besproken en goedgekeurd. Hierna zal de Europese Raad de EAR in maart bekrachtigen, waarna de </w:t>
      </w:r>
      <w:proofErr w:type="spellStart"/>
      <w:r w:rsidRPr="1A738FD5">
        <w:rPr>
          <w:rFonts w:ascii="Verdana" w:hAnsi="Verdana" w:eastAsia="Verdana" w:cs="Verdana"/>
          <w:sz w:val="18"/>
          <w:szCs w:val="18"/>
        </w:rPr>
        <w:t>Ecofinraad</w:t>
      </w:r>
      <w:proofErr w:type="spellEnd"/>
      <w:r w:rsidRPr="1A738FD5">
        <w:rPr>
          <w:rFonts w:ascii="Verdana" w:hAnsi="Verdana" w:eastAsia="Verdana" w:cs="Verdana"/>
          <w:sz w:val="18"/>
          <w:szCs w:val="18"/>
        </w:rPr>
        <w:t xml:space="preserve"> de aanbevelingen in april formeel aanneemt.</w:t>
      </w:r>
    </w:p>
    <w:p w:rsidRPr="00136ABA" w:rsidR="00B23B05" w:rsidP="3B296001" w:rsidRDefault="21ADDAEE" w14:paraId="56D29DF4" w14:textId="15D23E4B">
      <w:pPr>
        <w:spacing w:line="276" w:lineRule="auto"/>
        <w:rPr>
          <w:rFonts w:ascii="Verdana" w:hAnsi="Verdana"/>
          <w:sz w:val="18"/>
          <w:szCs w:val="18"/>
        </w:rPr>
      </w:pPr>
      <w:r w:rsidRPr="00136ABA">
        <w:rPr>
          <w:rFonts w:ascii="Verdana" w:hAnsi="Verdana" w:eastAsia="Calibri" w:cs="Times New Roman"/>
          <w:b/>
          <w:bCs/>
          <w:sz w:val="18"/>
          <w:szCs w:val="18"/>
        </w:rPr>
        <w:t xml:space="preserve">Agendaonderwerp: </w:t>
      </w:r>
      <w:r w:rsidRPr="00136ABA" w:rsidR="003920D5">
        <w:rPr>
          <w:rFonts w:ascii="Verdana" w:hAnsi="Verdana" w:eastAsia="Calibri" w:cs="Times New Roman"/>
          <w:sz w:val="18"/>
          <w:szCs w:val="18"/>
        </w:rPr>
        <w:t>I</w:t>
      </w:r>
      <w:r w:rsidRPr="00136ABA">
        <w:rPr>
          <w:rFonts w:ascii="Verdana" w:hAnsi="Verdana" w:eastAsia="Calibri" w:cs="Times New Roman"/>
          <w:sz w:val="18"/>
          <w:szCs w:val="18"/>
        </w:rPr>
        <w:t xml:space="preserve">nternationale rol van de euro </w:t>
      </w:r>
      <w:r w:rsidRPr="00136ABA" w:rsidR="6C4126FF">
        <w:rPr>
          <w:rFonts w:ascii="Verdana" w:hAnsi="Verdana"/>
          <w:sz w:val="18"/>
          <w:szCs w:val="18"/>
        </w:rPr>
        <w:br/>
      </w:r>
      <w:r w:rsidRPr="00136ABA">
        <w:rPr>
          <w:rFonts w:ascii="Verdana" w:hAnsi="Verdana" w:eastAsia="Times New Roman" w:cs="Arial"/>
          <w:b/>
          <w:bCs/>
          <w:sz w:val="18"/>
          <w:szCs w:val="18"/>
          <w:lang w:eastAsia="nl-NL"/>
        </w:rPr>
        <w:t>Document:</w:t>
      </w:r>
      <w:r w:rsidRPr="00136ABA">
        <w:rPr>
          <w:rFonts w:ascii="Verdana" w:hAnsi="Verdana" w:eastAsia="Times New Roman" w:cs="Arial"/>
          <w:sz w:val="18"/>
          <w:szCs w:val="18"/>
          <w:lang w:eastAsia="nl-NL"/>
        </w:rPr>
        <w:t xml:space="preserve"> </w:t>
      </w:r>
      <w:bookmarkStart w:name="_Hlk218671163" w:id="1"/>
      <w:r w:rsidRPr="00136ABA" w:rsidR="003920D5">
        <w:rPr>
          <w:rFonts w:ascii="Verdana" w:hAnsi="Verdana" w:eastAsia="Times New Roman" w:cs="Arial"/>
          <w:sz w:val="18"/>
          <w:szCs w:val="18"/>
          <w:lang w:eastAsia="nl-NL"/>
        </w:rPr>
        <w:t>N.v.t.</w:t>
      </w:r>
      <w:r w:rsidRPr="00136ABA" w:rsidR="00A42A82">
        <w:rPr>
          <w:rFonts w:ascii="Verdana" w:hAnsi="Verdana" w:eastAsia="Times New Roman" w:cs="Arial"/>
          <w:sz w:val="18"/>
          <w:szCs w:val="18"/>
          <w:lang w:eastAsia="nl-NL"/>
        </w:rPr>
        <w:br/>
      </w:r>
      <w:r w:rsidRPr="00136ABA">
        <w:rPr>
          <w:rFonts w:ascii="Verdana" w:hAnsi="Verdana" w:eastAsia="Times New Roman" w:cs="Arial"/>
          <w:b/>
          <w:bCs/>
          <w:sz w:val="18"/>
          <w:szCs w:val="18"/>
          <w:lang w:eastAsia="nl-NL"/>
        </w:rPr>
        <w:t>Aard bespreking:</w:t>
      </w:r>
      <w:r w:rsidRPr="00136ABA" w:rsidR="003920D5">
        <w:rPr>
          <w:rFonts w:ascii="Verdana" w:hAnsi="Verdana" w:eastAsia="Times New Roman" w:cs="Arial"/>
          <w:b/>
          <w:bCs/>
          <w:sz w:val="18"/>
          <w:szCs w:val="18"/>
          <w:lang w:eastAsia="nl-NL"/>
        </w:rPr>
        <w:t xml:space="preserve"> </w:t>
      </w:r>
      <w:r w:rsidRPr="00136ABA" w:rsidR="003920D5">
        <w:rPr>
          <w:rFonts w:ascii="Verdana" w:hAnsi="Verdana" w:eastAsia="Times New Roman" w:cs="Arial"/>
          <w:sz w:val="18"/>
          <w:szCs w:val="18"/>
          <w:lang w:eastAsia="nl-NL"/>
        </w:rPr>
        <w:t xml:space="preserve">Gedachtewisseling </w:t>
      </w:r>
      <w:r w:rsidRPr="00136ABA">
        <w:rPr>
          <w:rFonts w:ascii="Verdana" w:hAnsi="Verdana" w:eastAsia="Times New Roman" w:cs="Arial"/>
          <w:b/>
          <w:bCs/>
          <w:sz w:val="18"/>
          <w:szCs w:val="18"/>
          <w:lang w:eastAsia="nl-NL"/>
        </w:rPr>
        <w:t xml:space="preserve">  </w:t>
      </w:r>
      <w:bookmarkEnd w:id="1"/>
      <w:r w:rsidRPr="00136ABA" w:rsidR="00A42A82">
        <w:rPr>
          <w:rFonts w:ascii="Verdana" w:hAnsi="Verdana" w:eastAsia="Times New Roman" w:cs="Arial"/>
          <w:sz w:val="18"/>
          <w:szCs w:val="18"/>
          <w:lang w:eastAsia="nl-NL"/>
        </w:rPr>
        <w:br/>
      </w:r>
      <w:r w:rsidRPr="00136ABA">
        <w:rPr>
          <w:rFonts w:ascii="Verdana" w:hAnsi="Verdana" w:eastAsia="Times New Roman" w:cs="Arial"/>
          <w:b/>
          <w:bCs/>
          <w:sz w:val="18"/>
          <w:szCs w:val="18"/>
          <w:lang w:eastAsia="nl-NL"/>
        </w:rPr>
        <w:t xml:space="preserve">Besluitvormingsprocedure: </w:t>
      </w:r>
      <w:r w:rsidRPr="00136ABA" w:rsidR="003920D5">
        <w:rPr>
          <w:rFonts w:ascii="Verdana" w:hAnsi="Verdana" w:eastAsia="Times New Roman" w:cs="Arial"/>
          <w:sz w:val="18"/>
          <w:szCs w:val="18"/>
          <w:lang w:eastAsia="nl-NL"/>
        </w:rPr>
        <w:t>N.v.t.</w:t>
      </w:r>
      <w:r w:rsidRPr="00136ABA">
        <w:rPr>
          <w:rFonts w:ascii="Verdana" w:hAnsi="Verdana" w:eastAsia="Times New Roman" w:cs="Arial"/>
          <w:b/>
          <w:bCs/>
          <w:sz w:val="18"/>
          <w:szCs w:val="18"/>
          <w:lang w:eastAsia="nl-NL"/>
        </w:rPr>
        <w:t xml:space="preserve"> </w:t>
      </w:r>
      <w:bookmarkStart w:name="_Hlk218605063" w:id="2"/>
      <w:bookmarkStart w:name="_Hlk218665136" w:id="3"/>
      <w:r w:rsidRPr="00136ABA" w:rsidR="00A42A82">
        <w:rPr>
          <w:rFonts w:ascii="Verdana" w:hAnsi="Verdana" w:eastAsia="Times New Roman" w:cs="Arial"/>
          <w:sz w:val="18"/>
          <w:szCs w:val="18"/>
          <w:lang w:eastAsia="nl-NL"/>
        </w:rPr>
        <w:br/>
      </w:r>
      <w:r w:rsidRPr="00136ABA" w:rsidR="4DA84208">
        <w:rPr>
          <w:rFonts w:ascii="Verdana" w:hAnsi="Verdana" w:eastAsia="Calibri" w:cs="Arial"/>
          <w:b/>
          <w:bCs/>
          <w:sz w:val="18"/>
          <w:szCs w:val="18"/>
          <w:lang w:eastAsia="nl-NL"/>
        </w:rPr>
        <w:t>Toelichting:</w:t>
      </w:r>
      <w:r w:rsidRPr="00136ABA" w:rsidR="00B23B05">
        <w:rPr>
          <w:rFonts w:ascii="Verdana" w:hAnsi="Verdana" w:eastAsia="Calibri" w:cs="Arial"/>
          <w:b/>
          <w:bCs/>
          <w:sz w:val="18"/>
          <w:szCs w:val="18"/>
          <w:lang w:eastAsia="nl-NL"/>
        </w:rPr>
        <w:br/>
      </w:r>
      <w:r w:rsidRPr="00136ABA" w:rsidR="00B23B05">
        <w:rPr>
          <w:rFonts w:ascii="Verdana" w:hAnsi="Verdana"/>
          <w:sz w:val="18"/>
          <w:szCs w:val="18"/>
        </w:rPr>
        <w:t xml:space="preserve">De Eurogroep zal de internationale rol van de euro bespreken. In het werkprogramma van de Eurogroep is het versterken van de internationale rol van de euro als een van de prioriteiten aangeduid. In dat kader wordt er periodiek gesproken over de ontwikkelingen op dit onderwerp. </w:t>
      </w:r>
      <w:r w:rsidRPr="00136ABA" w:rsidR="00B23B05">
        <w:rPr>
          <w:rFonts w:ascii="Verdana" w:hAnsi="Verdana"/>
          <w:sz w:val="18"/>
          <w:szCs w:val="18"/>
        </w:rPr>
        <w:lastRenderedPageBreak/>
        <w:t>De ECB heeft in juni 2025 haar jaarlijkse rapport over de internationale rol van de euro in 2024 gepresenteerd.</w:t>
      </w:r>
      <w:r w:rsidRPr="00136ABA" w:rsidR="00B23B05">
        <w:rPr>
          <w:rStyle w:val="Voetnootmarkering"/>
          <w:rFonts w:ascii="Verdana" w:hAnsi="Verdana"/>
          <w:sz w:val="18"/>
          <w:szCs w:val="18"/>
        </w:rPr>
        <w:footnoteReference w:id="6"/>
      </w:r>
      <w:r w:rsidRPr="00136ABA" w:rsidR="00B23B05">
        <w:rPr>
          <w:rFonts w:ascii="Verdana" w:hAnsi="Verdana"/>
          <w:sz w:val="18"/>
          <w:szCs w:val="18"/>
        </w:rPr>
        <w:t xml:space="preserve"> De Eurogroep heeft hierover in juli </w:t>
      </w:r>
      <w:r w:rsidR="008B3D5A">
        <w:rPr>
          <w:rFonts w:ascii="Verdana" w:hAnsi="Verdana"/>
          <w:sz w:val="18"/>
          <w:szCs w:val="18"/>
        </w:rPr>
        <w:t xml:space="preserve">2025 </w:t>
      </w:r>
      <w:proofErr w:type="gramStart"/>
      <w:r w:rsidRPr="00136ABA" w:rsidR="00B23B05">
        <w:rPr>
          <w:rFonts w:ascii="Verdana" w:hAnsi="Verdana"/>
          <w:sz w:val="18"/>
          <w:szCs w:val="18"/>
        </w:rPr>
        <w:t>reeds</w:t>
      </w:r>
      <w:proofErr w:type="gramEnd"/>
      <w:r w:rsidRPr="00136ABA" w:rsidR="00B23B05">
        <w:rPr>
          <w:rFonts w:ascii="Verdana" w:hAnsi="Verdana"/>
          <w:sz w:val="18"/>
          <w:szCs w:val="18"/>
        </w:rPr>
        <w:t xml:space="preserve"> van gedachten gewisseld. Uw </w:t>
      </w:r>
      <w:r w:rsidR="00136ABA">
        <w:rPr>
          <w:rFonts w:ascii="Verdana" w:hAnsi="Verdana"/>
          <w:sz w:val="18"/>
          <w:szCs w:val="18"/>
        </w:rPr>
        <w:t>K</w:t>
      </w:r>
      <w:r w:rsidRPr="00136ABA" w:rsidR="00B23B05">
        <w:rPr>
          <w:rFonts w:ascii="Verdana" w:hAnsi="Verdana"/>
          <w:sz w:val="18"/>
          <w:szCs w:val="18"/>
        </w:rPr>
        <w:t>amer heeft daar een verslag van ontvangen.</w:t>
      </w:r>
      <w:r w:rsidRPr="00136ABA" w:rsidR="00B23B05">
        <w:rPr>
          <w:rStyle w:val="Voetnootmarkering"/>
          <w:rFonts w:ascii="Verdana" w:hAnsi="Verdana"/>
          <w:sz w:val="18"/>
          <w:szCs w:val="18"/>
        </w:rPr>
        <w:footnoteReference w:id="7"/>
      </w:r>
      <w:r w:rsidRPr="00136ABA" w:rsidR="00B23B05">
        <w:rPr>
          <w:rFonts w:ascii="Verdana" w:hAnsi="Verdana"/>
          <w:sz w:val="18"/>
          <w:szCs w:val="18"/>
        </w:rPr>
        <w:t xml:space="preserve"> Naar verwachting z</w:t>
      </w:r>
      <w:r w:rsidR="008B3D5A">
        <w:rPr>
          <w:rFonts w:ascii="Verdana" w:hAnsi="Verdana"/>
          <w:sz w:val="18"/>
          <w:szCs w:val="18"/>
        </w:rPr>
        <w:t>u</w:t>
      </w:r>
      <w:r w:rsidRPr="00136ABA" w:rsidR="00B23B05">
        <w:rPr>
          <w:rFonts w:ascii="Verdana" w:hAnsi="Verdana"/>
          <w:sz w:val="18"/>
          <w:szCs w:val="18"/>
        </w:rPr>
        <w:t>l</w:t>
      </w:r>
      <w:r w:rsidR="008B3D5A">
        <w:rPr>
          <w:rFonts w:ascii="Verdana" w:hAnsi="Verdana"/>
          <w:sz w:val="18"/>
          <w:szCs w:val="18"/>
        </w:rPr>
        <w:t>len</w:t>
      </w:r>
      <w:r w:rsidRPr="00136ABA" w:rsidR="00B23B05">
        <w:rPr>
          <w:rFonts w:ascii="Verdana" w:hAnsi="Verdana"/>
          <w:sz w:val="18"/>
          <w:szCs w:val="18"/>
        </w:rPr>
        <w:t xml:space="preserve"> tijdens de geplande gedachtewisseling in februari de ontwikkelingen van het afgelopen half jaar rondom de internationale rol van de euro centraal staan. </w:t>
      </w:r>
    </w:p>
    <w:p w:rsidRPr="00136ABA" w:rsidR="00B23B05" w:rsidP="3B296001" w:rsidRDefault="3B296001" w14:paraId="5EC1D6A4" w14:textId="2094E35E">
      <w:pPr>
        <w:spacing w:line="276" w:lineRule="auto"/>
        <w:rPr>
          <w:rFonts w:ascii="Verdana" w:hAnsi="Verdana"/>
          <w:sz w:val="18"/>
          <w:szCs w:val="18"/>
        </w:rPr>
      </w:pPr>
      <w:r w:rsidRPr="3B296001">
        <w:rPr>
          <w:rFonts w:ascii="Verdana" w:hAnsi="Verdana"/>
          <w:sz w:val="18"/>
          <w:szCs w:val="18"/>
        </w:rPr>
        <w:t xml:space="preserve">Vergroting van de internationale rol van de euro kan voordelen opleveren in termen van grotere monetaire autonomie, lagere transactie-, risicomanagement- en financieringskosten, en een lagere gevoeligheid voor buitenlandse wisselkoersschokken. De volatiliteit afgelopen jaar op de financiële markten heeft </w:t>
      </w:r>
      <w:proofErr w:type="gramStart"/>
      <w:r w:rsidRPr="3B296001">
        <w:rPr>
          <w:rFonts w:ascii="Verdana" w:hAnsi="Verdana"/>
          <w:sz w:val="18"/>
          <w:szCs w:val="18"/>
        </w:rPr>
        <w:t>onderstreept</w:t>
      </w:r>
      <w:proofErr w:type="gramEnd"/>
      <w:r w:rsidRPr="3B296001">
        <w:rPr>
          <w:rFonts w:ascii="Verdana" w:hAnsi="Verdana"/>
          <w:sz w:val="18"/>
          <w:szCs w:val="18"/>
        </w:rPr>
        <w:t xml:space="preserve"> dat een grote afhankelijkheid van buitenlandse valuta gepaard kan gaan met risico’s. Een grotere internationale rol van de euro reduceert deze afhankelijkheid. Tegelijk kan recente onvoorspelbaarheid van het beleid in de Verenigde Staten en de daarmee gepaard gaande volatiliteit op financiële markten ertoe leiden dat investeerders hun blootstelling aan dollarinvesteringen enigszins diversifiëren.</w:t>
      </w:r>
    </w:p>
    <w:p w:rsidRPr="00136ABA" w:rsidR="4AE6D911" w:rsidP="3B296001" w:rsidRDefault="3B296001" w14:paraId="34A51372" w14:textId="10675AAC">
      <w:pPr>
        <w:spacing w:line="276" w:lineRule="auto"/>
        <w:rPr>
          <w:rFonts w:ascii="Verdana" w:hAnsi="Verdana"/>
          <w:sz w:val="18"/>
          <w:szCs w:val="18"/>
        </w:rPr>
      </w:pPr>
      <w:r w:rsidRPr="3B296001">
        <w:rPr>
          <w:rFonts w:ascii="Verdana" w:hAnsi="Verdana"/>
          <w:sz w:val="18"/>
          <w:szCs w:val="18"/>
        </w:rPr>
        <w:t xml:space="preserve">Voor een grotere rol van de euro is het van belang dat de EU een aantrekkelijke plek is om te investeren en een betrouwbare handelspartner is. Volgens het kabinet vereist dit maatregelen om het concurrentievermogen van de EU te versterken, bijvoorbeeld door het wegnemen van barrières op de interne markt, waaronder verdere integratie van financiële markten via de kapitaalmarktunie de bankenunie. Ook het verdiepen van handelsrelaties met derde landen kan bijdragen aan het vergroten van de internationale rol van de euro, waarbij gedacht kan worden aan het bevorderen van het gebruik van de euro in internationale grondstoffenmarkten. Het kabinet is verder van mening dat een grotere internationale rol van de euro kan worden bevorderd door middel van stabiel en houdbaar economisch en begrotingsbeleid in de individuele lidstaten, en </w:t>
      </w:r>
      <w:proofErr w:type="gramStart"/>
      <w:r w:rsidRPr="3B296001">
        <w:rPr>
          <w:rFonts w:ascii="Verdana" w:hAnsi="Verdana"/>
          <w:sz w:val="18"/>
          <w:szCs w:val="18"/>
        </w:rPr>
        <w:t>onderstreept</w:t>
      </w:r>
      <w:proofErr w:type="gramEnd"/>
      <w:r w:rsidRPr="3B296001">
        <w:rPr>
          <w:rFonts w:ascii="Verdana" w:hAnsi="Verdana"/>
          <w:sz w:val="18"/>
          <w:szCs w:val="18"/>
        </w:rPr>
        <w:t xml:space="preserve"> het belang van sterke en voorspelbare Europese instituties, zoals een onafhankelijke centrale bank. Indien opportuun zal Nederland op basis van bovenstaande deelnemen aan de gedachtewisseling.</w:t>
      </w:r>
      <w:bookmarkEnd w:id="2"/>
      <w:bookmarkEnd w:id="3"/>
    </w:p>
    <w:p w:rsidRPr="00136ABA" w:rsidR="00E94179" w:rsidP="1A738FD5" w:rsidRDefault="1A738FD5" w14:paraId="15192878" w14:textId="652611E6">
      <w:pPr>
        <w:spacing w:after="0" w:line="276" w:lineRule="auto"/>
        <w:jc w:val="both"/>
        <w:rPr>
          <w:rFonts w:ascii="Verdana" w:hAnsi="Verdana" w:eastAsia="Calibri" w:cs="Times New Roman"/>
          <w:b/>
          <w:bCs/>
          <w:sz w:val="18"/>
          <w:szCs w:val="18"/>
        </w:rPr>
      </w:pPr>
      <w:r w:rsidRPr="1A738FD5">
        <w:rPr>
          <w:rFonts w:ascii="Verdana" w:hAnsi="Verdana" w:eastAsia="Calibri" w:cs="Times New Roman"/>
          <w:b/>
          <w:bCs/>
          <w:sz w:val="18"/>
          <w:szCs w:val="18"/>
        </w:rPr>
        <w:t xml:space="preserve">Agendaonderwerp: </w:t>
      </w:r>
      <w:r w:rsidRPr="1A738FD5">
        <w:rPr>
          <w:rFonts w:ascii="Verdana" w:hAnsi="Verdana" w:eastAsia="Calibri" w:cs="Times New Roman"/>
          <w:sz w:val="18"/>
          <w:szCs w:val="18"/>
        </w:rPr>
        <w:t xml:space="preserve">Verkiezing President </w:t>
      </w:r>
      <w:proofErr w:type="spellStart"/>
      <w:r w:rsidRPr="1A738FD5">
        <w:rPr>
          <w:rFonts w:ascii="Verdana" w:hAnsi="Verdana" w:eastAsia="Calibri" w:cs="Times New Roman"/>
          <w:sz w:val="18"/>
          <w:szCs w:val="18"/>
        </w:rPr>
        <w:t>Eurogroepwerkgroep</w:t>
      </w:r>
      <w:proofErr w:type="spellEnd"/>
      <w:r w:rsidRPr="1A738FD5">
        <w:rPr>
          <w:rFonts w:ascii="Verdana" w:hAnsi="Verdana" w:eastAsia="Calibri" w:cs="Times New Roman"/>
          <w:sz w:val="18"/>
          <w:szCs w:val="18"/>
        </w:rPr>
        <w:t xml:space="preserve"> (PEWG) </w:t>
      </w:r>
    </w:p>
    <w:p w:rsidRPr="00136ABA" w:rsidR="00E94179" w:rsidP="3B296001" w:rsidRDefault="3B296001" w14:paraId="022E9101" w14:textId="486879C8">
      <w:pPr>
        <w:spacing w:after="0" w:line="276" w:lineRule="auto"/>
        <w:jc w:val="both"/>
        <w:rPr>
          <w:rFonts w:ascii="Verdana" w:hAnsi="Verdana" w:eastAsia="Times New Roman" w:cs="Arial"/>
          <w:b/>
          <w:bCs/>
          <w:sz w:val="18"/>
          <w:szCs w:val="18"/>
          <w:lang w:eastAsia="nl-NL"/>
        </w:rPr>
      </w:pPr>
      <w:r w:rsidRPr="3B296001">
        <w:rPr>
          <w:rFonts w:ascii="Verdana" w:hAnsi="Verdana" w:eastAsia="Times New Roman" w:cs="Arial"/>
          <w:b/>
          <w:bCs/>
          <w:sz w:val="18"/>
          <w:szCs w:val="18"/>
          <w:lang w:eastAsia="nl-NL"/>
        </w:rPr>
        <w:t>Document:</w:t>
      </w:r>
      <w:r w:rsidRPr="3B296001">
        <w:rPr>
          <w:rFonts w:ascii="Verdana" w:hAnsi="Verdana" w:eastAsia="Times New Roman" w:cs="Arial"/>
          <w:sz w:val="18"/>
          <w:szCs w:val="18"/>
          <w:lang w:eastAsia="nl-NL"/>
        </w:rPr>
        <w:t xml:space="preserve"> N.v.t.</w:t>
      </w:r>
    </w:p>
    <w:p w:rsidRPr="00136ABA" w:rsidR="00E94179" w:rsidP="3B296001" w:rsidRDefault="3B296001" w14:paraId="4F7D92D4" w14:textId="6F86D3FF">
      <w:pPr>
        <w:spacing w:after="0" w:line="276" w:lineRule="auto"/>
        <w:jc w:val="both"/>
        <w:rPr>
          <w:rFonts w:ascii="Verdana" w:hAnsi="Verdana" w:eastAsia="Times New Roman" w:cs="Arial"/>
          <w:sz w:val="18"/>
          <w:szCs w:val="18"/>
          <w:lang w:eastAsia="nl-NL"/>
        </w:rPr>
      </w:pPr>
      <w:r w:rsidRPr="3B296001">
        <w:rPr>
          <w:rFonts w:ascii="Verdana" w:hAnsi="Verdana" w:eastAsia="Times New Roman" w:cs="Arial"/>
          <w:b/>
          <w:bCs/>
          <w:sz w:val="18"/>
          <w:szCs w:val="18"/>
          <w:lang w:eastAsia="nl-NL"/>
        </w:rPr>
        <w:t xml:space="preserve">Aard bespreking: </w:t>
      </w:r>
    </w:p>
    <w:p w:rsidRPr="00136ABA" w:rsidR="00E94179" w:rsidP="3B296001" w:rsidRDefault="3B296001" w14:paraId="1F76A317" w14:textId="365D086C">
      <w:pPr>
        <w:spacing w:after="0" w:line="276" w:lineRule="auto"/>
        <w:jc w:val="both"/>
        <w:rPr>
          <w:rFonts w:ascii="Verdana" w:hAnsi="Verdana" w:eastAsia="Times New Roman" w:cs="Arial"/>
          <w:sz w:val="18"/>
          <w:szCs w:val="18"/>
          <w:lang w:eastAsia="nl-NL"/>
        </w:rPr>
      </w:pPr>
      <w:r w:rsidRPr="3B296001">
        <w:rPr>
          <w:rFonts w:ascii="Verdana" w:hAnsi="Verdana" w:eastAsia="Times New Roman" w:cs="Arial"/>
          <w:b/>
          <w:bCs/>
          <w:sz w:val="18"/>
          <w:szCs w:val="18"/>
          <w:lang w:eastAsia="nl-NL"/>
        </w:rPr>
        <w:t xml:space="preserve">Besluitvormingsprocedure: </w:t>
      </w:r>
      <w:r w:rsidRPr="3B296001">
        <w:rPr>
          <w:rFonts w:ascii="Verdana" w:hAnsi="Verdana" w:eastAsia="Times New Roman" w:cs="Arial"/>
          <w:sz w:val="18"/>
          <w:szCs w:val="18"/>
          <w:lang w:eastAsia="nl-NL"/>
        </w:rPr>
        <w:t>N.v.t.</w:t>
      </w:r>
    </w:p>
    <w:p w:rsidRPr="00136ABA" w:rsidR="00E94179" w:rsidP="3B296001" w:rsidRDefault="3B296001" w14:paraId="255B6C32" w14:textId="77777777">
      <w:pPr>
        <w:spacing w:after="0" w:line="276" w:lineRule="auto"/>
        <w:jc w:val="both"/>
        <w:rPr>
          <w:rFonts w:ascii="Verdana" w:hAnsi="Verdana" w:eastAsia="Calibri" w:cs="Arial"/>
          <w:b/>
          <w:bCs/>
          <w:sz w:val="18"/>
          <w:szCs w:val="18"/>
          <w:lang w:eastAsia="nl-NL"/>
        </w:rPr>
      </w:pPr>
      <w:r w:rsidRPr="3B296001">
        <w:rPr>
          <w:rFonts w:ascii="Verdana" w:hAnsi="Verdana" w:eastAsia="Calibri" w:cs="Arial"/>
          <w:b/>
          <w:bCs/>
          <w:sz w:val="18"/>
          <w:szCs w:val="18"/>
          <w:lang w:eastAsia="nl-NL"/>
        </w:rPr>
        <w:t>Toelichting:</w:t>
      </w:r>
    </w:p>
    <w:p w:rsidRPr="00136ABA" w:rsidR="004C44A2" w:rsidP="1A738FD5" w:rsidRDefault="1A738FD5" w14:paraId="4C398E11" w14:textId="08FA9092">
      <w:pPr>
        <w:spacing w:after="0" w:line="276" w:lineRule="auto"/>
        <w:jc w:val="both"/>
        <w:rPr>
          <w:rFonts w:ascii="Verdana" w:hAnsi="Verdana" w:eastAsia="Calibri" w:cs="Arial"/>
          <w:sz w:val="18"/>
          <w:szCs w:val="18"/>
          <w:lang w:eastAsia="nl-NL"/>
        </w:rPr>
      </w:pPr>
      <w:r w:rsidRPr="1A738FD5">
        <w:rPr>
          <w:rFonts w:ascii="Verdana" w:hAnsi="Verdana" w:eastAsia="Calibri" w:cs="Arial"/>
          <w:sz w:val="18"/>
          <w:szCs w:val="18"/>
          <w:lang w:eastAsia="nl-NL"/>
        </w:rPr>
        <w:t xml:space="preserve">De Eurogroep staat kort stil bij de verkiezing van de voorzitter van de </w:t>
      </w:r>
      <w:proofErr w:type="spellStart"/>
      <w:r w:rsidRPr="1A738FD5">
        <w:rPr>
          <w:rFonts w:ascii="Verdana" w:hAnsi="Verdana" w:eastAsia="Calibri" w:cs="Arial"/>
          <w:sz w:val="18"/>
          <w:szCs w:val="18"/>
          <w:lang w:eastAsia="nl-NL"/>
        </w:rPr>
        <w:t>Eurogroepwerkgroep</w:t>
      </w:r>
      <w:proofErr w:type="spellEnd"/>
      <w:r w:rsidRPr="1A738FD5">
        <w:rPr>
          <w:rFonts w:ascii="Verdana" w:hAnsi="Verdana" w:eastAsia="Calibri" w:cs="Arial"/>
          <w:sz w:val="18"/>
          <w:szCs w:val="18"/>
          <w:lang w:eastAsia="nl-NL"/>
        </w:rPr>
        <w:t xml:space="preserve">. De huidige voorzitter </w:t>
      </w:r>
      <w:proofErr w:type="spellStart"/>
      <w:r w:rsidRPr="1A738FD5">
        <w:rPr>
          <w:rFonts w:ascii="Verdana" w:hAnsi="Verdana" w:eastAsia="Calibri" w:cs="Arial"/>
          <w:sz w:val="18"/>
          <w:szCs w:val="18"/>
          <w:lang w:eastAsia="nl-NL"/>
        </w:rPr>
        <w:t>Tuomas</w:t>
      </w:r>
      <w:proofErr w:type="spellEnd"/>
      <w:r w:rsidRPr="1A738FD5">
        <w:rPr>
          <w:rFonts w:ascii="Verdana" w:hAnsi="Verdana" w:eastAsia="Calibri" w:cs="Arial"/>
          <w:sz w:val="18"/>
          <w:szCs w:val="18"/>
          <w:lang w:eastAsia="nl-NL"/>
        </w:rPr>
        <w:t xml:space="preserve"> </w:t>
      </w:r>
      <w:proofErr w:type="spellStart"/>
      <w:r w:rsidRPr="1A738FD5">
        <w:rPr>
          <w:rFonts w:ascii="Verdana" w:hAnsi="Verdana" w:eastAsia="Calibri" w:cs="Arial"/>
          <w:sz w:val="18"/>
          <w:szCs w:val="18"/>
          <w:lang w:eastAsia="nl-NL"/>
        </w:rPr>
        <w:t>Saarenheimo</w:t>
      </w:r>
      <w:proofErr w:type="spellEnd"/>
      <w:r w:rsidRPr="1A738FD5">
        <w:rPr>
          <w:rFonts w:ascii="Verdana" w:hAnsi="Verdana" w:eastAsia="Calibri" w:cs="Arial"/>
          <w:sz w:val="18"/>
          <w:szCs w:val="18"/>
          <w:lang w:eastAsia="nl-NL"/>
        </w:rPr>
        <w:t xml:space="preserve"> uit Finland stelt zich verkiesbaar voor een vierde termijn van twee jaar. Naar verwachting zijn er geen andere kandidaten en bevestigt de Eurogroep de herverkiezing van </w:t>
      </w:r>
      <w:proofErr w:type="spellStart"/>
      <w:r w:rsidRPr="1A738FD5">
        <w:rPr>
          <w:rFonts w:ascii="Verdana" w:hAnsi="Verdana" w:eastAsia="Calibri" w:cs="Arial"/>
          <w:sz w:val="18"/>
          <w:szCs w:val="18"/>
          <w:lang w:eastAsia="nl-NL"/>
        </w:rPr>
        <w:t>Saarenheimo</w:t>
      </w:r>
      <w:proofErr w:type="spellEnd"/>
      <w:r w:rsidRPr="1A738FD5">
        <w:rPr>
          <w:rFonts w:ascii="Verdana" w:hAnsi="Verdana" w:eastAsia="Calibri" w:cs="Arial"/>
          <w:sz w:val="18"/>
          <w:szCs w:val="18"/>
          <w:lang w:eastAsia="nl-NL"/>
        </w:rPr>
        <w:t xml:space="preserve"> voor een nieuwe termijn tot januari 2028.</w:t>
      </w:r>
    </w:p>
    <w:p w:rsidRPr="00136ABA" w:rsidR="001F639B" w:rsidP="4DA84208" w:rsidRDefault="001F639B" w14:paraId="6859475C" w14:textId="77777777">
      <w:pPr>
        <w:spacing w:after="0" w:line="276" w:lineRule="auto"/>
        <w:rPr>
          <w:rFonts w:ascii="Verdana" w:hAnsi="Verdana" w:eastAsia="Calibri" w:cs="Times New Roman"/>
          <w:b/>
          <w:bCs/>
          <w:sz w:val="18"/>
          <w:szCs w:val="18"/>
        </w:rPr>
      </w:pPr>
    </w:p>
    <w:p w:rsidRPr="00504A7D" w:rsidR="4DA84208" w:rsidP="1A738FD5" w:rsidRDefault="1A738FD5" w14:paraId="783D43B3" w14:textId="413AD9CB">
      <w:pPr>
        <w:spacing w:after="0" w:line="276" w:lineRule="auto"/>
        <w:rPr>
          <w:rFonts w:ascii="Verdana" w:hAnsi="Verdana" w:eastAsia="Calibri" w:cs="Times New Roman"/>
          <w:sz w:val="18"/>
          <w:szCs w:val="18"/>
        </w:rPr>
      </w:pPr>
      <w:r w:rsidRPr="1A738FD5">
        <w:rPr>
          <w:rFonts w:ascii="Verdana" w:hAnsi="Verdana" w:eastAsia="Calibri" w:cs="Times New Roman"/>
          <w:b/>
          <w:bCs/>
          <w:sz w:val="18"/>
          <w:szCs w:val="18"/>
        </w:rPr>
        <w:t>Agendaonderwerp</w:t>
      </w:r>
      <w:r w:rsidRPr="1A738FD5">
        <w:rPr>
          <w:rFonts w:ascii="Verdana" w:hAnsi="Verdana" w:eastAsia="Calibri" w:cs="Times New Roman"/>
          <w:sz w:val="18"/>
          <w:szCs w:val="18"/>
        </w:rPr>
        <w:t xml:space="preserve">: Mondiale onevenwichtigheden en mogelijke </w:t>
      </w:r>
      <w:proofErr w:type="spellStart"/>
      <w:r w:rsidRPr="1A738FD5">
        <w:rPr>
          <w:rFonts w:ascii="Verdana" w:hAnsi="Verdana" w:eastAsia="Calibri" w:cs="Times New Roman"/>
          <w:sz w:val="18"/>
          <w:szCs w:val="18"/>
        </w:rPr>
        <w:t>herbalancering</w:t>
      </w:r>
      <w:proofErr w:type="spellEnd"/>
      <w:r w:rsidRPr="1A738FD5">
        <w:rPr>
          <w:rFonts w:ascii="Verdana" w:hAnsi="Verdana" w:eastAsia="Calibri" w:cs="Times New Roman"/>
          <w:sz w:val="18"/>
          <w:szCs w:val="18"/>
        </w:rPr>
        <w:t xml:space="preserve"> in de context van </w:t>
      </w:r>
      <w:proofErr w:type="spellStart"/>
      <w:r w:rsidRPr="1A738FD5">
        <w:rPr>
          <w:rFonts w:ascii="Verdana" w:hAnsi="Verdana" w:eastAsia="Calibri" w:cs="Times New Roman"/>
          <w:sz w:val="18"/>
          <w:szCs w:val="18"/>
        </w:rPr>
        <w:t>geo</w:t>
      </w:r>
      <w:proofErr w:type="spellEnd"/>
      <w:r w:rsidRPr="1A738FD5">
        <w:rPr>
          <w:rFonts w:ascii="Verdana" w:hAnsi="Verdana" w:eastAsia="Calibri" w:cs="Times New Roman"/>
          <w:sz w:val="18"/>
          <w:szCs w:val="18"/>
        </w:rPr>
        <w:t>-economische risico’s</w:t>
      </w:r>
    </w:p>
    <w:p w:rsidRPr="00136ABA" w:rsidR="005D37F1" w:rsidP="3B296001" w:rsidRDefault="3B296001" w14:paraId="38197A08" w14:textId="693161EB">
      <w:pPr>
        <w:spacing w:after="0" w:line="276" w:lineRule="auto"/>
        <w:jc w:val="both"/>
        <w:rPr>
          <w:rFonts w:ascii="Verdana" w:hAnsi="Verdana" w:eastAsia="Times New Roman" w:cs="Arial"/>
          <w:sz w:val="18"/>
          <w:szCs w:val="18"/>
          <w:lang w:eastAsia="nl-NL"/>
        </w:rPr>
      </w:pPr>
      <w:r w:rsidRPr="3B296001">
        <w:rPr>
          <w:rFonts w:ascii="Verdana" w:hAnsi="Verdana" w:eastAsia="Times New Roman" w:cs="Arial"/>
          <w:b/>
          <w:bCs/>
          <w:sz w:val="18"/>
          <w:szCs w:val="18"/>
          <w:lang w:eastAsia="nl-NL"/>
        </w:rPr>
        <w:t>Document:</w:t>
      </w:r>
      <w:r w:rsidRPr="3B296001">
        <w:rPr>
          <w:rFonts w:ascii="Verdana" w:hAnsi="Verdana" w:eastAsia="Times New Roman" w:cs="Arial"/>
          <w:sz w:val="18"/>
          <w:szCs w:val="18"/>
          <w:lang w:eastAsia="nl-NL"/>
        </w:rPr>
        <w:t xml:space="preserve"> N.v.t.</w:t>
      </w:r>
    </w:p>
    <w:p w:rsidRPr="00136ABA" w:rsidR="005D37F1" w:rsidP="3B296001" w:rsidRDefault="3B296001" w14:paraId="446B6138" w14:textId="0A565513">
      <w:pPr>
        <w:spacing w:after="0" w:line="276" w:lineRule="auto"/>
        <w:jc w:val="both"/>
        <w:rPr>
          <w:rFonts w:ascii="Verdana" w:hAnsi="Verdana" w:eastAsia="Times New Roman" w:cs="Arial"/>
          <w:sz w:val="18"/>
          <w:szCs w:val="18"/>
          <w:lang w:eastAsia="nl-NL"/>
        </w:rPr>
      </w:pPr>
      <w:r w:rsidRPr="3B296001">
        <w:rPr>
          <w:rFonts w:ascii="Verdana" w:hAnsi="Verdana" w:eastAsia="Times New Roman" w:cs="Arial"/>
          <w:b/>
          <w:bCs/>
          <w:sz w:val="18"/>
          <w:szCs w:val="18"/>
          <w:lang w:eastAsia="nl-NL"/>
        </w:rPr>
        <w:t xml:space="preserve">Aard bespreking: </w:t>
      </w:r>
      <w:r w:rsidRPr="3B296001">
        <w:rPr>
          <w:rFonts w:ascii="Verdana" w:hAnsi="Verdana" w:cs="Arial"/>
          <w:sz w:val="18"/>
          <w:szCs w:val="18"/>
        </w:rPr>
        <w:t>Gedachtewisseling</w:t>
      </w:r>
    </w:p>
    <w:p w:rsidRPr="00136ABA" w:rsidR="005D37F1" w:rsidP="3B296001" w:rsidRDefault="3B296001" w14:paraId="667D72CA" w14:textId="3995C5AB">
      <w:pPr>
        <w:spacing w:after="0" w:line="276" w:lineRule="auto"/>
        <w:jc w:val="both"/>
        <w:rPr>
          <w:rFonts w:ascii="Verdana" w:hAnsi="Verdana" w:eastAsia="Times New Roman" w:cs="Arial"/>
          <w:b/>
          <w:bCs/>
          <w:sz w:val="18"/>
          <w:szCs w:val="18"/>
          <w:lang w:eastAsia="nl-NL"/>
        </w:rPr>
      </w:pPr>
      <w:r w:rsidRPr="3B296001">
        <w:rPr>
          <w:rFonts w:ascii="Verdana" w:hAnsi="Verdana" w:eastAsia="Times New Roman" w:cs="Arial"/>
          <w:b/>
          <w:bCs/>
          <w:sz w:val="18"/>
          <w:szCs w:val="18"/>
          <w:lang w:eastAsia="nl-NL"/>
        </w:rPr>
        <w:t xml:space="preserve">Besluitvormingsprocedure: </w:t>
      </w:r>
      <w:r w:rsidRPr="3B296001">
        <w:rPr>
          <w:rFonts w:ascii="Verdana" w:hAnsi="Verdana" w:eastAsia="Times New Roman" w:cs="Arial"/>
          <w:sz w:val="18"/>
          <w:szCs w:val="18"/>
          <w:lang w:eastAsia="nl-NL"/>
        </w:rPr>
        <w:t>N.v.t.</w:t>
      </w:r>
    </w:p>
    <w:p w:rsidRPr="00136ABA" w:rsidR="005D37F1" w:rsidP="3B296001" w:rsidRDefault="3B296001" w14:paraId="068EA407" w14:textId="783B0487">
      <w:pPr>
        <w:spacing w:after="0" w:line="276" w:lineRule="auto"/>
        <w:jc w:val="both"/>
        <w:rPr>
          <w:rFonts w:ascii="Verdana" w:hAnsi="Verdana" w:eastAsia="Times New Roman" w:cs="Times New Roman"/>
          <w:sz w:val="18"/>
          <w:szCs w:val="18"/>
          <w:lang w:eastAsia="nl-NL"/>
        </w:rPr>
      </w:pPr>
      <w:r w:rsidRPr="3B296001">
        <w:rPr>
          <w:rFonts w:ascii="Verdana" w:hAnsi="Verdana" w:eastAsia="Calibri" w:cs="Arial"/>
          <w:b/>
          <w:bCs/>
          <w:sz w:val="18"/>
          <w:szCs w:val="18"/>
          <w:lang w:eastAsia="nl-NL"/>
        </w:rPr>
        <w:t>Toelichting:</w:t>
      </w:r>
    </w:p>
    <w:p w:rsidRPr="00136ABA" w:rsidR="00563E37" w:rsidP="1A738FD5" w:rsidRDefault="1A738FD5" w14:paraId="63F3108E" w14:textId="7BB66791">
      <w:pPr>
        <w:rPr>
          <w:rFonts w:ascii="Verdana" w:hAnsi="Verdana" w:eastAsia="Verdana" w:cs="Verdana"/>
          <w:sz w:val="18"/>
          <w:szCs w:val="18"/>
        </w:rPr>
      </w:pPr>
      <w:r w:rsidRPr="1A738FD5">
        <w:rPr>
          <w:rFonts w:ascii="Verdana" w:hAnsi="Verdana" w:eastAsia="Verdana" w:cs="Verdana"/>
          <w:sz w:val="18"/>
          <w:szCs w:val="18"/>
        </w:rPr>
        <w:t xml:space="preserve">De Eurogroep zal stilstaan bij de discussie over mondiale onevenwichtigheden, ofwel overschotten en tekorten op de betalingsbalans. Het Internationale Monetaire Fonds (IMF) liet dit najaar in het </w:t>
      </w:r>
      <w:proofErr w:type="spellStart"/>
      <w:r w:rsidRPr="1A738FD5">
        <w:rPr>
          <w:rFonts w:ascii="Verdana" w:hAnsi="Verdana" w:eastAsia="Verdana" w:cs="Verdana"/>
          <w:sz w:val="18"/>
          <w:szCs w:val="18"/>
        </w:rPr>
        <w:t>External</w:t>
      </w:r>
      <w:proofErr w:type="spellEnd"/>
      <w:r w:rsidRPr="1A738FD5">
        <w:rPr>
          <w:rFonts w:ascii="Verdana" w:hAnsi="Verdana" w:eastAsia="Verdana" w:cs="Verdana"/>
          <w:sz w:val="18"/>
          <w:szCs w:val="18"/>
        </w:rPr>
        <w:t xml:space="preserve"> Sector Report zien dat mondiale onevenwichtigheden toenemen. De aandacht in deze discussie gaat in toenemende mate uit naar het oplopende handelsoverschot van China, als gevolg van China’s exportgeleide groeimodel. Dat kan in bepaalde sectoren leiden tot strategische afhankelijkheden en risico’s voor nationale veiligheid. Consumenten hebben juist voordeel van relatief lage prijzen voor producten die China exporteert.</w:t>
      </w:r>
    </w:p>
    <w:p w:rsidRPr="00136ABA" w:rsidR="00563E37" w:rsidP="3B296001" w:rsidRDefault="3B296001" w14:paraId="6597A2AE" w14:textId="5521098F">
      <w:pPr>
        <w:rPr>
          <w:rFonts w:ascii="Verdana" w:hAnsi="Verdana" w:eastAsia="Verdana" w:cs="Verdana"/>
          <w:sz w:val="18"/>
          <w:szCs w:val="18"/>
        </w:rPr>
      </w:pPr>
      <w:r w:rsidRPr="3B296001">
        <w:rPr>
          <w:rFonts w:ascii="Verdana" w:hAnsi="Verdana" w:eastAsia="Verdana" w:cs="Verdana"/>
          <w:sz w:val="18"/>
          <w:szCs w:val="18"/>
        </w:rPr>
        <w:t xml:space="preserve">De Amerikaanse regering zet in op tarieven om het tekort op de lopende rekening te reduceren. Volgens het IMF is het effect van tarieven op de lopende rekening echter zeer beperkt. Het IMF </w:t>
      </w:r>
      <w:r w:rsidRPr="3B296001">
        <w:rPr>
          <w:rFonts w:ascii="Verdana" w:hAnsi="Verdana" w:eastAsia="Verdana" w:cs="Verdana"/>
          <w:sz w:val="18"/>
          <w:szCs w:val="18"/>
        </w:rPr>
        <w:lastRenderedPageBreak/>
        <w:t xml:space="preserve">wijst erop dat binnenlands beleid belangrijk is bij de afbouw van mondiale onevenwichtigheden. Voor China, met een overschot op de lopende rekening van 3,3% van het bbp in 2025, betekent dat bijvoorbeeld het aanjagen van binnenlandse consumptie. Voor de VS, met een tekort van 4,0% in 2025, adviseert het </w:t>
      </w:r>
      <w:proofErr w:type="gramStart"/>
      <w:r w:rsidRPr="3B296001">
        <w:rPr>
          <w:rFonts w:ascii="Verdana" w:hAnsi="Verdana" w:eastAsia="Verdana" w:cs="Verdana"/>
          <w:sz w:val="18"/>
          <w:szCs w:val="18"/>
        </w:rPr>
        <w:t>IMF begrotingsconsolidatie</w:t>
      </w:r>
      <w:proofErr w:type="gramEnd"/>
      <w:r w:rsidRPr="3B296001">
        <w:rPr>
          <w:rFonts w:ascii="Verdana" w:hAnsi="Verdana" w:eastAsia="Verdana" w:cs="Verdana"/>
          <w:sz w:val="18"/>
          <w:szCs w:val="18"/>
        </w:rPr>
        <w:t xml:space="preserve"> en het stimuleren van besparingen door huishoudens. Voor de eurozone, met een tekort van 2,3% in 2025, wijst het IMF op het belang van het verbeteren van het investeringsklimaat, bijvoorbeeld door barrières op de interne markt weg te nemen en het vervolmaken van en de kapitaalmarktunie. </w:t>
      </w:r>
    </w:p>
    <w:p w:rsidRPr="00136ABA" w:rsidR="00563E37" w:rsidP="3B296001" w:rsidRDefault="3B296001" w14:paraId="563C760C" w14:textId="1B649D2A">
      <w:pPr>
        <w:rPr>
          <w:rFonts w:ascii="Verdana" w:hAnsi="Verdana" w:eastAsia="Verdana" w:cs="Verdana"/>
          <w:sz w:val="18"/>
          <w:szCs w:val="18"/>
        </w:rPr>
      </w:pPr>
      <w:r w:rsidRPr="3B296001">
        <w:rPr>
          <w:rFonts w:ascii="Verdana" w:hAnsi="Verdana" w:eastAsia="Verdana" w:cs="Verdana"/>
          <w:sz w:val="18"/>
          <w:szCs w:val="18"/>
        </w:rPr>
        <w:t xml:space="preserve">Dit onderwerp staat hoog op de agenda van internationale gremia (zoals de G20 en de G7). Ook internationale organisaties zoals het IMF en de Organisatie voor Economische Samenwerking en Ontwikkeling (OESO) hebben aandacht voor het onderwerp. Mogelijk worden er externe experts uitgenodigd om het onderwerp toe te lichten. Mogelijk nemen ministers van niet-eurolanden deel aan de discussie. </w:t>
      </w:r>
    </w:p>
    <w:p w:rsidRPr="00136ABA" w:rsidR="00563E37" w:rsidP="1A738FD5" w:rsidRDefault="00563E37" w14:paraId="7E3FAE98" w14:textId="2A7CE409">
      <w:pPr>
        <w:rPr>
          <w:rFonts w:ascii="Verdana" w:hAnsi="Verdana" w:eastAsia="Verdana" w:cs="Verdana"/>
          <w:sz w:val="18"/>
          <w:szCs w:val="18"/>
        </w:rPr>
      </w:pPr>
      <w:r w:rsidRPr="00136ABA">
        <w:rPr>
          <w:rFonts w:ascii="Verdana" w:hAnsi="Verdana" w:eastAsia="Verdana" w:cs="Verdana"/>
          <w:sz w:val="18"/>
          <w:szCs w:val="18"/>
        </w:rPr>
        <w:t>Het kabinet stuurt niet beleidsmatig op de betalingsbalans</w:t>
      </w:r>
      <w:r w:rsidRPr="00136ABA">
        <w:rPr>
          <w:rStyle w:val="Voetnootmarkering"/>
          <w:rFonts w:ascii="Verdana" w:hAnsi="Verdana" w:eastAsia="Verdana" w:cs="Verdana"/>
          <w:sz w:val="18"/>
          <w:szCs w:val="18"/>
        </w:rPr>
        <w:footnoteReference w:id="8"/>
      </w:r>
      <w:r w:rsidRPr="00136ABA">
        <w:rPr>
          <w:rFonts w:ascii="Verdana" w:hAnsi="Verdana" w:eastAsia="Verdana" w:cs="Verdana"/>
          <w:sz w:val="18"/>
          <w:szCs w:val="18"/>
        </w:rPr>
        <w:t>. Wel deelt het kabinet de aanbevelingen van onder andere het IMF en de Europese Commissie (EC)</w:t>
      </w:r>
      <w:r w:rsidRPr="00136ABA">
        <w:rPr>
          <w:rStyle w:val="Voetnootmarkering"/>
          <w:rFonts w:ascii="Verdana" w:hAnsi="Verdana" w:eastAsia="Verdana" w:cs="Verdana"/>
          <w:sz w:val="18"/>
          <w:szCs w:val="18"/>
        </w:rPr>
        <w:footnoteReference w:id="9"/>
      </w:r>
      <w:r w:rsidRPr="00136ABA">
        <w:rPr>
          <w:rFonts w:ascii="Verdana" w:hAnsi="Verdana" w:eastAsia="Verdana" w:cs="Verdana"/>
          <w:sz w:val="18"/>
          <w:szCs w:val="18"/>
        </w:rPr>
        <w:t xml:space="preserve">, dat overschotten en tekorten op de betalingsbalans een uiting kunnen zijn van binnenlandse onevenwichtigheden. Het kabinet ziet in deze discussie een belangrijke rol weggelegd voor de OESO en het IMF, om deze discussie zoveel mogelijk op basis van feiten en juiste economische afwegingen te voeren. Ook kijkt het kabinet met interesse uit naar inzichten die bijvoorbeeld het IMF en de OESO hebben over de rol van industriebeleid op onevenwichtigheden en naar de revisie van het zogenaamde </w:t>
      </w:r>
      <w:proofErr w:type="spellStart"/>
      <w:r w:rsidRPr="00136ABA">
        <w:rPr>
          <w:rFonts w:ascii="Verdana" w:hAnsi="Verdana" w:eastAsia="Verdana" w:cs="Verdana"/>
          <w:sz w:val="18"/>
          <w:szCs w:val="18"/>
        </w:rPr>
        <w:t>External</w:t>
      </w:r>
      <w:proofErr w:type="spellEnd"/>
      <w:r w:rsidRPr="00136ABA">
        <w:rPr>
          <w:rFonts w:ascii="Verdana" w:hAnsi="Verdana" w:eastAsia="Verdana" w:cs="Verdana"/>
          <w:sz w:val="18"/>
          <w:szCs w:val="18"/>
        </w:rPr>
        <w:t xml:space="preserve"> Balance Assessment Model van het IMF dit jaar, waarmee het IMF ook het Nederlandse lopende rekeningoverschot analyseert en beoordeelt.</w:t>
      </w:r>
    </w:p>
    <w:p w:rsidRPr="00136ABA" w:rsidR="00811A1F" w:rsidP="1A738FD5" w:rsidRDefault="1A738FD5" w14:paraId="12AAE869" w14:textId="558B666D">
      <w:pPr>
        <w:pStyle w:val="Kop3"/>
        <w:spacing w:line="276" w:lineRule="auto"/>
        <w:jc w:val="both"/>
        <w:rPr>
          <w:rFonts w:ascii="Verdana" w:hAnsi="Verdana" w:eastAsia="Verdana" w:cs="Verdana"/>
        </w:rPr>
      </w:pPr>
      <w:proofErr w:type="spellStart"/>
      <w:r w:rsidRPr="1A738FD5">
        <w:rPr>
          <w:rFonts w:ascii="Verdana" w:hAnsi="Verdana" w:eastAsia="Verdana" w:cs="Verdana"/>
          <w:color w:val="4471C4"/>
        </w:rPr>
        <w:t>Ecofinraad</w:t>
      </w:r>
      <w:proofErr w:type="spellEnd"/>
    </w:p>
    <w:p w:rsidRPr="00136ABA" w:rsidR="00AD2571" w:rsidP="3B296001" w:rsidRDefault="3B296001" w14:paraId="72D53244" w14:textId="506121BD">
      <w:pPr>
        <w:spacing w:after="0" w:line="276" w:lineRule="auto"/>
        <w:rPr>
          <w:rFonts w:ascii="Verdana" w:hAnsi="Verdana" w:cs="Arial"/>
          <w:sz w:val="18"/>
          <w:szCs w:val="18"/>
        </w:rPr>
      </w:pPr>
      <w:r w:rsidRPr="3B296001">
        <w:rPr>
          <w:rFonts w:ascii="Verdana" w:hAnsi="Verdana"/>
          <w:b/>
          <w:bCs/>
          <w:sz w:val="18"/>
          <w:szCs w:val="18"/>
        </w:rPr>
        <w:t>Agendaonderwerp:</w:t>
      </w:r>
      <w:r w:rsidRPr="3B296001">
        <w:rPr>
          <w:rFonts w:ascii="Verdana" w:hAnsi="Verdana" w:eastAsia="Verdana" w:cs="Verdana"/>
          <w:b/>
          <w:bCs/>
          <w:sz w:val="18"/>
          <w:szCs w:val="18"/>
        </w:rPr>
        <w:t xml:space="preserve"> </w:t>
      </w:r>
      <w:r w:rsidRPr="3B296001">
        <w:rPr>
          <w:rFonts w:ascii="Verdana" w:hAnsi="Verdana" w:eastAsia="Verdana" w:cs="Verdana"/>
          <w:sz w:val="18"/>
          <w:szCs w:val="18"/>
        </w:rPr>
        <w:t xml:space="preserve">Spaar- en Investeringsunie (pensioenen) </w:t>
      </w:r>
      <w:r w:rsidR="1A7FCD95">
        <w:br/>
      </w:r>
      <w:r w:rsidRPr="3B296001">
        <w:rPr>
          <w:rFonts w:ascii="Verdana" w:hAnsi="Verdana" w:cs="Arial"/>
          <w:b/>
          <w:bCs/>
          <w:sz w:val="18"/>
          <w:szCs w:val="18"/>
        </w:rPr>
        <w:t xml:space="preserve">Document: </w:t>
      </w:r>
      <w:r w:rsidRPr="3B296001">
        <w:rPr>
          <w:rFonts w:ascii="Verdana" w:hAnsi="Verdana" w:cs="Arial"/>
          <w:sz w:val="18"/>
          <w:szCs w:val="18"/>
        </w:rPr>
        <w:t>Nog niet beschikbaar</w:t>
      </w:r>
    </w:p>
    <w:p w:rsidRPr="00136ABA" w:rsidR="00AD2571" w:rsidP="3B296001" w:rsidRDefault="3B296001" w14:paraId="58541149" w14:textId="2FD0A84C">
      <w:pPr>
        <w:spacing w:after="0" w:line="276" w:lineRule="auto"/>
        <w:rPr>
          <w:rFonts w:ascii="Verdana" w:hAnsi="Verdana" w:cs="Arial"/>
          <w:sz w:val="18"/>
          <w:szCs w:val="18"/>
        </w:rPr>
      </w:pPr>
      <w:r w:rsidRPr="3B296001">
        <w:rPr>
          <w:rFonts w:ascii="Verdana" w:hAnsi="Verdana" w:cs="Arial"/>
          <w:b/>
          <w:bCs/>
          <w:sz w:val="18"/>
          <w:szCs w:val="18"/>
        </w:rPr>
        <w:t xml:space="preserve">Aard bespreking: </w:t>
      </w:r>
      <w:r w:rsidRPr="3B296001">
        <w:rPr>
          <w:rFonts w:ascii="Verdana" w:hAnsi="Verdana" w:cs="Arial"/>
          <w:sz w:val="18"/>
          <w:szCs w:val="18"/>
        </w:rPr>
        <w:t>Gedachtewisseling</w:t>
      </w:r>
    </w:p>
    <w:p w:rsidRPr="00136ABA" w:rsidR="00AD2571" w:rsidP="3B296001" w:rsidRDefault="3B296001" w14:paraId="2C27FC88" w14:textId="77777777">
      <w:pPr>
        <w:pStyle w:val="Plattetekst"/>
        <w:spacing w:after="0" w:line="276" w:lineRule="auto"/>
        <w:jc w:val="both"/>
        <w:rPr>
          <w:rFonts w:ascii="Verdana" w:hAnsi="Verdana" w:cs="Arial"/>
          <w:sz w:val="18"/>
          <w:szCs w:val="18"/>
        </w:rPr>
      </w:pPr>
      <w:r w:rsidRPr="3B296001">
        <w:rPr>
          <w:rFonts w:ascii="Verdana" w:hAnsi="Verdana" w:cs="Arial"/>
          <w:b/>
          <w:bCs/>
          <w:sz w:val="18"/>
          <w:szCs w:val="18"/>
        </w:rPr>
        <w:t xml:space="preserve">Besluitvormingsprocedure: </w:t>
      </w:r>
      <w:r w:rsidRPr="3B296001">
        <w:rPr>
          <w:rFonts w:ascii="Verdana" w:hAnsi="Verdana" w:cs="Arial"/>
          <w:sz w:val="18"/>
          <w:szCs w:val="18"/>
        </w:rPr>
        <w:t>N.v.t.</w:t>
      </w:r>
    </w:p>
    <w:p w:rsidRPr="00136ABA" w:rsidR="00AD2571" w:rsidP="3B296001" w:rsidRDefault="3B296001" w14:paraId="150FAD2C" w14:textId="77777777">
      <w:pPr>
        <w:pStyle w:val="Plattetekst"/>
        <w:spacing w:after="0" w:line="276" w:lineRule="auto"/>
        <w:jc w:val="both"/>
        <w:rPr>
          <w:rFonts w:ascii="Verdana" w:hAnsi="Verdana"/>
          <w:sz w:val="18"/>
          <w:szCs w:val="18"/>
        </w:rPr>
      </w:pPr>
      <w:r w:rsidRPr="3B296001">
        <w:rPr>
          <w:rFonts w:ascii="Verdana" w:hAnsi="Verdana" w:eastAsia="Calibri" w:cs="Arial"/>
          <w:b/>
          <w:bCs/>
          <w:sz w:val="18"/>
          <w:szCs w:val="18"/>
        </w:rPr>
        <w:t>Toelichting:</w:t>
      </w:r>
    </w:p>
    <w:p w:rsidRPr="00136ABA" w:rsidR="00AD2571" w:rsidP="1A738FD5" w:rsidRDefault="1A738FD5" w14:paraId="009A8E64" w14:textId="0B0241D0">
      <w:pPr>
        <w:spacing w:line="276" w:lineRule="auto"/>
        <w:rPr>
          <w:rFonts w:ascii="Verdana" w:hAnsi="Verdana"/>
          <w:sz w:val="18"/>
          <w:szCs w:val="18"/>
        </w:rPr>
      </w:pPr>
      <w:r w:rsidRPr="1A738FD5">
        <w:rPr>
          <w:rFonts w:ascii="Verdana" w:hAnsi="Verdana"/>
          <w:sz w:val="18"/>
          <w:szCs w:val="18"/>
        </w:rPr>
        <w:t xml:space="preserve">De </w:t>
      </w:r>
      <w:proofErr w:type="spellStart"/>
      <w:r w:rsidRPr="1A738FD5">
        <w:rPr>
          <w:rFonts w:ascii="Verdana" w:hAnsi="Verdana"/>
          <w:sz w:val="18"/>
          <w:szCs w:val="18"/>
        </w:rPr>
        <w:t>Ecofinraad</w:t>
      </w:r>
      <w:proofErr w:type="spellEnd"/>
      <w:r w:rsidRPr="1A738FD5">
        <w:rPr>
          <w:rFonts w:ascii="Verdana" w:hAnsi="Verdana"/>
          <w:sz w:val="18"/>
          <w:szCs w:val="18"/>
        </w:rPr>
        <w:t xml:space="preserve"> zal van gedachten wisselen over het pensioenpakket (</w:t>
      </w:r>
      <w:proofErr w:type="spellStart"/>
      <w:r w:rsidRPr="1A738FD5">
        <w:rPr>
          <w:rFonts w:ascii="Verdana" w:hAnsi="Verdana"/>
          <w:sz w:val="18"/>
          <w:szCs w:val="18"/>
        </w:rPr>
        <w:t>Supplementary</w:t>
      </w:r>
      <w:proofErr w:type="spellEnd"/>
      <w:r w:rsidRPr="1A738FD5">
        <w:rPr>
          <w:rFonts w:ascii="Verdana" w:hAnsi="Verdana"/>
          <w:sz w:val="18"/>
          <w:szCs w:val="18"/>
        </w:rPr>
        <w:t xml:space="preserve"> Pensions Package, SPP), dat is gepubliceerd op 20 november 2025. Uw Kamer is </w:t>
      </w:r>
      <w:proofErr w:type="gramStart"/>
      <w:r w:rsidRPr="1A738FD5">
        <w:rPr>
          <w:rFonts w:ascii="Verdana" w:hAnsi="Verdana"/>
          <w:sz w:val="18"/>
          <w:szCs w:val="18"/>
        </w:rPr>
        <w:t>reeds</w:t>
      </w:r>
      <w:proofErr w:type="gramEnd"/>
      <w:r w:rsidRPr="1A738FD5">
        <w:rPr>
          <w:rFonts w:ascii="Verdana" w:hAnsi="Verdana"/>
          <w:sz w:val="18"/>
          <w:szCs w:val="18"/>
        </w:rPr>
        <w:t xml:space="preserve"> geïnformeerd over dit pakket via het gebruikelijke BNC-traject. Het kabinet is positief over de ambitie van de Europese Commissie om het pensioensparen in </w:t>
      </w:r>
      <w:proofErr w:type="spellStart"/>
      <w:r w:rsidRPr="1A738FD5">
        <w:rPr>
          <w:rFonts w:ascii="Verdana" w:hAnsi="Verdana"/>
          <w:sz w:val="18"/>
          <w:szCs w:val="18"/>
        </w:rPr>
        <w:t>kapitaalgedekte</w:t>
      </w:r>
      <w:proofErr w:type="spellEnd"/>
      <w:r w:rsidRPr="1A738FD5">
        <w:rPr>
          <w:rFonts w:ascii="Verdana" w:hAnsi="Verdana"/>
          <w:sz w:val="18"/>
          <w:szCs w:val="18"/>
        </w:rPr>
        <w:t xml:space="preserve"> pensioenstelsels in de lidstaten te bevorderen. Zowel om het risico op ouderdomsarmoede onder burgers in de Europese Unie te verkleinen, als ook om de stabiliteit van de overheidsfinanciën van de lidstaten te waarborgen. Het kabinet is </w:t>
      </w:r>
      <w:proofErr w:type="gramStart"/>
      <w:r w:rsidRPr="1A738FD5">
        <w:rPr>
          <w:rFonts w:ascii="Verdana" w:hAnsi="Verdana"/>
          <w:sz w:val="18"/>
          <w:szCs w:val="18"/>
        </w:rPr>
        <w:t>tevens</w:t>
      </w:r>
      <w:proofErr w:type="gramEnd"/>
      <w:r w:rsidRPr="1A738FD5">
        <w:rPr>
          <w:rFonts w:ascii="Verdana" w:hAnsi="Verdana"/>
          <w:sz w:val="18"/>
          <w:szCs w:val="18"/>
        </w:rPr>
        <w:t xml:space="preserve"> voorstander van sterke, geïntegreerde kapitaalmarkten. Tegelijkertijd hangt een bestendige inrichting van het pensioenstelsel sterk samen met de sociale en maatschappelijke context per lidstaat. De vormgeving van Europese regels voor versterking van nationale pensioenstelsels dient daar rekening mee te houden en mag geen afbreuk doen aan al goed werkende pensioenstelsels, zoals in Nederland.</w:t>
      </w:r>
    </w:p>
    <w:p w:rsidRPr="00136ABA" w:rsidR="00FE780F" w:rsidP="3B296001" w:rsidRDefault="3B296001" w14:paraId="797B9089" w14:textId="627CFDF5">
      <w:pPr>
        <w:spacing w:after="0" w:line="276" w:lineRule="auto"/>
        <w:rPr>
          <w:rFonts w:ascii="Verdana" w:hAnsi="Verdana" w:eastAsia="Times New Roman" w:cs="Arial"/>
          <w:sz w:val="18"/>
          <w:szCs w:val="18"/>
          <w:lang w:eastAsia="nl-NL"/>
        </w:rPr>
      </w:pPr>
      <w:r w:rsidRPr="3B296001">
        <w:rPr>
          <w:rFonts w:ascii="Verdana" w:hAnsi="Verdana" w:eastAsia="Calibri" w:cs="Times New Roman"/>
          <w:b/>
          <w:bCs/>
          <w:sz w:val="18"/>
          <w:szCs w:val="18"/>
        </w:rPr>
        <w:t xml:space="preserve">Agendaonderwerp: </w:t>
      </w:r>
      <w:r w:rsidRPr="3B296001">
        <w:rPr>
          <w:rFonts w:ascii="Verdana" w:hAnsi="Verdana" w:eastAsia="Calibri" w:cs="Times New Roman"/>
          <w:sz w:val="18"/>
          <w:szCs w:val="18"/>
        </w:rPr>
        <w:t>Decharge EU begroting</w:t>
      </w:r>
      <w:r w:rsidRPr="3B296001">
        <w:rPr>
          <w:rFonts w:ascii="Verdana" w:hAnsi="Verdana" w:eastAsia="Verdana" w:cs="Verdana"/>
          <w:sz w:val="18"/>
          <w:szCs w:val="18"/>
        </w:rPr>
        <w:t xml:space="preserve"> </w:t>
      </w:r>
    </w:p>
    <w:p w:rsidRPr="00136ABA" w:rsidR="00E6361B" w:rsidP="1A738FD5" w:rsidRDefault="1A738FD5" w14:paraId="61392F16" w14:textId="21A90191">
      <w:pPr>
        <w:pStyle w:val="Geenafstand"/>
      </w:pPr>
      <w:r w:rsidRPr="1A738FD5">
        <w:rPr>
          <w:rFonts w:eastAsia="Times New Roman" w:cs="Arial"/>
          <w:b/>
          <w:bCs/>
          <w:lang w:val="nl-NL" w:eastAsia="nl-NL"/>
        </w:rPr>
        <w:t xml:space="preserve">Document: </w:t>
      </w:r>
      <w:r w:rsidRPr="1A738FD5">
        <w:rPr>
          <w:rFonts w:eastAsia="Times New Roman" w:cs="Arial"/>
          <w:lang w:val="nl-NL" w:eastAsia="nl-NL"/>
        </w:rPr>
        <w:t xml:space="preserve">Het document is op dit moment nog niet beschikbaar. </w:t>
      </w:r>
      <w:r w:rsidRPr="1A738FD5">
        <w:rPr>
          <w:lang w:val="en-GB"/>
        </w:rPr>
        <w:t xml:space="preserve">Het document </w:t>
      </w:r>
      <w:proofErr w:type="spellStart"/>
      <w:r w:rsidRPr="1A738FD5">
        <w:rPr>
          <w:lang w:val="en-GB"/>
        </w:rPr>
        <w:t>wordt</w:t>
      </w:r>
      <w:proofErr w:type="spellEnd"/>
      <w:r w:rsidRPr="1A738FD5">
        <w:rPr>
          <w:lang w:val="en-GB"/>
        </w:rPr>
        <w:t xml:space="preserve"> </w:t>
      </w:r>
      <w:proofErr w:type="spellStart"/>
      <w:r w:rsidRPr="1A738FD5">
        <w:rPr>
          <w:lang w:val="en-GB"/>
        </w:rPr>
        <w:t>voorafgaand</w:t>
      </w:r>
      <w:proofErr w:type="spellEnd"/>
      <w:r w:rsidRPr="1A738FD5">
        <w:rPr>
          <w:lang w:val="en-GB"/>
        </w:rPr>
        <w:t xml:space="preserve"> </w:t>
      </w:r>
      <w:proofErr w:type="spellStart"/>
      <w:r w:rsidRPr="1A738FD5">
        <w:rPr>
          <w:lang w:val="en-GB"/>
        </w:rPr>
        <w:t>aan</w:t>
      </w:r>
      <w:proofErr w:type="spellEnd"/>
      <w:r w:rsidRPr="1A738FD5">
        <w:rPr>
          <w:lang w:val="en-GB"/>
        </w:rPr>
        <w:t xml:space="preserve"> de </w:t>
      </w:r>
      <w:proofErr w:type="spellStart"/>
      <w:r w:rsidRPr="1A738FD5">
        <w:rPr>
          <w:lang w:val="en-GB"/>
        </w:rPr>
        <w:t>vergadering</w:t>
      </w:r>
      <w:proofErr w:type="spellEnd"/>
      <w:r w:rsidRPr="1A738FD5">
        <w:rPr>
          <w:lang w:val="en-GB"/>
        </w:rPr>
        <w:t xml:space="preserve"> op het Delegates Portal </w:t>
      </w:r>
      <w:proofErr w:type="spellStart"/>
      <w:r w:rsidRPr="1A738FD5">
        <w:rPr>
          <w:lang w:val="en-GB"/>
        </w:rPr>
        <w:t>geplaatst</w:t>
      </w:r>
      <w:proofErr w:type="spellEnd"/>
      <w:r w:rsidRPr="1A738FD5">
        <w:rPr>
          <w:lang w:val="en-GB"/>
        </w:rPr>
        <w:t xml:space="preserve"> </w:t>
      </w:r>
      <w:proofErr w:type="spellStart"/>
      <w:r w:rsidRPr="1A738FD5">
        <w:rPr>
          <w:lang w:val="en-GB"/>
        </w:rPr>
        <w:t>onder</w:t>
      </w:r>
      <w:proofErr w:type="spellEnd"/>
      <w:r w:rsidRPr="1A738FD5">
        <w:rPr>
          <w:lang w:val="en-GB"/>
        </w:rPr>
        <w:t xml:space="preserve"> de </w:t>
      </w:r>
      <w:proofErr w:type="spellStart"/>
      <w:r w:rsidRPr="1A738FD5">
        <w:rPr>
          <w:lang w:val="en-GB"/>
        </w:rPr>
        <w:t>titel</w:t>
      </w:r>
      <w:proofErr w:type="spellEnd"/>
      <w:r w:rsidRPr="1A738FD5">
        <w:rPr>
          <w:lang w:val="en-GB"/>
        </w:rPr>
        <w:t xml:space="preserve"> “</w:t>
      </w:r>
      <w:r w:rsidRPr="1A738FD5">
        <w:rPr>
          <w:i/>
          <w:iCs/>
          <w:lang w:val="en-GB"/>
        </w:rPr>
        <w:t>Council recommendation on the discharge to be given to the Commission in respect of the implementation of the general budget of the European Union for the financial year 2024</w:t>
      </w:r>
      <w:r w:rsidRPr="1A738FD5">
        <w:rPr>
          <w:lang w:val="en-GB"/>
        </w:rPr>
        <w:t xml:space="preserve">” </w:t>
      </w:r>
    </w:p>
    <w:p w:rsidRPr="00136ABA" w:rsidR="00E6361B" w:rsidP="3B296001" w:rsidRDefault="3B296001" w14:paraId="71947C05" w14:textId="77777777">
      <w:pPr>
        <w:pStyle w:val="Plattetekst"/>
        <w:spacing w:after="0" w:line="276" w:lineRule="auto"/>
        <w:jc w:val="both"/>
        <w:rPr>
          <w:rFonts w:ascii="Verdana" w:hAnsi="Verdana" w:cs="Arial"/>
          <w:sz w:val="18"/>
          <w:szCs w:val="18"/>
        </w:rPr>
      </w:pPr>
      <w:r w:rsidRPr="3B296001">
        <w:rPr>
          <w:rFonts w:ascii="Verdana" w:hAnsi="Verdana" w:cs="Arial"/>
          <w:b/>
          <w:bCs/>
          <w:sz w:val="18"/>
          <w:szCs w:val="18"/>
        </w:rPr>
        <w:t xml:space="preserve">Aard bespreking: </w:t>
      </w:r>
      <w:r w:rsidRPr="3B296001">
        <w:rPr>
          <w:rFonts w:ascii="Verdana" w:hAnsi="Verdana" w:cs="Arial"/>
          <w:sz w:val="18"/>
          <w:szCs w:val="18"/>
        </w:rPr>
        <w:t>Gedachtewisseling en aanname Raadsaanbeveling</w:t>
      </w:r>
    </w:p>
    <w:p w:rsidRPr="00136ABA" w:rsidR="00E6361B" w:rsidP="3B296001" w:rsidRDefault="3B296001" w14:paraId="06450FB8" w14:textId="63C7DEE7">
      <w:pPr>
        <w:pStyle w:val="Plattetekst"/>
        <w:spacing w:after="0" w:line="276" w:lineRule="auto"/>
        <w:jc w:val="both"/>
        <w:rPr>
          <w:rFonts w:ascii="Verdana" w:hAnsi="Verdana" w:cs="Arial"/>
          <w:sz w:val="18"/>
          <w:szCs w:val="18"/>
        </w:rPr>
      </w:pPr>
      <w:r w:rsidRPr="3B296001">
        <w:rPr>
          <w:rFonts w:ascii="Verdana" w:hAnsi="Verdana" w:cs="Arial"/>
          <w:b/>
          <w:bCs/>
          <w:sz w:val="18"/>
          <w:szCs w:val="18"/>
        </w:rPr>
        <w:t xml:space="preserve">Besluitvormingsprocedure: </w:t>
      </w:r>
      <w:r w:rsidRPr="3B296001">
        <w:rPr>
          <w:rFonts w:ascii="Verdana" w:hAnsi="Verdana" w:cs="Arial"/>
          <w:sz w:val="18"/>
          <w:szCs w:val="18"/>
        </w:rPr>
        <w:t>Gekwalificeerde meerderheid</w:t>
      </w:r>
    </w:p>
    <w:p w:rsidRPr="00136ABA" w:rsidR="00FE780F" w:rsidP="3B296001" w:rsidRDefault="3B296001" w14:paraId="39CA0F83" w14:textId="1426DC23">
      <w:pPr>
        <w:spacing w:after="0" w:line="276" w:lineRule="auto"/>
        <w:jc w:val="both"/>
        <w:rPr>
          <w:rFonts w:ascii="Verdana" w:hAnsi="Verdana" w:eastAsia="Times New Roman" w:cs="Times New Roman"/>
          <w:sz w:val="18"/>
          <w:szCs w:val="18"/>
          <w:lang w:eastAsia="nl-NL"/>
        </w:rPr>
      </w:pPr>
      <w:r w:rsidRPr="3B296001">
        <w:rPr>
          <w:rFonts w:ascii="Verdana" w:hAnsi="Verdana" w:eastAsia="Calibri" w:cs="Arial"/>
          <w:b/>
          <w:bCs/>
          <w:sz w:val="18"/>
          <w:szCs w:val="18"/>
          <w:lang w:eastAsia="nl-NL"/>
        </w:rPr>
        <w:t>Toelichting:</w:t>
      </w:r>
    </w:p>
    <w:p w:rsidRPr="00136ABA" w:rsidR="0058037A" w:rsidP="1A738FD5" w:rsidRDefault="1A738FD5" w14:paraId="528B8F46" w14:textId="77777777">
      <w:pPr>
        <w:spacing w:line="276" w:lineRule="auto"/>
        <w:rPr>
          <w:rFonts w:ascii="Verdana" w:hAnsi="Verdana"/>
          <w:sz w:val="18"/>
          <w:szCs w:val="18"/>
        </w:rPr>
      </w:pPr>
      <w:r w:rsidRPr="1A738FD5">
        <w:rPr>
          <w:rFonts w:ascii="Verdana" w:hAnsi="Verdana"/>
          <w:sz w:val="18"/>
          <w:szCs w:val="18"/>
        </w:rPr>
        <w:t xml:space="preserve">In de </w:t>
      </w:r>
      <w:proofErr w:type="spellStart"/>
      <w:r w:rsidRPr="1A738FD5">
        <w:rPr>
          <w:rFonts w:ascii="Verdana" w:hAnsi="Verdana"/>
          <w:sz w:val="18"/>
          <w:szCs w:val="18"/>
        </w:rPr>
        <w:t>Ecofinraad</w:t>
      </w:r>
      <w:proofErr w:type="spellEnd"/>
      <w:r w:rsidRPr="1A738FD5">
        <w:rPr>
          <w:rFonts w:ascii="Verdana" w:hAnsi="Verdana"/>
          <w:sz w:val="18"/>
          <w:szCs w:val="18"/>
        </w:rPr>
        <w:t xml:space="preserve"> ligt de aanname voor van de Raadsaanbeveling aan het Europees Parlement voor het verlenen van decharge aan de Europese Commissie over de uitvoering van de Europese begroting 2024. </w:t>
      </w:r>
    </w:p>
    <w:p w:rsidRPr="00136ABA" w:rsidR="0058037A" w:rsidP="1A738FD5" w:rsidRDefault="1A738FD5" w14:paraId="4F044E50" w14:textId="04B4890C">
      <w:pPr>
        <w:rPr>
          <w:rFonts w:ascii="Verdana" w:hAnsi="Verdana"/>
          <w:sz w:val="18"/>
          <w:szCs w:val="18"/>
        </w:rPr>
      </w:pPr>
      <w:r w:rsidRPr="1A738FD5">
        <w:rPr>
          <w:rFonts w:ascii="Verdana" w:hAnsi="Verdana"/>
          <w:sz w:val="18"/>
          <w:szCs w:val="18"/>
        </w:rPr>
        <w:t xml:space="preserve">De Europese Rekenkamer (ERK) geeft in het rapport over het verslagjaar 2024 wederom een afkeurend oordeel ten aanzien van de uitgaven van de EU-begroting. Het foutenpercentage </w:t>
      </w:r>
      <w:r w:rsidRPr="1A738FD5">
        <w:rPr>
          <w:rFonts w:ascii="Verdana" w:hAnsi="Verdana"/>
          <w:sz w:val="18"/>
          <w:szCs w:val="18"/>
        </w:rPr>
        <w:lastRenderedPageBreak/>
        <w:t xml:space="preserve">(onrechtmatigheden) in de uitgaven is in 2024 3,6%. Dit is een daling ten opzichte van 2023, toen het foutenpercentage 5,6% was. De materialiteitsgrens is maximaal 2%. </w:t>
      </w:r>
      <w:r w:rsidRPr="1A738FD5">
        <w:rPr>
          <w:rFonts w:ascii="Verdana" w:hAnsi="Verdana" w:eastAsia="Times New Roman"/>
          <w:sz w:val="18"/>
          <w:szCs w:val="18"/>
        </w:rPr>
        <w:t>Het hoogste foutenpercentage wordt gevonden bij de uitgaven m.b.t. Cohesie, veerkracht en waarden (5,7%) (2023:</w:t>
      </w:r>
      <w:r w:rsidRPr="1A738FD5">
        <w:rPr>
          <w:rFonts w:ascii="Verdana" w:hAnsi="Verdana"/>
          <w:sz w:val="18"/>
          <w:szCs w:val="18"/>
        </w:rPr>
        <w:t xml:space="preserve"> 9,3%). Daarnaast heeft de ERK een separate beoordeling gegeven over de uitgaven in het kader van de Herstel- en Veerkrachtfaciliteit. De ERK geeft een oordeel ‘met beperking’ ten aanzien van deze uitgaven. Dit betekent dat de bevindingen van materieel belang zijn, maar geen diepgaande invloed hebben. Bij vijf van de zes betalingen zijn materiële fouten gevonden. </w:t>
      </w:r>
      <w:r w:rsidRPr="1A738FD5">
        <w:rPr>
          <w:rFonts w:ascii="Verdana" w:hAnsi="Verdana" w:eastAsia="Times New Roman"/>
          <w:sz w:val="18"/>
          <w:szCs w:val="18"/>
        </w:rPr>
        <w:t>Daarnaast onderzocht de ERK in hoeverre de hervormingen die lidstaten dienden door te voeren in ruil voor de ontvangen middelen, daadwerkelijk zijn gerealiseerd. Hieruit blijkt dat hier nog aanzienlijke verbeterpunten liggen. Met name op het terrein van klimaat en vergroening.</w:t>
      </w:r>
    </w:p>
    <w:p w:rsidRPr="00136ABA" w:rsidR="0058037A" w:rsidP="1A738FD5" w:rsidRDefault="1A738FD5" w14:paraId="733D43C0" w14:textId="02DFD291">
      <w:pPr>
        <w:rPr>
          <w:rFonts w:ascii="Verdana" w:hAnsi="Verdana"/>
          <w:sz w:val="18"/>
          <w:szCs w:val="18"/>
        </w:rPr>
      </w:pPr>
      <w:r w:rsidRPr="1A738FD5">
        <w:rPr>
          <w:rFonts w:ascii="Verdana" w:hAnsi="Verdana"/>
          <w:sz w:val="18"/>
          <w:szCs w:val="18"/>
        </w:rPr>
        <w:t xml:space="preserve">Het kabinet heeft zich, </w:t>
      </w:r>
      <w:proofErr w:type="gramStart"/>
      <w:r w:rsidRPr="1A738FD5">
        <w:rPr>
          <w:rFonts w:ascii="Verdana" w:hAnsi="Verdana"/>
          <w:sz w:val="18"/>
          <w:szCs w:val="18"/>
        </w:rPr>
        <w:t>conform</w:t>
      </w:r>
      <w:proofErr w:type="gramEnd"/>
      <w:r w:rsidRPr="1A738FD5">
        <w:rPr>
          <w:rFonts w:ascii="Verdana" w:hAnsi="Verdana"/>
          <w:sz w:val="18"/>
          <w:szCs w:val="18"/>
        </w:rPr>
        <w:t xml:space="preserve"> de motie Van Dijk van 15 oktober 2024, ingezet voor een betere verantwoording van EU-uitgaven. Het kabinet heeft zich, net als voorgaande jaren, kritisch opgesteld in de discussie over de Raadsaanbevelingen, waarbij is opgetrokken met gelijkgezinde lidstaten. Op basis van het foutenpercentage is er volgens het kabinet onvoldoende basis om in te stemmen met de voorliggende Raadsaanbeveling met een positief dechargeadvies aan het Europees Parlement. Het kabinet is dus voornemens om – net als in eerdere jaren – tegen het positieve dechargeadvies te stemmen. Het is de verwachting dat naast Nederland ook enkele gelijkgezinde landen niet zullen instemmen met een positief dechargeadvies. Naar verwachting zal een gekwalificeerde meerderheid van de Raad instemmen met het aannemen van een positief dechargeadvies aan het Europees Parlement en zal de Raadsaanbeveling </w:t>
      </w:r>
      <w:proofErr w:type="gramStart"/>
      <w:r w:rsidRPr="1A738FD5">
        <w:rPr>
          <w:rFonts w:ascii="Verdana" w:hAnsi="Verdana"/>
          <w:sz w:val="18"/>
          <w:szCs w:val="18"/>
        </w:rPr>
        <w:t>derhalve</w:t>
      </w:r>
      <w:proofErr w:type="gramEnd"/>
      <w:r w:rsidRPr="1A738FD5">
        <w:rPr>
          <w:rFonts w:ascii="Verdana" w:hAnsi="Verdana"/>
          <w:sz w:val="18"/>
          <w:szCs w:val="18"/>
        </w:rPr>
        <w:t xml:space="preserve"> worden aangenomen.</w:t>
      </w:r>
    </w:p>
    <w:p w:rsidRPr="00136ABA" w:rsidR="006D01D6" w:rsidP="3B296001" w:rsidRDefault="3B296001" w14:paraId="74A7EAD7" w14:textId="722C57A1">
      <w:pPr>
        <w:spacing w:after="0" w:line="276" w:lineRule="auto"/>
        <w:rPr>
          <w:rFonts w:ascii="Verdana" w:hAnsi="Verdana" w:eastAsia="Verdana" w:cs="Verdana"/>
          <w:sz w:val="18"/>
          <w:szCs w:val="18"/>
        </w:rPr>
      </w:pPr>
      <w:r w:rsidRPr="3B296001">
        <w:rPr>
          <w:rFonts w:ascii="Verdana" w:hAnsi="Verdana" w:eastAsia="Verdana" w:cs="Verdana"/>
          <w:b/>
          <w:bCs/>
          <w:sz w:val="18"/>
          <w:szCs w:val="18"/>
        </w:rPr>
        <w:t xml:space="preserve">Agendaonderwerp: </w:t>
      </w:r>
      <w:r w:rsidRPr="3B296001">
        <w:rPr>
          <w:rFonts w:ascii="Verdana" w:hAnsi="Verdana" w:eastAsia="Verdana" w:cs="Verdana"/>
          <w:sz w:val="18"/>
          <w:szCs w:val="18"/>
        </w:rPr>
        <w:t>Conclusies begrotingsrichtlijnen EU 2027</w:t>
      </w:r>
      <w:r w:rsidR="4DA84208">
        <w:br/>
      </w:r>
      <w:r w:rsidRPr="3B296001">
        <w:rPr>
          <w:rFonts w:ascii="Verdana" w:hAnsi="Verdana" w:eastAsia="Verdana" w:cs="Verdana"/>
          <w:b/>
          <w:bCs/>
          <w:sz w:val="18"/>
          <w:szCs w:val="18"/>
        </w:rPr>
        <w:t xml:space="preserve">Document: </w:t>
      </w:r>
      <w:r w:rsidRPr="3B296001">
        <w:rPr>
          <w:rFonts w:ascii="Verdana" w:hAnsi="Verdana" w:eastAsia="Verdana" w:cs="Verdana"/>
          <w:sz w:val="18"/>
          <w:szCs w:val="18"/>
        </w:rPr>
        <w:t>Nog niet beschikbaar</w:t>
      </w:r>
    </w:p>
    <w:p w:rsidRPr="00136ABA" w:rsidR="006D01D6" w:rsidP="3B296001" w:rsidRDefault="3B296001" w14:paraId="1271A5B7" w14:textId="6296A733">
      <w:pPr>
        <w:spacing w:after="0" w:line="276" w:lineRule="auto"/>
        <w:rPr>
          <w:rFonts w:ascii="Verdana" w:hAnsi="Verdana" w:eastAsia="Verdana" w:cs="Verdana"/>
          <w:b/>
          <w:bCs/>
          <w:sz w:val="18"/>
          <w:szCs w:val="18"/>
        </w:rPr>
      </w:pPr>
      <w:r w:rsidRPr="3B296001">
        <w:rPr>
          <w:rFonts w:ascii="Verdana" w:hAnsi="Verdana" w:eastAsia="Verdana" w:cs="Verdana"/>
          <w:b/>
          <w:bCs/>
          <w:sz w:val="18"/>
          <w:szCs w:val="18"/>
        </w:rPr>
        <w:t xml:space="preserve">Aard bespreking: </w:t>
      </w:r>
      <w:r w:rsidRPr="3B296001">
        <w:rPr>
          <w:rFonts w:ascii="Verdana" w:hAnsi="Verdana" w:eastAsia="Verdana" w:cs="Verdana"/>
          <w:sz w:val="18"/>
          <w:szCs w:val="18"/>
        </w:rPr>
        <w:t>Aanname Raadsconclusies</w:t>
      </w:r>
      <w:r w:rsidRPr="3B296001">
        <w:rPr>
          <w:rFonts w:ascii="Verdana" w:hAnsi="Verdana" w:eastAsia="Verdana" w:cs="Verdana"/>
          <w:b/>
          <w:bCs/>
          <w:sz w:val="18"/>
          <w:szCs w:val="18"/>
        </w:rPr>
        <w:t xml:space="preserve"> </w:t>
      </w:r>
    </w:p>
    <w:p w:rsidRPr="00136ABA" w:rsidR="006D01D6" w:rsidP="3B296001" w:rsidRDefault="3B296001" w14:paraId="7D375230" w14:textId="1603E82B">
      <w:pPr>
        <w:spacing w:after="0" w:line="276" w:lineRule="auto"/>
        <w:rPr>
          <w:rFonts w:ascii="Verdana" w:hAnsi="Verdana" w:eastAsia="Verdana" w:cs="Verdana"/>
          <w:sz w:val="18"/>
          <w:szCs w:val="18"/>
        </w:rPr>
      </w:pPr>
      <w:r w:rsidRPr="3B296001">
        <w:rPr>
          <w:rFonts w:ascii="Verdana" w:hAnsi="Verdana" w:eastAsia="Verdana" w:cs="Verdana"/>
          <w:b/>
          <w:bCs/>
          <w:sz w:val="18"/>
          <w:szCs w:val="18"/>
        </w:rPr>
        <w:t xml:space="preserve">Besluitvormingsprocedure: </w:t>
      </w:r>
      <w:r w:rsidRPr="3B296001">
        <w:rPr>
          <w:rFonts w:ascii="Verdana" w:hAnsi="Verdana" w:eastAsia="Verdana" w:cs="Verdana"/>
          <w:sz w:val="18"/>
          <w:szCs w:val="18"/>
        </w:rPr>
        <w:t>Consensus</w:t>
      </w:r>
    </w:p>
    <w:p w:rsidRPr="00136ABA" w:rsidR="006D01D6" w:rsidP="3B296001" w:rsidRDefault="3B296001" w14:paraId="70177EB6" w14:textId="77777777">
      <w:pPr>
        <w:spacing w:after="0" w:line="276" w:lineRule="auto"/>
        <w:rPr>
          <w:rFonts w:ascii="Verdana" w:hAnsi="Verdana" w:eastAsia="Verdana" w:cs="Verdana"/>
          <w:b/>
          <w:bCs/>
          <w:sz w:val="18"/>
          <w:szCs w:val="18"/>
        </w:rPr>
      </w:pPr>
      <w:r w:rsidRPr="3B296001">
        <w:rPr>
          <w:rFonts w:ascii="Verdana" w:hAnsi="Verdana" w:eastAsia="Verdana" w:cs="Verdana"/>
          <w:b/>
          <w:bCs/>
          <w:sz w:val="18"/>
          <w:szCs w:val="18"/>
        </w:rPr>
        <w:t xml:space="preserve">Toelichting: </w:t>
      </w:r>
    </w:p>
    <w:p w:rsidRPr="00136ABA" w:rsidR="00AF5B28" w:rsidP="3B296001" w:rsidRDefault="3B296001" w14:paraId="3AA224D5" w14:textId="24D0F6F3">
      <w:pPr>
        <w:spacing w:line="276" w:lineRule="auto"/>
        <w:rPr>
          <w:rFonts w:ascii="Verdana" w:hAnsi="Verdana"/>
          <w:sz w:val="18"/>
          <w:szCs w:val="18"/>
        </w:rPr>
      </w:pPr>
      <w:r w:rsidRPr="3B296001">
        <w:rPr>
          <w:rFonts w:ascii="Verdana" w:hAnsi="Verdana"/>
          <w:sz w:val="18"/>
          <w:szCs w:val="18"/>
        </w:rPr>
        <w:t>De Raad geeft de Commissie jaarlijks via de begrotingsrichtlijnen (Raadsconclusies) sturing bij het opstellen van de Europese conceptbegroting voor 202</w:t>
      </w:r>
      <w:r w:rsidR="00497F4F">
        <w:rPr>
          <w:rFonts w:ascii="Verdana" w:hAnsi="Verdana"/>
          <w:sz w:val="18"/>
          <w:szCs w:val="18"/>
        </w:rPr>
        <w:t>7</w:t>
      </w:r>
      <w:r w:rsidRPr="3B296001">
        <w:rPr>
          <w:rFonts w:ascii="Verdana" w:hAnsi="Verdana"/>
          <w:sz w:val="18"/>
          <w:szCs w:val="18"/>
        </w:rPr>
        <w:t xml:space="preserve">. De begrotingsrichtlijnen zijn niet juridisch bindend. Besluitvorming in de Raad vindt plaats op basis van consensus. De besluitvorming over de EU-begroting in de Raad vindt plaats met gekwalificeerde meerderheid en in het Europees Parlement met gewone meerderheid. </w:t>
      </w:r>
    </w:p>
    <w:p w:rsidRPr="00136ABA" w:rsidR="00AF5B28" w:rsidP="3B296001" w:rsidRDefault="3B296001" w14:paraId="796BC6A2" w14:textId="0B3DBADE">
      <w:pPr>
        <w:spacing w:line="276" w:lineRule="auto"/>
        <w:rPr>
          <w:rFonts w:ascii="Verdana" w:hAnsi="Verdana"/>
          <w:sz w:val="18"/>
          <w:szCs w:val="18"/>
        </w:rPr>
      </w:pPr>
      <w:r w:rsidRPr="3B296001">
        <w:rPr>
          <w:rFonts w:ascii="Verdana" w:hAnsi="Verdana"/>
          <w:sz w:val="18"/>
          <w:szCs w:val="18"/>
        </w:rPr>
        <w:t xml:space="preserve">In de begrotingsrichtlijnen wordt het belang van een prudente begroting benadrukt en aangegeven dat er voldoende middelen beschikbaar moeten zijn voor de belangrijkste prioriteiten van de EU. Daarnaast benadrukt de Raad, net als voorgaande jaren, het belang van budgettaire discipline: de plafonds van het MFK moeten gerespecteerd worden en er moet voldoende flexibele ruimte beschikbaar blijven om te kunnen reageren op onvoorziene omstandigheden gedurende het jaar. Verder wordt het belang genoemd van betrouwbare en precieze ramingen om de voorspelbaarheid van de afdrachten van lidstaten aan de EU te vergroten. </w:t>
      </w:r>
      <w:proofErr w:type="gramStart"/>
      <w:r w:rsidRPr="3B296001">
        <w:rPr>
          <w:rFonts w:ascii="Verdana" w:hAnsi="Verdana"/>
          <w:sz w:val="18"/>
          <w:szCs w:val="18"/>
        </w:rPr>
        <w:t>Tevens</w:t>
      </w:r>
      <w:proofErr w:type="gramEnd"/>
      <w:r w:rsidRPr="3B296001">
        <w:rPr>
          <w:rFonts w:ascii="Verdana" w:hAnsi="Verdana"/>
          <w:sz w:val="18"/>
          <w:szCs w:val="18"/>
        </w:rPr>
        <w:t xml:space="preserve"> roept de Raad alle EU-instellingen op tot naleving van stabiel personeelsbestand en het niet overschrijden van MFK-plafonds. </w:t>
      </w:r>
    </w:p>
    <w:p w:rsidRPr="00136ABA" w:rsidR="00AF5B28" w:rsidP="1A738FD5" w:rsidRDefault="00AF5B28" w14:paraId="1F71DD1C" w14:textId="56922FEF">
      <w:pPr>
        <w:spacing w:line="276" w:lineRule="auto"/>
        <w:rPr>
          <w:rFonts w:ascii="Verdana" w:hAnsi="Verdana"/>
          <w:sz w:val="18"/>
          <w:szCs w:val="18"/>
        </w:rPr>
      </w:pPr>
      <w:r w:rsidRPr="00136ABA">
        <w:rPr>
          <w:rFonts w:ascii="Verdana" w:hAnsi="Verdana"/>
          <w:sz w:val="18"/>
          <w:szCs w:val="18"/>
        </w:rPr>
        <w:t>Daarnaast gaan de Raadsconclusies in op EU-steun aan Oekraïne. Er wordt aangegeven dat de EU, samen met haar partners</w:t>
      </w:r>
      <w:r w:rsidR="006A7989">
        <w:rPr>
          <w:rFonts w:ascii="Verdana" w:hAnsi="Verdana"/>
          <w:sz w:val="18"/>
          <w:szCs w:val="18"/>
        </w:rPr>
        <w:t>,</w:t>
      </w:r>
      <w:r w:rsidRPr="00136ABA">
        <w:rPr>
          <w:rFonts w:ascii="Verdana" w:hAnsi="Verdana"/>
          <w:sz w:val="18"/>
          <w:szCs w:val="18"/>
        </w:rPr>
        <w:t xml:space="preserve"> Oekraïne zal steunen </w:t>
      </w:r>
      <w:proofErr w:type="gramStart"/>
      <w:r w:rsidRPr="00136ABA">
        <w:rPr>
          <w:rFonts w:ascii="Verdana" w:hAnsi="Verdana"/>
          <w:sz w:val="18"/>
          <w:szCs w:val="18"/>
        </w:rPr>
        <w:t>zolang</w:t>
      </w:r>
      <w:proofErr w:type="gramEnd"/>
      <w:r w:rsidRPr="00136ABA">
        <w:rPr>
          <w:rFonts w:ascii="Verdana" w:hAnsi="Verdana"/>
          <w:sz w:val="18"/>
          <w:szCs w:val="18"/>
        </w:rPr>
        <w:t xml:space="preserve"> als nodig blijkt. De Raad geeft verder aan dat de </w:t>
      </w:r>
      <w:proofErr w:type="spellStart"/>
      <w:r w:rsidRPr="00136ABA">
        <w:rPr>
          <w:rFonts w:ascii="Verdana" w:hAnsi="Verdana"/>
          <w:sz w:val="18"/>
          <w:szCs w:val="18"/>
        </w:rPr>
        <w:t>herprioriteringen</w:t>
      </w:r>
      <w:proofErr w:type="spellEnd"/>
      <w:r w:rsidRPr="00136ABA">
        <w:rPr>
          <w:rFonts w:ascii="Verdana" w:hAnsi="Verdana"/>
          <w:sz w:val="18"/>
          <w:szCs w:val="18"/>
        </w:rPr>
        <w:t xml:space="preserve"> die zijn afgesproken in de tussentijdse MFK-herziening van 2024 weerklank moeten vinden in de conceptbegroting voor 2027. De Raad roept de Commissie op om volledige transparantie te bieden met betrekking tot de leningen en rentekosten van het coronaherstelfonds, en de in de Europese Raad van 1 februari gemaakte afspraken met betrekking tot de dekking van de rentekostenoverschrijdingen te respecteren in de conceptbegroting voor 2027.</w:t>
      </w:r>
      <w:r w:rsidRPr="00136ABA">
        <w:rPr>
          <w:rStyle w:val="Voetnootmarkering"/>
          <w:rFonts w:ascii="Verdana" w:hAnsi="Verdana"/>
          <w:sz w:val="18"/>
          <w:szCs w:val="18"/>
        </w:rPr>
        <w:footnoteReference w:id="10"/>
      </w:r>
      <w:r w:rsidRPr="00136ABA">
        <w:rPr>
          <w:rFonts w:ascii="Verdana" w:hAnsi="Verdana"/>
          <w:sz w:val="18"/>
          <w:szCs w:val="18"/>
        </w:rPr>
        <w:t xml:space="preserve"> </w:t>
      </w:r>
    </w:p>
    <w:p w:rsidRPr="00136ABA" w:rsidR="00AF5B28" w:rsidP="3B296001" w:rsidRDefault="3B296001" w14:paraId="6E3C4726" w14:textId="3EB555A2">
      <w:pPr>
        <w:spacing w:line="276" w:lineRule="auto"/>
        <w:rPr>
          <w:rFonts w:ascii="Verdana" w:hAnsi="Verdana"/>
          <w:sz w:val="18"/>
          <w:szCs w:val="18"/>
        </w:rPr>
      </w:pPr>
      <w:r w:rsidRPr="3B296001">
        <w:rPr>
          <w:rFonts w:ascii="Verdana" w:hAnsi="Verdana"/>
          <w:sz w:val="18"/>
          <w:szCs w:val="18"/>
        </w:rPr>
        <w:t xml:space="preserve">Het kabinet is voornemens om in te stemmen met de begrotingsrichtlijnen van de Raad aan de Commissie. De aanbeveling reflecteert goed de Nederlandse prioriteiten ten aanzien van de Europese begroting voor 2027. Er wordt geen discussie in de Raad verwacht. De Commissie neemt </w:t>
      </w:r>
      <w:r w:rsidRPr="3B296001">
        <w:rPr>
          <w:rFonts w:ascii="Verdana" w:hAnsi="Verdana"/>
          <w:sz w:val="18"/>
          <w:szCs w:val="18"/>
        </w:rPr>
        <w:lastRenderedPageBreak/>
        <w:t>de begrotingsrichtlijnen mee in het voorstel voor de begroting van 2027, dat naar verwachting in juni 2026 verschijnt.</w:t>
      </w:r>
    </w:p>
    <w:p w:rsidRPr="00136ABA" w:rsidR="00FC232C" w:rsidP="3B296001" w:rsidRDefault="3B296001" w14:paraId="3C247840" w14:textId="4C250A0E">
      <w:pPr>
        <w:spacing w:after="0" w:line="276" w:lineRule="auto"/>
        <w:rPr>
          <w:rFonts w:ascii="Verdana" w:hAnsi="Verdana" w:cs="Arial"/>
          <w:sz w:val="18"/>
          <w:szCs w:val="18"/>
        </w:rPr>
      </w:pPr>
      <w:r w:rsidRPr="3B296001">
        <w:rPr>
          <w:rFonts w:ascii="Verdana" w:hAnsi="Verdana" w:eastAsia="Verdana" w:cs="Verdana"/>
          <w:b/>
          <w:bCs/>
          <w:sz w:val="18"/>
          <w:szCs w:val="18"/>
        </w:rPr>
        <w:t>Agendaonderwerp:</w:t>
      </w:r>
      <w:r w:rsidRPr="3B296001">
        <w:rPr>
          <w:rFonts w:ascii="Verdana" w:hAnsi="Verdana" w:eastAsia="Verdana" w:cs="Verdana"/>
          <w:sz w:val="18"/>
          <w:szCs w:val="18"/>
        </w:rPr>
        <w:t xml:space="preserve"> Economische en financiële impact van de Russische agressie tegen Oekraïne </w:t>
      </w:r>
      <w:r w:rsidR="21ADDAEE">
        <w:br/>
      </w:r>
      <w:r w:rsidRPr="3B296001">
        <w:rPr>
          <w:rFonts w:ascii="Verdana" w:hAnsi="Verdana" w:eastAsia="Verdana" w:cs="Verdana"/>
          <w:b/>
          <w:bCs/>
          <w:sz w:val="18"/>
          <w:szCs w:val="18"/>
        </w:rPr>
        <w:t xml:space="preserve">Document: </w:t>
      </w:r>
      <w:r w:rsidRPr="3B296001">
        <w:rPr>
          <w:rFonts w:ascii="Verdana" w:hAnsi="Verdana" w:eastAsia="Verdana" w:cs="Verdana"/>
          <w:sz w:val="18"/>
          <w:szCs w:val="18"/>
        </w:rPr>
        <w:t>N.v.t.</w:t>
      </w:r>
      <w:r w:rsidR="21ADDAEE">
        <w:br/>
      </w:r>
      <w:r w:rsidRPr="3B296001">
        <w:rPr>
          <w:rFonts w:ascii="Verdana" w:hAnsi="Verdana" w:cs="Arial"/>
          <w:b/>
          <w:bCs/>
          <w:sz w:val="18"/>
          <w:szCs w:val="18"/>
        </w:rPr>
        <w:t>Aard bespreking:</w:t>
      </w:r>
      <w:r w:rsidRPr="3B296001">
        <w:rPr>
          <w:rFonts w:ascii="Verdana" w:hAnsi="Verdana" w:cs="Arial"/>
          <w:sz w:val="18"/>
          <w:szCs w:val="18"/>
        </w:rPr>
        <w:t xml:space="preserve"> Gedachtewisseling </w:t>
      </w:r>
    </w:p>
    <w:p w:rsidRPr="00136ABA" w:rsidR="00FC232C" w:rsidP="3B296001" w:rsidRDefault="3B296001" w14:paraId="5E260591" w14:textId="15EBC844">
      <w:pPr>
        <w:pStyle w:val="Plattetekst"/>
        <w:spacing w:after="0" w:line="276" w:lineRule="auto"/>
        <w:jc w:val="both"/>
        <w:rPr>
          <w:rFonts w:ascii="Verdana" w:hAnsi="Verdana" w:cs="Arial"/>
          <w:sz w:val="18"/>
          <w:szCs w:val="18"/>
        </w:rPr>
      </w:pPr>
      <w:r w:rsidRPr="3B296001">
        <w:rPr>
          <w:rFonts w:ascii="Verdana" w:hAnsi="Verdana" w:cs="Arial"/>
          <w:b/>
          <w:bCs/>
          <w:sz w:val="18"/>
          <w:szCs w:val="18"/>
        </w:rPr>
        <w:t xml:space="preserve">Besluitvormingsprocedure: </w:t>
      </w:r>
      <w:r w:rsidRPr="3B296001">
        <w:rPr>
          <w:rFonts w:ascii="Verdana" w:hAnsi="Verdana" w:cs="Arial"/>
          <w:sz w:val="18"/>
          <w:szCs w:val="18"/>
        </w:rPr>
        <w:t>N.v.t.</w:t>
      </w:r>
    </w:p>
    <w:p w:rsidRPr="00136ABA" w:rsidR="00FC232C" w:rsidP="3B296001" w:rsidRDefault="3B296001" w14:paraId="73B06F1A" w14:textId="77777777">
      <w:pPr>
        <w:pStyle w:val="Plattetekst"/>
        <w:spacing w:after="0" w:line="276" w:lineRule="auto"/>
        <w:jc w:val="both"/>
        <w:rPr>
          <w:rFonts w:ascii="Verdana" w:hAnsi="Verdana"/>
          <w:sz w:val="18"/>
          <w:szCs w:val="18"/>
        </w:rPr>
      </w:pPr>
      <w:r w:rsidRPr="3B296001">
        <w:rPr>
          <w:rFonts w:ascii="Verdana" w:hAnsi="Verdana" w:eastAsia="Calibri" w:cs="Arial"/>
          <w:b/>
          <w:bCs/>
          <w:sz w:val="18"/>
          <w:szCs w:val="18"/>
        </w:rPr>
        <w:t>Toelichting:</w:t>
      </w:r>
    </w:p>
    <w:p w:rsidRPr="00136ABA" w:rsidR="00FA7DA4" w:rsidP="1A738FD5" w:rsidRDefault="1A738FD5" w14:paraId="5DFFF395" w14:textId="77777777">
      <w:pPr>
        <w:spacing w:after="0" w:line="276" w:lineRule="auto"/>
        <w:rPr>
          <w:rFonts w:ascii="Verdana" w:hAnsi="Verdana" w:eastAsia="Calibri" w:cs="Times New Roman"/>
          <w:sz w:val="18"/>
          <w:szCs w:val="18"/>
        </w:rPr>
      </w:pPr>
      <w:r w:rsidRPr="1A738FD5">
        <w:rPr>
          <w:rFonts w:ascii="Verdana" w:hAnsi="Verdana" w:eastAsia="Calibri" w:cs="Times New Roman"/>
          <w:sz w:val="18"/>
          <w:szCs w:val="18"/>
        </w:rPr>
        <w:t xml:space="preserve">De </w:t>
      </w:r>
      <w:proofErr w:type="spellStart"/>
      <w:r w:rsidRPr="1A738FD5">
        <w:rPr>
          <w:rFonts w:ascii="Verdana" w:hAnsi="Verdana" w:eastAsia="Calibri" w:cs="Times New Roman"/>
          <w:sz w:val="18"/>
          <w:szCs w:val="18"/>
        </w:rPr>
        <w:t>Ecofinraad</w:t>
      </w:r>
      <w:proofErr w:type="spellEnd"/>
      <w:r w:rsidRPr="1A738FD5">
        <w:rPr>
          <w:rFonts w:ascii="Verdana" w:hAnsi="Verdana" w:eastAsia="Calibri" w:cs="Times New Roman"/>
          <w:sz w:val="18"/>
          <w:szCs w:val="18"/>
        </w:rPr>
        <w:t xml:space="preserve"> zal van gedachten wisselen over de economische en financiële impact van de Russische agressie tegen Oekraïne en over Europese steunmaatregelen. Dit is een terugkerend agendaonderwerp op de </w:t>
      </w:r>
      <w:proofErr w:type="spellStart"/>
      <w:r w:rsidRPr="1A738FD5">
        <w:rPr>
          <w:rFonts w:ascii="Verdana" w:hAnsi="Verdana" w:eastAsia="Calibri" w:cs="Times New Roman"/>
          <w:sz w:val="18"/>
          <w:szCs w:val="18"/>
        </w:rPr>
        <w:t>Ecofinraad</w:t>
      </w:r>
      <w:proofErr w:type="spellEnd"/>
      <w:r w:rsidRPr="1A738FD5">
        <w:rPr>
          <w:rFonts w:ascii="Verdana" w:hAnsi="Verdana" w:eastAsia="Calibri" w:cs="Times New Roman"/>
          <w:sz w:val="18"/>
          <w:szCs w:val="18"/>
        </w:rPr>
        <w:t>.</w:t>
      </w:r>
    </w:p>
    <w:p w:rsidRPr="00136ABA" w:rsidR="00FA7DA4" w:rsidP="00FA7DA4" w:rsidRDefault="00FA7DA4" w14:paraId="3F3092B7" w14:textId="77777777">
      <w:pPr>
        <w:spacing w:after="0" w:line="276" w:lineRule="auto"/>
        <w:rPr>
          <w:rFonts w:ascii="Verdana" w:hAnsi="Verdana" w:eastAsia="Calibri" w:cs="Times New Roman"/>
          <w:iCs/>
          <w:sz w:val="18"/>
          <w:szCs w:val="18"/>
        </w:rPr>
      </w:pPr>
    </w:p>
    <w:p w:rsidRPr="00136ABA" w:rsidR="00FA7DA4" w:rsidP="1A738FD5" w:rsidRDefault="1A738FD5" w14:paraId="45794C6C" w14:textId="77777777">
      <w:pPr>
        <w:spacing w:after="0" w:line="276" w:lineRule="auto"/>
        <w:rPr>
          <w:rFonts w:ascii="Verdana" w:hAnsi="Verdana" w:eastAsia="Calibri" w:cs="Times New Roman"/>
          <w:sz w:val="18"/>
          <w:szCs w:val="18"/>
        </w:rPr>
      </w:pPr>
      <w:r w:rsidRPr="1A738FD5">
        <w:rPr>
          <w:rFonts w:ascii="Verdana" w:hAnsi="Verdana" w:eastAsia="Calibri" w:cs="Times New Roman"/>
          <w:sz w:val="18"/>
          <w:szCs w:val="18"/>
        </w:rPr>
        <w:t xml:space="preserve">Oekraïne ontvangt momenteel steun uit o.a. de Oekraïne-faciliteit met een totale omvang van EUR 50 mld. voor de periode 2024-2027, de G7 </w:t>
      </w:r>
      <w:proofErr w:type="spellStart"/>
      <w:r w:rsidRPr="1A738FD5">
        <w:rPr>
          <w:rFonts w:ascii="Verdana" w:hAnsi="Verdana" w:eastAsia="Calibri" w:cs="Times New Roman"/>
          <w:sz w:val="18"/>
          <w:szCs w:val="18"/>
        </w:rPr>
        <w:t>Extraordinary</w:t>
      </w:r>
      <w:proofErr w:type="spellEnd"/>
      <w:r w:rsidRPr="1A738FD5">
        <w:rPr>
          <w:rFonts w:ascii="Verdana" w:hAnsi="Verdana" w:eastAsia="Calibri" w:cs="Times New Roman"/>
          <w:sz w:val="18"/>
          <w:szCs w:val="18"/>
        </w:rPr>
        <w:t xml:space="preserve"> </w:t>
      </w:r>
      <w:proofErr w:type="spellStart"/>
      <w:r w:rsidRPr="1A738FD5">
        <w:rPr>
          <w:rFonts w:ascii="Verdana" w:hAnsi="Verdana" w:eastAsia="Calibri" w:cs="Times New Roman"/>
          <w:sz w:val="18"/>
          <w:szCs w:val="18"/>
        </w:rPr>
        <w:t>Revenue</w:t>
      </w:r>
      <w:proofErr w:type="spellEnd"/>
      <w:r w:rsidRPr="1A738FD5">
        <w:rPr>
          <w:rFonts w:ascii="Verdana" w:hAnsi="Verdana" w:eastAsia="Calibri" w:cs="Times New Roman"/>
          <w:sz w:val="18"/>
          <w:szCs w:val="18"/>
        </w:rPr>
        <w:t xml:space="preserve"> Acceleration (ERA) leningen van ca. EUR 45 miljard en het IMF-programma. Uit de Oekraïne-faciliteit heeft de Europese Unie op 22 december jl. EUR 2,3 miljard voor tranche zes uitbetaald, nadat de Raad en Commissie eerder vaststelden dat Oekraïne aan acht hervormingsstappen uit het Oekraïneplan had voldaan. Daarnaast heeft de Commissie op 13 november jl. de tiende en </w:t>
      </w:r>
      <w:proofErr w:type="gramStart"/>
      <w:r w:rsidRPr="1A738FD5">
        <w:rPr>
          <w:rFonts w:ascii="Verdana" w:hAnsi="Verdana" w:eastAsia="Calibri" w:cs="Times New Roman"/>
          <w:sz w:val="18"/>
          <w:szCs w:val="18"/>
        </w:rPr>
        <w:t>tevens</w:t>
      </w:r>
      <w:proofErr w:type="gramEnd"/>
      <w:r w:rsidRPr="1A738FD5">
        <w:rPr>
          <w:rFonts w:ascii="Verdana" w:hAnsi="Verdana" w:eastAsia="Calibri" w:cs="Times New Roman"/>
          <w:sz w:val="18"/>
          <w:szCs w:val="18"/>
        </w:rPr>
        <w:t xml:space="preserve"> laatste tranche van het EU-aandeel in de ERA-leningen verstrekt aan Oekraïne, met een omvang van EUR 4,1 miljard. Met de uitbetaling van deze tranche heeft de EU het totale EU-aandeel in de ERA-lening van EUR 18,1 miljard uitbetaald. </w:t>
      </w:r>
    </w:p>
    <w:p w:rsidRPr="00136ABA" w:rsidR="00FA7DA4" w:rsidP="00FA7DA4" w:rsidRDefault="00FA7DA4" w14:paraId="5975B22F" w14:textId="77777777">
      <w:pPr>
        <w:spacing w:after="0" w:line="276" w:lineRule="auto"/>
        <w:rPr>
          <w:rFonts w:ascii="Verdana" w:hAnsi="Verdana" w:eastAsia="Calibri" w:cs="Times New Roman"/>
          <w:iCs/>
          <w:sz w:val="18"/>
          <w:szCs w:val="18"/>
        </w:rPr>
      </w:pPr>
    </w:p>
    <w:p w:rsidRPr="00136ABA" w:rsidR="00FA7DA4" w:rsidP="3B296001" w:rsidRDefault="00FA7DA4" w14:paraId="1341A4F2" w14:textId="77777777">
      <w:pPr>
        <w:spacing w:after="0" w:line="276" w:lineRule="auto"/>
        <w:rPr>
          <w:rFonts w:ascii="Verdana" w:hAnsi="Verdana" w:eastAsia="Calibri" w:cs="Times New Roman"/>
          <w:sz w:val="18"/>
          <w:szCs w:val="18"/>
        </w:rPr>
      </w:pPr>
      <w:r w:rsidRPr="3B296001">
        <w:rPr>
          <w:rFonts w:ascii="Verdana" w:hAnsi="Verdana" w:eastAsia="Calibri" w:cs="Times New Roman"/>
          <w:sz w:val="18"/>
          <w:szCs w:val="18"/>
        </w:rPr>
        <w:t>Tijdens de Europese Raad op 18-19 december jl. is een akkoord bereikt om Oekraïne in de komende twee jaar te ondersteunen met 90 miljard euro aan leningen. De Kamer is op 19 december jl. over dit akkoord geïnformeerd.</w:t>
      </w:r>
      <w:r w:rsidRPr="3B296001">
        <w:rPr>
          <w:rFonts w:ascii="Verdana" w:hAnsi="Verdana" w:eastAsia="Calibri" w:cs="Times New Roman"/>
          <w:sz w:val="18"/>
          <w:szCs w:val="18"/>
          <w:vertAlign w:val="superscript"/>
        </w:rPr>
        <w:footnoteReference w:id="11"/>
      </w:r>
      <w:r w:rsidRPr="3B296001">
        <w:rPr>
          <w:rFonts w:ascii="Verdana" w:hAnsi="Verdana" w:eastAsia="Calibri" w:cs="Times New Roman"/>
          <w:sz w:val="18"/>
          <w:szCs w:val="18"/>
        </w:rPr>
        <w:t xml:space="preserve"> Op korte termijn zal uw Kamer een appreciatie van de wetsvoorstellen ontvangen die de Commissie hiertoe op 14 januari jl. heeft gepubliceerd.  </w:t>
      </w:r>
    </w:p>
    <w:p w:rsidRPr="00136ABA" w:rsidR="00FA7DA4" w:rsidP="00FA7DA4" w:rsidRDefault="00FA7DA4" w14:paraId="586192A8" w14:textId="77777777">
      <w:pPr>
        <w:spacing w:after="0" w:line="276" w:lineRule="auto"/>
        <w:rPr>
          <w:rFonts w:ascii="Verdana" w:hAnsi="Verdana" w:eastAsia="Calibri" w:cs="Times New Roman"/>
          <w:iCs/>
          <w:sz w:val="18"/>
          <w:szCs w:val="18"/>
        </w:rPr>
      </w:pPr>
    </w:p>
    <w:p w:rsidRPr="00136ABA" w:rsidR="00FA7DA4" w:rsidP="1A738FD5" w:rsidRDefault="00CF6AD0" w14:paraId="32442075" w14:textId="77681686">
      <w:pPr>
        <w:spacing w:after="0" w:line="276" w:lineRule="auto"/>
        <w:rPr>
          <w:rFonts w:ascii="Verdana" w:hAnsi="Verdana" w:eastAsia="Calibri" w:cs="Times New Roman"/>
          <w:sz w:val="18"/>
          <w:szCs w:val="18"/>
        </w:rPr>
      </w:pPr>
      <w:r w:rsidRPr="3B296001">
        <w:rPr>
          <w:rFonts w:ascii="Verdana" w:hAnsi="Verdana" w:eastAsia="Calibri" w:cs="Times New Roman"/>
          <w:sz w:val="18"/>
          <w:szCs w:val="18"/>
        </w:rPr>
        <w:t xml:space="preserve">Het IMF heeft op 26 november 2025 op stafniveau een akkoord bereikt met de </w:t>
      </w:r>
      <w:proofErr w:type="spellStart"/>
      <w:r w:rsidRPr="3B296001">
        <w:rPr>
          <w:rFonts w:ascii="Verdana" w:hAnsi="Verdana" w:eastAsia="Calibri" w:cs="Times New Roman"/>
          <w:sz w:val="18"/>
          <w:szCs w:val="18"/>
        </w:rPr>
        <w:t>Oekraïnse</w:t>
      </w:r>
      <w:proofErr w:type="spellEnd"/>
      <w:r w:rsidRPr="3B296001">
        <w:rPr>
          <w:rFonts w:ascii="Verdana" w:hAnsi="Verdana" w:eastAsia="Calibri" w:cs="Times New Roman"/>
          <w:sz w:val="18"/>
          <w:szCs w:val="18"/>
        </w:rPr>
        <w:t xml:space="preserve"> autoriteiten over een nieuw IMF-programma met een omvang van USD 8,1 mld. V</w:t>
      </w:r>
      <w:r w:rsidRPr="3B296001" w:rsidR="00FA7DA4">
        <w:rPr>
          <w:rFonts w:ascii="Verdana" w:hAnsi="Verdana" w:eastAsia="Calibri" w:cs="Times New Roman"/>
          <w:sz w:val="18"/>
          <w:szCs w:val="18"/>
        </w:rPr>
        <w:t xml:space="preserve">oordat het programma ter goedkeuring aan de raad van bewind van het IMF kan worden voorgelegd moet aan bepaalde voorwaarden worden voldaan, o.a. het dekken van het financieringstekort voor het eerste jaar van het programma. Met het akkoord dat bereikt is tijdens de ER van 18-19 december jl. is dit – bij de huidige aannames – het geval. Het programma wordt naar verwachting in de komende maanden ter goedkeuring aan de raad van bewind van het IMF voorgelegd. Daarnaast zijn lidstaten van het IMF gevraagd om </w:t>
      </w:r>
      <w:proofErr w:type="spellStart"/>
      <w:r w:rsidRPr="1A738FD5" w:rsidR="00FA7DA4">
        <w:rPr>
          <w:rFonts w:ascii="Verdana" w:hAnsi="Verdana" w:eastAsia="Calibri" w:cs="Times New Roman"/>
          <w:i/>
          <w:iCs/>
          <w:sz w:val="18"/>
          <w:szCs w:val="18"/>
        </w:rPr>
        <w:t>financing</w:t>
      </w:r>
      <w:proofErr w:type="spellEnd"/>
      <w:r w:rsidRPr="1A738FD5" w:rsidR="00FA7DA4">
        <w:rPr>
          <w:rFonts w:ascii="Verdana" w:hAnsi="Verdana" w:eastAsia="Calibri" w:cs="Times New Roman"/>
          <w:i/>
          <w:iCs/>
          <w:sz w:val="18"/>
          <w:szCs w:val="18"/>
        </w:rPr>
        <w:t xml:space="preserve"> </w:t>
      </w:r>
      <w:proofErr w:type="spellStart"/>
      <w:r w:rsidRPr="1A738FD5" w:rsidR="00FA7DA4">
        <w:rPr>
          <w:rFonts w:ascii="Verdana" w:hAnsi="Verdana" w:eastAsia="Calibri" w:cs="Times New Roman"/>
          <w:i/>
          <w:iCs/>
          <w:sz w:val="18"/>
          <w:szCs w:val="18"/>
        </w:rPr>
        <w:t>assurances</w:t>
      </w:r>
      <w:proofErr w:type="spellEnd"/>
      <w:r w:rsidRPr="3B296001" w:rsidR="00FA7DA4">
        <w:rPr>
          <w:rFonts w:ascii="Verdana" w:hAnsi="Verdana" w:eastAsia="Calibri" w:cs="Times New Roman"/>
          <w:sz w:val="18"/>
          <w:szCs w:val="18"/>
        </w:rPr>
        <w:t xml:space="preserve"> af te geven, waarmee zij toezeggen Oekraïne financieel te zullen blijven steunen en zorg te zullen dragen voor de schuldhoudbaarheid van Oekraïne. Nederland heeft samen met andere landen aangegeven bereid te zijn </w:t>
      </w:r>
      <w:proofErr w:type="spellStart"/>
      <w:r w:rsidRPr="1A738FD5" w:rsidR="00FA7DA4">
        <w:rPr>
          <w:rFonts w:ascii="Verdana" w:hAnsi="Verdana" w:eastAsia="Calibri" w:cs="Times New Roman"/>
          <w:i/>
          <w:iCs/>
          <w:sz w:val="18"/>
          <w:szCs w:val="18"/>
        </w:rPr>
        <w:t>financing</w:t>
      </w:r>
      <w:proofErr w:type="spellEnd"/>
      <w:r w:rsidRPr="1A738FD5" w:rsidR="00FA7DA4">
        <w:rPr>
          <w:rFonts w:ascii="Verdana" w:hAnsi="Verdana" w:eastAsia="Calibri" w:cs="Times New Roman"/>
          <w:i/>
          <w:iCs/>
          <w:sz w:val="18"/>
          <w:szCs w:val="18"/>
        </w:rPr>
        <w:t xml:space="preserve"> </w:t>
      </w:r>
      <w:proofErr w:type="spellStart"/>
      <w:r w:rsidRPr="1A738FD5" w:rsidR="00FA7DA4">
        <w:rPr>
          <w:rFonts w:ascii="Verdana" w:hAnsi="Verdana" w:eastAsia="Calibri" w:cs="Times New Roman"/>
          <w:i/>
          <w:iCs/>
          <w:sz w:val="18"/>
          <w:szCs w:val="18"/>
        </w:rPr>
        <w:t>assurances</w:t>
      </w:r>
      <w:proofErr w:type="spellEnd"/>
      <w:r w:rsidRPr="3B296001" w:rsidR="00FA7DA4">
        <w:rPr>
          <w:rFonts w:ascii="Verdana" w:hAnsi="Verdana" w:eastAsia="Calibri" w:cs="Times New Roman"/>
          <w:sz w:val="18"/>
          <w:szCs w:val="18"/>
        </w:rPr>
        <w:t xml:space="preserve"> af te geven voor dit programma, net zoals Nederland eerder heeft gedaan voor het huidige IMF-programma</w:t>
      </w:r>
      <w:r w:rsidRPr="00136ABA" w:rsidR="00FA7DA4">
        <w:rPr>
          <w:rFonts w:ascii="Verdana" w:hAnsi="Verdana" w:eastAsia="Calibri" w:cs="Times New Roman"/>
          <w:sz w:val="18"/>
          <w:szCs w:val="18"/>
          <w:vertAlign w:val="superscript"/>
        </w:rPr>
        <w:footnoteReference w:id="12"/>
      </w:r>
      <w:r w:rsidRPr="00136ABA" w:rsidR="00FA7DA4">
        <w:rPr>
          <w:rFonts w:ascii="Verdana" w:hAnsi="Verdana" w:eastAsia="Calibri" w:cs="Times New Roman"/>
          <w:sz w:val="18"/>
          <w:szCs w:val="18"/>
        </w:rPr>
        <w:t xml:space="preserve">. Daarnaast werkt het kabinet via </w:t>
      </w:r>
      <w:r w:rsidRPr="00136ABA" w:rsidR="00FA7DA4">
        <w:rPr>
          <w:rFonts w:ascii="Verdana" w:hAnsi="Verdana" w:eastAsia="Calibri" w:cs="Arial"/>
          <w:sz w:val="18"/>
          <w:szCs w:val="18"/>
        </w:rPr>
        <w:t xml:space="preserve">de </w:t>
      </w:r>
      <w:r w:rsidRPr="1A738FD5" w:rsidR="00FA7DA4">
        <w:rPr>
          <w:rFonts w:ascii="Verdana" w:hAnsi="Verdana" w:eastAsia="Calibri" w:cs="Arial"/>
          <w:i/>
          <w:iCs/>
          <w:sz w:val="18"/>
          <w:szCs w:val="18"/>
        </w:rPr>
        <w:t xml:space="preserve">Group of </w:t>
      </w:r>
      <w:proofErr w:type="spellStart"/>
      <w:r w:rsidRPr="1A738FD5" w:rsidR="00FA7DA4">
        <w:rPr>
          <w:rFonts w:ascii="Verdana" w:hAnsi="Verdana" w:eastAsia="Calibri" w:cs="Arial"/>
          <w:i/>
          <w:iCs/>
          <w:sz w:val="18"/>
          <w:szCs w:val="18"/>
        </w:rPr>
        <w:t>Creditors</w:t>
      </w:r>
      <w:proofErr w:type="spellEnd"/>
      <w:r w:rsidRPr="1A738FD5" w:rsidR="00FA7DA4">
        <w:rPr>
          <w:rFonts w:ascii="Verdana" w:hAnsi="Verdana" w:eastAsia="Calibri" w:cs="Arial"/>
          <w:i/>
          <w:iCs/>
          <w:sz w:val="18"/>
          <w:szCs w:val="18"/>
        </w:rPr>
        <w:t xml:space="preserve"> of Ukraine </w:t>
      </w:r>
      <w:r w:rsidRPr="00136ABA" w:rsidR="00FA7DA4">
        <w:rPr>
          <w:rFonts w:ascii="Verdana" w:hAnsi="Verdana" w:eastAsia="Calibri" w:cs="Arial"/>
          <w:sz w:val="18"/>
          <w:szCs w:val="18"/>
        </w:rPr>
        <w:t>(GCU) mee aan het herstructureren van de overheidsschuld van Oekraïne. Dit houdt in eerste instantie in dat de opschorting van terugbetalingen op bilaterale claims wordt verlengd tot eind 2029 (parallel aan de looptijd van het nieuwe IMF-programma).</w:t>
      </w:r>
    </w:p>
    <w:p w:rsidRPr="00136ABA" w:rsidR="00FA7DA4" w:rsidP="00FA7DA4" w:rsidRDefault="00FA7DA4" w14:paraId="7A9DF1C8" w14:textId="77777777">
      <w:pPr>
        <w:spacing w:after="0" w:line="276" w:lineRule="auto"/>
        <w:rPr>
          <w:rFonts w:ascii="Verdana" w:hAnsi="Verdana" w:eastAsia="Calibri" w:cs="Times New Roman"/>
          <w:sz w:val="18"/>
          <w:szCs w:val="18"/>
        </w:rPr>
      </w:pPr>
    </w:p>
    <w:p w:rsidRPr="00136ABA" w:rsidR="00FA7DA4" w:rsidP="3B296001" w:rsidRDefault="3B296001" w14:paraId="18517839" w14:textId="77777777">
      <w:pPr>
        <w:spacing w:after="0" w:line="276" w:lineRule="auto"/>
        <w:rPr>
          <w:rFonts w:ascii="Verdana" w:hAnsi="Verdana" w:eastAsia="Calibri" w:cs="Times New Roman"/>
          <w:sz w:val="18"/>
          <w:szCs w:val="18"/>
        </w:rPr>
      </w:pPr>
      <w:r w:rsidRPr="3B296001">
        <w:rPr>
          <w:rFonts w:ascii="Verdana" w:hAnsi="Verdana" w:eastAsia="Calibri" w:cs="Times New Roman"/>
          <w:sz w:val="18"/>
          <w:szCs w:val="18"/>
        </w:rPr>
        <w:t xml:space="preserve">Het ongedekte financieringstekort van Oekraïne werd door de Europese Commissie geschat op EUR 135 mld. voor de periode 2026-2027 voor zowel militaire als macro-financiële noden. Bij de berekening van dit resterende tekort is al rekening gehouden met het nieuwe IMF-programma van USD 8,1 mld. Met de EU-leningen van EUR 90 mld. dekt de EU twee derde van het ongedekte financieringstekort in 2026 en 2027. Het resterende tekort van EUR 45 mld. dient – volgens de EU – door andere internationale donoren gedekt te worden. </w:t>
      </w:r>
    </w:p>
    <w:p w:rsidRPr="00136ABA" w:rsidR="00FA7DA4" w:rsidP="4DA84208" w:rsidRDefault="00FA7DA4" w14:paraId="32231084" w14:textId="77777777">
      <w:pPr>
        <w:spacing w:after="0" w:line="276" w:lineRule="auto"/>
        <w:rPr>
          <w:rFonts w:ascii="Verdana" w:hAnsi="Verdana"/>
          <w:b/>
          <w:bCs/>
          <w:sz w:val="18"/>
          <w:szCs w:val="18"/>
        </w:rPr>
      </w:pPr>
    </w:p>
    <w:p w:rsidRPr="00136ABA" w:rsidR="4DA84208" w:rsidP="1A738FD5" w:rsidRDefault="1A738FD5" w14:paraId="7A7CE8C8" w14:textId="42F2F124">
      <w:pPr>
        <w:spacing w:after="0" w:line="276" w:lineRule="auto"/>
        <w:rPr>
          <w:rFonts w:ascii="Verdana" w:hAnsi="Verdana"/>
          <w:sz w:val="18"/>
          <w:szCs w:val="18"/>
        </w:rPr>
      </w:pPr>
      <w:r w:rsidRPr="1A738FD5">
        <w:rPr>
          <w:rFonts w:ascii="Verdana" w:hAnsi="Verdana" w:eastAsia="Verdana" w:cs="Verdana"/>
          <w:b/>
          <w:bCs/>
          <w:sz w:val="18"/>
          <w:szCs w:val="18"/>
        </w:rPr>
        <w:t>Agendaonderwerp</w:t>
      </w:r>
      <w:r w:rsidRPr="1A738FD5">
        <w:rPr>
          <w:rFonts w:ascii="Verdana" w:hAnsi="Verdana" w:eastAsia="Verdana" w:cs="Verdana"/>
          <w:sz w:val="18"/>
          <w:szCs w:val="18"/>
        </w:rPr>
        <w:t>: Economisch herstel in Europa: uitvoeringsbesluiten van de Raad onder de Herstel- en Veerkrachtfaciliteit (HVF)</w:t>
      </w:r>
      <w:r w:rsidR="21ADDAEE">
        <w:br/>
      </w:r>
      <w:r w:rsidRPr="1A738FD5">
        <w:rPr>
          <w:rFonts w:ascii="Verdana" w:hAnsi="Verdana" w:eastAsia="Verdana" w:cs="Verdana"/>
          <w:b/>
          <w:bCs/>
          <w:sz w:val="18"/>
          <w:szCs w:val="18"/>
        </w:rPr>
        <w:t xml:space="preserve">Document: </w:t>
      </w:r>
      <w:r w:rsidRPr="1A738FD5">
        <w:rPr>
          <w:rFonts w:ascii="Verdana" w:hAnsi="Verdana" w:eastAsia="Verdana" w:cs="Verdana"/>
          <w:sz w:val="18"/>
          <w:szCs w:val="18"/>
        </w:rPr>
        <w:t xml:space="preserve">De Commissievoorstellen voor aanpassing van uitvoeringsbesluiten van de Raad ter </w:t>
      </w:r>
      <w:r w:rsidRPr="1A738FD5">
        <w:rPr>
          <w:rFonts w:ascii="Verdana" w:hAnsi="Verdana" w:eastAsia="Verdana" w:cs="Verdana"/>
          <w:sz w:val="18"/>
          <w:szCs w:val="18"/>
        </w:rPr>
        <w:lastRenderedPageBreak/>
        <w:t>goedkeuring van de herstel- en veerkrachtplannen worden voorafgaand aan het overleg gepubliceerd op eur-lex.europa.eu.</w:t>
      </w:r>
      <w:r w:rsidR="21ADDAEE">
        <w:br/>
      </w:r>
      <w:r w:rsidRPr="1A738FD5">
        <w:rPr>
          <w:rFonts w:ascii="Verdana" w:hAnsi="Verdana" w:eastAsia="Verdana" w:cs="Verdana"/>
          <w:b/>
          <w:bCs/>
          <w:sz w:val="18"/>
          <w:szCs w:val="18"/>
        </w:rPr>
        <w:t xml:space="preserve">Aard bespreking: </w:t>
      </w:r>
      <w:r w:rsidRPr="1A738FD5">
        <w:rPr>
          <w:rFonts w:ascii="Verdana" w:hAnsi="Verdana" w:eastAsia="Verdana" w:cs="Verdana"/>
          <w:sz w:val="18"/>
          <w:szCs w:val="18"/>
        </w:rPr>
        <w:t>Aanname uitvoeringsbesluiten van de Raad</w:t>
      </w:r>
      <w:r w:rsidR="21ADDAEE">
        <w:br/>
      </w:r>
      <w:r w:rsidRPr="1A738FD5">
        <w:rPr>
          <w:rFonts w:ascii="Verdana" w:hAnsi="Verdana" w:eastAsia="Verdana" w:cs="Verdana"/>
          <w:b/>
          <w:bCs/>
          <w:sz w:val="18"/>
          <w:szCs w:val="18"/>
        </w:rPr>
        <w:t xml:space="preserve">Besluitvormingsprocedure: </w:t>
      </w:r>
      <w:r w:rsidRPr="1A738FD5">
        <w:rPr>
          <w:rFonts w:ascii="Verdana" w:hAnsi="Verdana" w:eastAsia="Verdana" w:cs="Verdana"/>
          <w:sz w:val="18"/>
          <w:szCs w:val="18"/>
        </w:rPr>
        <w:t>Gekwalificeerde meerderheid</w:t>
      </w:r>
      <w:r w:rsidR="21ADDAEE">
        <w:br/>
      </w:r>
      <w:r w:rsidRPr="1A738FD5">
        <w:rPr>
          <w:rFonts w:ascii="Verdana" w:hAnsi="Verdana" w:eastAsia="Verdana" w:cs="Verdana"/>
          <w:b/>
          <w:bCs/>
          <w:sz w:val="18"/>
          <w:szCs w:val="18"/>
        </w:rPr>
        <w:t>Toelichting:</w:t>
      </w:r>
      <w:r w:rsidR="21ADDAEE">
        <w:br/>
      </w:r>
      <w:r w:rsidRPr="1A738FD5">
        <w:rPr>
          <w:rFonts w:ascii="Verdana" w:hAnsi="Verdana" w:eastAsia="Verdana" w:cs="Verdana"/>
          <w:sz w:val="18"/>
          <w:szCs w:val="18"/>
        </w:rPr>
        <w:t xml:space="preserve">Tijdens de </w:t>
      </w:r>
      <w:proofErr w:type="spellStart"/>
      <w:r w:rsidRPr="1A738FD5">
        <w:rPr>
          <w:rFonts w:ascii="Verdana" w:hAnsi="Verdana" w:eastAsia="Verdana" w:cs="Verdana"/>
          <w:sz w:val="18"/>
          <w:szCs w:val="18"/>
        </w:rPr>
        <w:t>Ecofinraad</w:t>
      </w:r>
      <w:proofErr w:type="spellEnd"/>
      <w:r w:rsidRPr="1A738FD5">
        <w:rPr>
          <w:rFonts w:ascii="Verdana" w:hAnsi="Verdana" w:eastAsia="Verdana" w:cs="Verdana"/>
          <w:sz w:val="18"/>
          <w:szCs w:val="18"/>
        </w:rPr>
        <w:t xml:space="preserve"> zal worden stilgestaan bij de stand van zaken ten aanzien van de Herstel- en Veerkrachtfaciliteit (HVF). Daarnaast zal de Raad uitvoeringsbesluiten aannemen waarmee wijzigingen van de herstel- en veerkrachtplannen (HVP) die lidstaten hebben opgesteld in het kader van de </w:t>
      </w:r>
      <w:proofErr w:type="gramStart"/>
      <w:r w:rsidRPr="1A738FD5">
        <w:rPr>
          <w:rFonts w:ascii="Verdana" w:hAnsi="Verdana" w:eastAsia="Verdana" w:cs="Verdana"/>
          <w:sz w:val="18"/>
          <w:szCs w:val="18"/>
        </w:rPr>
        <w:t>HVF formeel</w:t>
      </w:r>
      <w:proofErr w:type="gramEnd"/>
      <w:r w:rsidRPr="1A738FD5">
        <w:rPr>
          <w:rFonts w:ascii="Verdana" w:hAnsi="Verdana" w:eastAsia="Verdana" w:cs="Verdana"/>
          <w:sz w:val="18"/>
          <w:szCs w:val="18"/>
        </w:rPr>
        <w:t xml:space="preserve"> worden goedgekeurd. Lidstaten kunnen, op basis van artikel 21 van de HVF-verordening, gebruik maken van de mogelijkheid om hun HVP aan te passen op grond van objectieve omstandigheden of wanneer een beter alternatief wordt voorgesteld, waarbij het oorspronkelijke ambitieniveau van de maatregel onveranderd blijft. De Commissie beoordeelt of de redenen die lidstaten aandragen een wijziging van de herstelplannen rechtvaardigen en of de herstelplannen na deze aanpassingen nog steeds voldoen aan alle eisen van de HVF-verordening.</w:t>
      </w:r>
    </w:p>
    <w:p w:rsidR="006A7989" w:rsidP="21ADDAEE" w:rsidRDefault="006A7989" w14:paraId="603B18DB" w14:textId="77777777">
      <w:pPr>
        <w:spacing w:after="0" w:line="276" w:lineRule="auto"/>
        <w:rPr>
          <w:rFonts w:ascii="Verdana" w:hAnsi="Verdana" w:eastAsia="Verdana" w:cs="Verdana"/>
          <w:sz w:val="18"/>
          <w:szCs w:val="18"/>
        </w:rPr>
      </w:pPr>
    </w:p>
    <w:p w:rsidRPr="00136ABA" w:rsidR="4DA84208" w:rsidP="3B296001" w:rsidRDefault="3B296001" w14:paraId="50441B54" w14:textId="7D19C22C">
      <w:pPr>
        <w:spacing w:after="0" w:line="276" w:lineRule="auto"/>
        <w:rPr>
          <w:rFonts w:ascii="Verdana" w:hAnsi="Verdana" w:eastAsia="Verdana" w:cs="Verdana"/>
          <w:sz w:val="18"/>
          <w:szCs w:val="18"/>
        </w:rPr>
      </w:pPr>
      <w:r w:rsidRPr="3B296001">
        <w:rPr>
          <w:rFonts w:ascii="Verdana" w:hAnsi="Verdana" w:eastAsia="Verdana" w:cs="Verdana"/>
          <w:sz w:val="18"/>
          <w:szCs w:val="18"/>
        </w:rPr>
        <w:t>Op het moment van schrijven ligt enkel de wijziging van HVP van Litouwen voor. De Commissie oordeelt dat de redenen die Litouwen voor de wijziging aandraagt, een aanpassing van het HVP rechtvaardigen en dat het plan ook na deze aanpassing voldoet aan de eisen van de HVF-verordening. Het kabinet kan zich vinden in het oordeel van de Commissie. Het kabinet is daarom voornemens om in te stemmen met het voorstel tot aanpassing van het uitvoeringsbesluit van de Raad.</w:t>
      </w:r>
    </w:p>
    <w:p w:rsidRPr="00136ABA" w:rsidR="00985BFB" w:rsidP="21ADDAEE" w:rsidRDefault="00985BFB" w14:paraId="231EFA36" w14:textId="77777777">
      <w:pPr>
        <w:spacing w:after="0" w:line="276" w:lineRule="auto"/>
        <w:rPr>
          <w:rFonts w:ascii="Verdana" w:hAnsi="Verdana"/>
          <w:sz w:val="18"/>
          <w:szCs w:val="18"/>
        </w:rPr>
      </w:pPr>
    </w:p>
    <w:p w:rsidRPr="00136ABA" w:rsidR="4DA84208" w:rsidP="1A738FD5" w:rsidRDefault="1A738FD5" w14:paraId="3BEFF9CE" w14:textId="2E029BA5">
      <w:pPr>
        <w:spacing w:after="0" w:line="276" w:lineRule="auto"/>
        <w:rPr>
          <w:rFonts w:ascii="Verdana" w:hAnsi="Verdana"/>
          <w:sz w:val="18"/>
          <w:szCs w:val="18"/>
        </w:rPr>
      </w:pPr>
      <w:r w:rsidRPr="1A738FD5">
        <w:rPr>
          <w:rFonts w:ascii="Verdana" w:hAnsi="Verdana" w:eastAsia="Verdana" w:cs="Verdana"/>
          <w:b/>
          <w:bCs/>
          <w:sz w:val="18"/>
          <w:szCs w:val="18"/>
        </w:rPr>
        <w:t xml:space="preserve">Agendaonderwerp: </w:t>
      </w:r>
      <w:r w:rsidRPr="1A738FD5">
        <w:rPr>
          <w:rFonts w:ascii="Verdana" w:hAnsi="Verdana" w:eastAsia="Verdana" w:cs="Verdana"/>
          <w:sz w:val="18"/>
          <w:szCs w:val="18"/>
        </w:rPr>
        <w:t>Europees Semester 2026: goedkeuring Eurozone aanbeveling voor 2026</w:t>
      </w:r>
      <w:r w:rsidR="21ADDAEE">
        <w:br/>
      </w:r>
      <w:r w:rsidRPr="1A738FD5">
        <w:rPr>
          <w:rFonts w:ascii="Verdana" w:hAnsi="Verdana" w:eastAsia="Verdana" w:cs="Verdana"/>
          <w:b/>
          <w:bCs/>
          <w:sz w:val="18"/>
          <w:szCs w:val="18"/>
        </w:rPr>
        <w:t xml:space="preserve">Document: </w:t>
      </w:r>
      <w:r w:rsidRPr="1A738FD5">
        <w:rPr>
          <w:rFonts w:ascii="Verdana" w:hAnsi="Verdana" w:eastAsia="Verdana" w:cs="Verdana"/>
          <w:sz w:val="18"/>
          <w:szCs w:val="18"/>
        </w:rPr>
        <w:t xml:space="preserve">Laatste versie van het document is nog niet beschikbaar. Het document wordt later op het </w:t>
      </w:r>
      <w:proofErr w:type="spellStart"/>
      <w:r w:rsidRPr="1A738FD5">
        <w:rPr>
          <w:rFonts w:ascii="Verdana" w:hAnsi="Verdana" w:eastAsia="Verdana" w:cs="Verdana"/>
          <w:sz w:val="18"/>
          <w:szCs w:val="18"/>
        </w:rPr>
        <w:t>Delegates</w:t>
      </w:r>
      <w:proofErr w:type="spellEnd"/>
      <w:r w:rsidRPr="1A738FD5">
        <w:rPr>
          <w:rFonts w:ascii="Verdana" w:hAnsi="Verdana" w:eastAsia="Verdana" w:cs="Verdana"/>
          <w:sz w:val="18"/>
          <w:szCs w:val="18"/>
        </w:rPr>
        <w:t xml:space="preserve"> Portal geplaatst onder de titel ‘</w:t>
      </w:r>
      <w:r w:rsidRPr="1A738FD5">
        <w:rPr>
          <w:rFonts w:ascii="Verdana" w:hAnsi="Verdana" w:eastAsia="Verdana" w:cs="Verdana"/>
          <w:i/>
          <w:iCs/>
          <w:sz w:val="18"/>
          <w:szCs w:val="18"/>
        </w:rPr>
        <w:t xml:space="preserve">Council </w:t>
      </w:r>
      <w:proofErr w:type="spellStart"/>
      <w:r w:rsidRPr="1A738FD5">
        <w:rPr>
          <w:rFonts w:ascii="Verdana" w:hAnsi="Verdana" w:eastAsia="Verdana" w:cs="Verdana"/>
          <w:i/>
          <w:iCs/>
          <w:sz w:val="18"/>
          <w:szCs w:val="18"/>
        </w:rPr>
        <w:t>recommendation</w:t>
      </w:r>
      <w:proofErr w:type="spellEnd"/>
      <w:r w:rsidRPr="1A738FD5">
        <w:rPr>
          <w:rFonts w:ascii="Verdana" w:hAnsi="Verdana" w:eastAsia="Verdana" w:cs="Verdana"/>
          <w:i/>
          <w:iCs/>
          <w:sz w:val="18"/>
          <w:szCs w:val="18"/>
        </w:rPr>
        <w:t xml:space="preserve"> on </w:t>
      </w:r>
      <w:proofErr w:type="spellStart"/>
      <w:r w:rsidRPr="1A738FD5">
        <w:rPr>
          <w:rFonts w:ascii="Verdana" w:hAnsi="Verdana" w:eastAsia="Verdana" w:cs="Verdana"/>
          <w:i/>
          <w:iCs/>
          <w:sz w:val="18"/>
          <w:szCs w:val="18"/>
        </w:rPr>
        <w:t>the</w:t>
      </w:r>
      <w:proofErr w:type="spellEnd"/>
      <w:r w:rsidRPr="1A738FD5">
        <w:rPr>
          <w:rFonts w:ascii="Verdana" w:hAnsi="Verdana" w:eastAsia="Verdana" w:cs="Verdana"/>
          <w:i/>
          <w:iCs/>
          <w:sz w:val="18"/>
          <w:szCs w:val="18"/>
        </w:rPr>
        <w:t xml:space="preserve"> </w:t>
      </w:r>
      <w:proofErr w:type="spellStart"/>
      <w:r w:rsidRPr="1A738FD5">
        <w:rPr>
          <w:rFonts w:ascii="Verdana" w:hAnsi="Verdana" w:eastAsia="Verdana" w:cs="Verdana"/>
          <w:i/>
          <w:iCs/>
          <w:sz w:val="18"/>
          <w:szCs w:val="18"/>
        </w:rPr>
        <w:t>economic</w:t>
      </w:r>
      <w:proofErr w:type="spellEnd"/>
      <w:r w:rsidRPr="1A738FD5">
        <w:rPr>
          <w:rFonts w:ascii="Verdana" w:hAnsi="Verdana" w:eastAsia="Verdana" w:cs="Verdana"/>
          <w:i/>
          <w:iCs/>
          <w:sz w:val="18"/>
          <w:szCs w:val="18"/>
        </w:rPr>
        <w:t xml:space="preserve"> policy of </w:t>
      </w:r>
      <w:proofErr w:type="spellStart"/>
      <w:r w:rsidRPr="1A738FD5">
        <w:rPr>
          <w:rFonts w:ascii="Verdana" w:hAnsi="Verdana" w:eastAsia="Verdana" w:cs="Verdana"/>
          <w:i/>
          <w:iCs/>
          <w:sz w:val="18"/>
          <w:szCs w:val="18"/>
        </w:rPr>
        <w:t>the</w:t>
      </w:r>
      <w:proofErr w:type="spellEnd"/>
      <w:r w:rsidRPr="1A738FD5">
        <w:rPr>
          <w:rFonts w:ascii="Verdana" w:hAnsi="Verdana" w:eastAsia="Verdana" w:cs="Verdana"/>
          <w:i/>
          <w:iCs/>
          <w:sz w:val="18"/>
          <w:szCs w:val="18"/>
        </w:rPr>
        <w:t xml:space="preserve"> euro area’</w:t>
      </w:r>
      <w:r w:rsidRPr="1A738FD5">
        <w:rPr>
          <w:rFonts w:ascii="Verdana" w:hAnsi="Verdana" w:eastAsia="Verdana" w:cs="Verdana"/>
          <w:sz w:val="18"/>
          <w:szCs w:val="18"/>
        </w:rPr>
        <w:t xml:space="preserve">. </w:t>
      </w:r>
      <w:r w:rsidR="21ADDAEE">
        <w:br/>
      </w:r>
      <w:r w:rsidRPr="1A738FD5">
        <w:rPr>
          <w:rFonts w:ascii="Verdana" w:hAnsi="Verdana" w:eastAsia="Verdana" w:cs="Verdana"/>
          <w:b/>
          <w:bCs/>
          <w:sz w:val="18"/>
          <w:szCs w:val="18"/>
        </w:rPr>
        <w:t xml:space="preserve">Aard bespreking: </w:t>
      </w:r>
      <w:r w:rsidRPr="1A738FD5">
        <w:rPr>
          <w:rFonts w:ascii="Verdana" w:hAnsi="Verdana" w:eastAsia="Verdana" w:cs="Verdana"/>
          <w:sz w:val="18"/>
          <w:szCs w:val="18"/>
        </w:rPr>
        <w:t>Bespreking ten behoeve van goedkeuring door de Raad.</w:t>
      </w:r>
      <w:r w:rsidR="21ADDAEE">
        <w:br/>
      </w:r>
      <w:r w:rsidRPr="1A738FD5">
        <w:rPr>
          <w:rFonts w:ascii="Verdana" w:hAnsi="Verdana" w:eastAsia="Verdana" w:cs="Verdana"/>
          <w:b/>
          <w:bCs/>
          <w:sz w:val="18"/>
          <w:szCs w:val="18"/>
        </w:rPr>
        <w:t xml:space="preserve">Besluitvormingsprocedure: </w:t>
      </w:r>
      <w:r w:rsidRPr="1A738FD5">
        <w:rPr>
          <w:rFonts w:ascii="Verdana" w:hAnsi="Verdana" w:eastAsia="Verdana" w:cs="Verdana"/>
          <w:sz w:val="18"/>
          <w:szCs w:val="18"/>
        </w:rPr>
        <w:t>N.v.t.</w:t>
      </w:r>
      <w:r w:rsidR="21ADDAEE">
        <w:br/>
      </w:r>
      <w:r w:rsidRPr="1A738FD5">
        <w:rPr>
          <w:rFonts w:ascii="Verdana" w:hAnsi="Verdana" w:eastAsia="Verdana" w:cs="Verdana"/>
          <w:b/>
          <w:bCs/>
          <w:sz w:val="18"/>
          <w:szCs w:val="18"/>
        </w:rPr>
        <w:t>Toelichting:</w:t>
      </w:r>
      <w:r w:rsidR="21ADDAEE">
        <w:br/>
      </w:r>
      <w:r w:rsidRPr="1A738FD5">
        <w:rPr>
          <w:rFonts w:ascii="Verdana" w:hAnsi="Verdana" w:eastAsia="Verdana" w:cs="Verdana"/>
          <w:sz w:val="18"/>
          <w:szCs w:val="18"/>
        </w:rPr>
        <w:t>De Commissie heeft op 25 november 2025 het herfstpakket in het kader van het Europees Semester gepubliceerd. Onderdeel van dit pakket is de door de Commissie voorgestelde ontwerpaanbeveling voor het economisch beleid in de eurozone 2026 (</w:t>
      </w:r>
      <w:r w:rsidRPr="1A738FD5">
        <w:rPr>
          <w:rFonts w:ascii="Verdana" w:hAnsi="Verdana" w:eastAsia="Verdana" w:cs="Verdana"/>
          <w:i/>
          <w:iCs/>
          <w:sz w:val="18"/>
          <w:szCs w:val="18"/>
        </w:rPr>
        <w:t xml:space="preserve">Euro Area </w:t>
      </w:r>
      <w:proofErr w:type="spellStart"/>
      <w:r w:rsidRPr="1A738FD5">
        <w:rPr>
          <w:rFonts w:ascii="Verdana" w:hAnsi="Verdana" w:eastAsia="Verdana" w:cs="Verdana"/>
          <w:i/>
          <w:iCs/>
          <w:sz w:val="18"/>
          <w:szCs w:val="18"/>
        </w:rPr>
        <w:t>Recommendation</w:t>
      </w:r>
      <w:proofErr w:type="spellEnd"/>
      <w:r w:rsidRPr="1A738FD5">
        <w:rPr>
          <w:rFonts w:ascii="Verdana" w:hAnsi="Verdana" w:eastAsia="Verdana" w:cs="Verdana"/>
          <w:sz w:val="18"/>
          <w:szCs w:val="18"/>
        </w:rPr>
        <w:t xml:space="preserve">, EAR). In de EAR worden de gezamenlijke (beleids-)uitdagingen voor het eurogebied voor 2026 en 2027 geïdentificeerd. </w:t>
      </w:r>
      <w:bookmarkStart w:name="_Hlk220659001" w:id="4"/>
      <w:bookmarkEnd w:id="4"/>
    </w:p>
    <w:p w:rsidRPr="00136ABA" w:rsidR="00E3525C" w:rsidP="4DA84208" w:rsidRDefault="00E3525C" w14:paraId="3CF7745F" w14:textId="77777777">
      <w:pPr>
        <w:spacing w:after="0" w:line="276" w:lineRule="auto"/>
        <w:rPr>
          <w:rFonts w:ascii="Verdana" w:hAnsi="Verdana" w:eastAsia="Verdana" w:cs="Verdana"/>
          <w:sz w:val="18"/>
          <w:szCs w:val="18"/>
        </w:rPr>
      </w:pPr>
    </w:p>
    <w:p w:rsidRPr="00136ABA" w:rsidR="4DA84208" w:rsidP="1A738FD5" w:rsidRDefault="21ADDAEE" w14:paraId="4B15B490" w14:textId="59FC3E86">
      <w:pPr>
        <w:spacing w:after="0" w:line="276" w:lineRule="auto"/>
        <w:rPr>
          <w:rFonts w:ascii="Verdana" w:hAnsi="Verdana"/>
          <w:sz w:val="18"/>
          <w:szCs w:val="18"/>
        </w:rPr>
      </w:pPr>
      <w:r w:rsidRPr="00136ABA">
        <w:rPr>
          <w:rFonts w:ascii="Verdana" w:hAnsi="Verdana" w:eastAsia="Verdana" w:cs="Verdana"/>
          <w:sz w:val="18"/>
          <w:szCs w:val="18"/>
        </w:rPr>
        <w:t xml:space="preserve">Een kabinetsappreciatie van de EAR is opgenomen in de geannoteerde agenda van de Eurogroep en </w:t>
      </w:r>
      <w:proofErr w:type="spellStart"/>
      <w:r w:rsidRPr="00136ABA">
        <w:rPr>
          <w:rFonts w:ascii="Verdana" w:hAnsi="Verdana" w:eastAsia="Verdana" w:cs="Verdana"/>
          <w:sz w:val="18"/>
          <w:szCs w:val="18"/>
        </w:rPr>
        <w:t>Ecofinraad</w:t>
      </w:r>
      <w:proofErr w:type="spellEnd"/>
      <w:r w:rsidRPr="00136ABA">
        <w:rPr>
          <w:rFonts w:ascii="Verdana" w:hAnsi="Verdana" w:eastAsia="Verdana" w:cs="Verdana"/>
          <w:sz w:val="18"/>
          <w:szCs w:val="18"/>
        </w:rPr>
        <w:t xml:space="preserve"> van januari 2026</w:t>
      </w:r>
      <w:r w:rsidRPr="00136ABA" w:rsidR="00586BC7">
        <w:rPr>
          <w:rStyle w:val="Voetnootmarkering"/>
          <w:rFonts w:ascii="Verdana" w:hAnsi="Verdana" w:eastAsia="Verdana" w:cs="Verdana"/>
          <w:sz w:val="18"/>
          <w:szCs w:val="18"/>
        </w:rPr>
        <w:footnoteReference w:id="13"/>
      </w:r>
      <w:r w:rsidRPr="00136ABA">
        <w:rPr>
          <w:rFonts w:ascii="Verdana" w:hAnsi="Verdana" w:eastAsia="Verdana" w:cs="Verdana"/>
          <w:sz w:val="18"/>
          <w:szCs w:val="18"/>
        </w:rPr>
        <w:t xml:space="preserve">. In de </w:t>
      </w:r>
      <w:proofErr w:type="spellStart"/>
      <w:r w:rsidRPr="00136ABA">
        <w:rPr>
          <w:rFonts w:ascii="Verdana" w:hAnsi="Verdana" w:eastAsia="Verdana" w:cs="Verdana"/>
          <w:sz w:val="18"/>
          <w:szCs w:val="18"/>
        </w:rPr>
        <w:t>Ecofinraad</w:t>
      </w:r>
      <w:proofErr w:type="spellEnd"/>
      <w:r w:rsidRPr="00136ABA">
        <w:rPr>
          <w:rFonts w:ascii="Verdana" w:hAnsi="Verdana" w:eastAsia="Verdana" w:cs="Verdana"/>
          <w:sz w:val="18"/>
          <w:szCs w:val="18"/>
        </w:rPr>
        <w:t xml:space="preserve"> ligt de EAR ter goedkeuring voor. De EAR wordt de dag voor de </w:t>
      </w:r>
      <w:proofErr w:type="spellStart"/>
      <w:r w:rsidRPr="00136ABA">
        <w:rPr>
          <w:rFonts w:ascii="Verdana" w:hAnsi="Verdana" w:eastAsia="Verdana" w:cs="Verdana"/>
          <w:sz w:val="18"/>
          <w:szCs w:val="18"/>
        </w:rPr>
        <w:t>Ecofinraad</w:t>
      </w:r>
      <w:proofErr w:type="spellEnd"/>
      <w:r w:rsidRPr="00136ABA">
        <w:rPr>
          <w:rFonts w:ascii="Verdana" w:hAnsi="Verdana" w:eastAsia="Verdana" w:cs="Verdana"/>
          <w:sz w:val="18"/>
          <w:szCs w:val="18"/>
        </w:rPr>
        <w:t xml:space="preserve"> in de Eurogroep besproken. De annotatie van de EAR kan bij dit agendapunt in de geannoteerde agenda gevonden worden. </w:t>
      </w:r>
    </w:p>
    <w:p w:rsidRPr="00136ABA" w:rsidR="00E3525C" w:rsidP="4DA84208" w:rsidRDefault="00E3525C" w14:paraId="341D236A" w14:textId="77777777">
      <w:pPr>
        <w:spacing w:after="0" w:line="276" w:lineRule="auto"/>
        <w:rPr>
          <w:rFonts w:ascii="Verdana" w:hAnsi="Verdana" w:eastAsia="Verdana" w:cs="Verdana"/>
          <w:sz w:val="18"/>
          <w:szCs w:val="18"/>
        </w:rPr>
      </w:pPr>
    </w:p>
    <w:p w:rsidRPr="00136ABA" w:rsidR="4DA84208" w:rsidP="1A738FD5" w:rsidRDefault="1A738FD5" w14:paraId="64483FBE" w14:textId="7E826D72">
      <w:pPr>
        <w:spacing w:after="0" w:line="276" w:lineRule="auto"/>
        <w:rPr>
          <w:rFonts w:ascii="Verdana" w:hAnsi="Verdana"/>
          <w:sz w:val="18"/>
          <w:szCs w:val="18"/>
        </w:rPr>
      </w:pPr>
      <w:r w:rsidRPr="1A738FD5">
        <w:rPr>
          <w:rFonts w:ascii="Verdana" w:hAnsi="Verdana" w:eastAsia="Verdana" w:cs="Verdana"/>
          <w:sz w:val="18"/>
          <w:szCs w:val="18"/>
        </w:rPr>
        <w:t xml:space="preserve">Het kabinet is voornemens om in te stemmen met de EAR. De werkgelegenheids- en sociale aspecten van de EAR worden in de Raad Werkgelegenheid en Sociaal Beleid van maart 2026 besproken en goedgekeurd. Hierna zal de Europese Raad de EAR in maart bekrachtigen, waarna de </w:t>
      </w:r>
      <w:proofErr w:type="spellStart"/>
      <w:r w:rsidRPr="1A738FD5">
        <w:rPr>
          <w:rFonts w:ascii="Verdana" w:hAnsi="Verdana" w:eastAsia="Verdana" w:cs="Verdana"/>
          <w:sz w:val="18"/>
          <w:szCs w:val="18"/>
        </w:rPr>
        <w:t>Ecofinraad</w:t>
      </w:r>
      <w:proofErr w:type="spellEnd"/>
      <w:r w:rsidRPr="1A738FD5">
        <w:rPr>
          <w:rFonts w:ascii="Verdana" w:hAnsi="Verdana" w:eastAsia="Verdana" w:cs="Verdana"/>
          <w:sz w:val="18"/>
          <w:szCs w:val="18"/>
        </w:rPr>
        <w:t xml:space="preserve"> de aanbevelingen in april formeel aanneemt.</w:t>
      </w:r>
    </w:p>
    <w:p w:rsidRPr="00136ABA" w:rsidR="4DA84208" w:rsidP="4DA84208" w:rsidRDefault="4DA84208" w14:paraId="737B0771" w14:textId="0FBF4422">
      <w:pPr>
        <w:spacing w:after="0" w:line="276" w:lineRule="auto"/>
        <w:rPr>
          <w:rFonts w:ascii="Verdana" w:hAnsi="Verdana"/>
          <w:sz w:val="18"/>
          <w:szCs w:val="18"/>
        </w:rPr>
      </w:pPr>
    </w:p>
    <w:p w:rsidRPr="00136ABA" w:rsidR="4DA84208" w:rsidP="3B296001" w:rsidRDefault="3B296001" w14:paraId="1356B7D1" w14:textId="2F9EF22B">
      <w:pPr>
        <w:spacing w:after="0" w:line="276" w:lineRule="auto"/>
        <w:rPr>
          <w:rFonts w:ascii="Verdana" w:hAnsi="Verdana" w:eastAsia="Verdana" w:cs="Verdana"/>
          <w:sz w:val="18"/>
          <w:szCs w:val="18"/>
        </w:rPr>
      </w:pPr>
      <w:r w:rsidRPr="3B296001">
        <w:rPr>
          <w:rFonts w:ascii="Verdana" w:hAnsi="Verdana" w:eastAsia="Verdana" w:cs="Verdana"/>
          <w:b/>
          <w:bCs/>
          <w:sz w:val="18"/>
          <w:szCs w:val="18"/>
        </w:rPr>
        <w:t xml:space="preserve">Agendaonderwerp: </w:t>
      </w:r>
      <w:r w:rsidRPr="3B296001">
        <w:rPr>
          <w:rFonts w:ascii="Verdana" w:hAnsi="Verdana" w:eastAsia="Verdana" w:cs="Verdana"/>
          <w:sz w:val="18"/>
          <w:szCs w:val="18"/>
        </w:rPr>
        <w:t>Implementatie van het Europees begrotingsraamwerk: defensiefinanciering</w:t>
      </w:r>
      <w:r w:rsidR="21ADDAEE">
        <w:br/>
      </w:r>
      <w:r w:rsidRPr="3B296001">
        <w:rPr>
          <w:rFonts w:ascii="Verdana" w:hAnsi="Verdana" w:eastAsia="Verdana" w:cs="Verdana"/>
          <w:b/>
          <w:bCs/>
          <w:sz w:val="18"/>
          <w:szCs w:val="18"/>
        </w:rPr>
        <w:t xml:space="preserve">Document: </w:t>
      </w:r>
      <w:r w:rsidRPr="3B296001">
        <w:rPr>
          <w:rFonts w:ascii="Verdana" w:hAnsi="Verdana" w:eastAsia="Verdana" w:cs="Verdana"/>
          <w:sz w:val="18"/>
          <w:szCs w:val="18"/>
        </w:rPr>
        <w:t>Raadsaanbeveling voor activatie van de nationale ontsnappingsclausule voor Oostenrijk</w:t>
      </w:r>
    </w:p>
    <w:p w:rsidRPr="00136ABA" w:rsidR="4DA84208" w:rsidP="3B296001" w:rsidRDefault="3B296001" w14:paraId="337056BF" w14:textId="6BF43B00">
      <w:pPr>
        <w:spacing w:after="0" w:line="276" w:lineRule="auto"/>
        <w:rPr>
          <w:rFonts w:ascii="Verdana" w:hAnsi="Verdana" w:eastAsia="Verdana" w:cs="Verdana"/>
          <w:b/>
          <w:bCs/>
          <w:sz w:val="18"/>
          <w:szCs w:val="18"/>
        </w:rPr>
      </w:pPr>
      <w:r w:rsidRPr="3B296001">
        <w:rPr>
          <w:rFonts w:ascii="Verdana" w:hAnsi="Verdana" w:eastAsia="Verdana" w:cs="Verdana"/>
          <w:b/>
          <w:bCs/>
          <w:sz w:val="18"/>
          <w:szCs w:val="18"/>
        </w:rPr>
        <w:t xml:space="preserve">Aard bespreking: </w:t>
      </w:r>
      <w:r w:rsidRPr="3B296001">
        <w:rPr>
          <w:rFonts w:ascii="Verdana" w:hAnsi="Verdana" w:eastAsia="Verdana" w:cs="Verdana"/>
          <w:sz w:val="18"/>
          <w:szCs w:val="18"/>
        </w:rPr>
        <w:t>Besluitvorming</w:t>
      </w:r>
    </w:p>
    <w:p w:rsidRPr="00136ABA" w:rsidR="4DA84208" w:rsidP="3B296001" w:rsidRDefault="3B296001" w14:paraId="2A6103B8" w14:textId="0BF042BB">
      <w:pPr>
        <w:spacing w:after="0" w:line="276" w:lineRule="auto"/>
        <w:rPr>
          <w:rFonts w:ascii="Verdana" w:hAnsi="Verdana" w:eastAsia="Verdana" w:cs="Verdana"/>
          <w:sz w:val="18"/>
          <w:szCs w:val="18"/>
        </w:rPr>
      </w:pPr>
      <w:r w:rsidRPr="3B296001">
        <w:rPr>
          <w:rFonts w:ascii="Verdana" w:hAnsi="Verdana" w:eastAsia="Verdana" w:cs="Verdana"/>
          <w:b/>
          <w:bCs/>
          <w:sz w:val="18"/>
          <w:szCs w:val="18"/>
        </w:rPr>
        <w:t xml:space="preserve">Besluitvormingsprocedure: </w:t>
      </w:r>
      <w:r w:rsidRPr="3B296001">
        <w:rPr>
          <w:rFonts w:ascii="Verdana" w:hAnsi="Verdana" w:eastAsia="Verdana" w:cs="Verdana"/>
          <w:sz w:val="18"/>
          <w:szCs w:val="18"/>
        </w:rPr>
        <w:t>Gekwalificeerde meerderheid</w:t>
      </w:r>
    </w:p>
    <w:p w:rsidRPr="00136ABA" w:rsidR="4DA84208" w:rsidP="3B296001" w:rsidRDefault="3B296001" w14:paraId="5CDF4F87" w14:textId="77777777">
      <w:pPr>
        <w:spacing w:after="0" w:line="276" w:lineRule="auto"/>
        <w:rPr>
          <w:rFonts w:ascii="Verdana" w:hAnsi="Verdana" w:eastAsia="Verdana" w:cs="Verdana"/>
          <w:b/>
          <w:bCs/>
          <w:sz w:val="18"/>
          <w:szCs w:val="18"/>
        </w:rPr>
      </w:pPr>
      <w:r w:rsidRPr="3B296001">
        <w:rPr>
          <w:rFonts w:ascii="Verdana" w:hAnsi="Verdana" w:eastAsia="Verdana" w:cs="Verdana"/>
          <w:b/>
          <w:bCs/>
          <w:sz w:val="18"/>
          <w:szCs w:val="18"/>
        </w:rPr>
        <w:t xml:space="preserve">Toelichting: </w:t>
      </w:r>
    </w:p>
    <w:p w:rsidRPr="00136ABA" w:rsidR="004C44A2" w:rsidP="1A738FD5" w:rsidRDefault="004C44A2" w14:paraId="65562D45" w14:textId="3A321F78">
      <w:pPr>
        <w:contextualSpacing/>
        <w:rPr>
          <w:rFonts w:ascii="Verdana" w:hAnsi="Verdana" w:eastAsia="Aptos" w:cs="Times New Roman"/>
          <w:sz w:val="18"/>
          <w:szCs w:val="18"/>
        </w:rPr>
      </w:pPr>
      <w:r w:rsidRPr="00136ABA">
        <w:rPr>
          <w:rFonts w:ascii="Verdana" w:hAnsi="Verdana" w:eastAsia="Aptos" w:cs="Times New Roman"/>
          <w:kern w:val="2"/>
          <w:sz w:val="18"/>
          <w:szCs w:val="18"/>
          <w14:ligatures w14:val="standardContextual"/>
        </w:rPr>
        <w:lastRenderedPageBreak/>
        <w:t xml:space="preserve">Zoals o.a. toegelicht in de nazending van de Geannoteerde Agenda van de Eurogroep en </w:t>
      </w:r>
      <w:proofErr w:type="spellStart"/>
      <w:r w:rsidRPr="00136ABA">
        <w:rPr>
          <w:rFonts w:ascii="Verdana" w:hAnsi="Verdana" w:eastAsia="Aptos" w:cs="Times New Roman"/>
          <w:kern w:val="2"/>
          <w:sz w:val="18"/>
          <w:szCs w:val="18"/>
          <w14:ligatures w14:val="standardContextual"/>
        </w:rPr>
        <w:t>Ecofinraad</w:t>
      </w:r>
      <w:proofErr w:type="spellEnd"/>
      <w:r w:rsidRPr="00136ABA">
        <w:rPr>
          <w:rFonts w:ascii="Verdana" w:hAnsi="Verdana" w:eastAsia="Aptos" w:cs="Times New Roman"/>
          <w:kern w:val="2"/>
          <w:sz w:val="18"/>
          <w:szCs w:val="18"/>
          <w14:ligatures w14:val="standardContextual"/>
        </w:rPr>
        <w:t xml:space="preserve"> van juni 2025</w:t>
      </w:r>
      <w:r w:rsidRPr="00136ABA">
        <w:rPr>
          <w:rFonts w:ascii="Verdana" w:hAnsi="Verdana" w:eastAsia="Aptos" w:cs="Times New Roman"/>
          <w:kern w:val="2"/>
          <w:sz w:val="18"/>
          <w:szCs w:val="18"/>
          <w:vertAlign w:val="superscript"/>
          <w14:ligatures w14:val="standardContextual"/>
        </w:rPr>
        <w:footnoteReference w:id="14"/>
      </w:r>
      <w:r w:rsidRPr="00136ABA">
        <w:rPr>
          <w:rFonts w:ascii="Verdana" w:hAnsi="Verdana" w:eastAsia="Aptos" w:cs="Times New Roman"/>
          <w:kern w:val="2"/>
          <w:sz w:val="18"/>
          <w:szCs w:val="18"/>
          <w14:ligatures w14:val="standardContextual"/>
        </w:rPr>
        <w:t xml:space="preserve"> heeft de Commissie op 19 maart 2025 voorgesteld om de nationale ontsnappingsclausule binnen de Europese begrotingsregels tijdelijk en gericht te activeren, met als doel om nationale defensie-uitgaven op korte termijn te verhogen. De clausule kan op verzoek van een lidstaat worden ingezet onder drie voorwaarden: (i) uitzonderlijke omstandigheden buiten de controle van de lidstaat, (ii) substantiële impact op overheidsfinanciën, en (iii) behoud van schuldhoudbaarheid op de middellange termijn. De Commissie heeft voorgesteld de clausule voor vier jaar te activeren. Lidstaten mogen in die periode afwijken van het door de Raad vastgestelde (correctieve) </w:t>
      </w:r>
      <w:proofErr w:type="spellStart"/>
      <w:r w:rsidRPr="00136ABA">
        <w:rPr>
          <w:rFonts w:ascii="Verdana" w:hAnsi="Verdana" w:eastAsia="Aptos" w:cs="Times New Roman"/>
          <w:kern w:val="2"/>
          <w:sz w:val="18"/>
          <w:szCs w:val="18"/>
          <w14:ligatures w14:val="standardContextual"/>
        </w:rPr>
        <w:t>uitgavenpad</w:t>
      </w:r>
      <w:proofErr w:type="spellEnd"/>
      <w:r w:rsidRPr="00136ABA">
        <w:rPr>
          <w:rFonts w:ascii="Verdana" w:hAnsi="Verdana" w:eastAsia="Aptos" w:cs="Times New Roman"/>
          <w:kern w:val="2"/>
          <w:sz w:val="18"/>
          <w:szCs w:val="18"/>
          <w14:ligatures w14:val="standardContextual"/>
        </w:rPr>
        <w:t xml:space="preserve"> wanneer dit het gevolg is van een toename van defensie-uitgaven t.o.v. 2021, tot een maximum van 1,5% bbp. Lidstaten mogen op ieder moment een aanvraag voor activatie indienen. Zie voor een nadere toelichting de Kamerbrief over de nationale ontsnappingsclausule van 28 maart 2025.</w:t>
      </w:r>
      <w:r w:rsidRPr="00136ABA">
        <w:rPr>
          <w:rFonts w:ascii="Verdana" w:hAnsi="Verdana" w:eastAsia="Aptos" w:cs="Times New Roman"/>
          <w:kern w:val="2"/>
          <w:sz w:val="18"/>
          <w:szCs w:val="18"/>
          <w:vertAlign w:val="superscript"/>
          <w14:ligatures w14:val="standardContextual"/>
        </w:rPr>
        <w:footnoteReference w:id="15"/>
      </w:r>
      <w:r w:rsidRPr="00136ABA">
        <w:rPr>
          <w:rFonts w:ascii="Verdana" w:hAnsi="Verdana" w:eastAsia="Aptos" w:cs="Times New Roman"/>
          <w:kern w:val="2"/>
          <w:sz w:val="18"/>
          <w:szCs w:val="18"/>
          <w14:ligatures w14:val="standardContextual"/>
        </w:rPr>
        <w:t xml:space="preserve"> </w:t>
      </w:r>
    </w:p>
    <w:p w:rsidRPr="00136ABA" w:rsidR="004C44A2" w:rsidP="004C44A2" w:rsidRDefault="004C44A2" w14:paraId="36139DD6" w14:textId="77777777">
      <w:pPr>
        <w:contextualSpacing/>
        <w:rPr>
          <w:rFonts w:ascii="Verdana" w:hAnsi="Verdana" w:eastAsia="Aptos" w:cs="Times New Roman"/>
          <w:kern w:val="2"/>
          <w:sz w:val="18"/>
          <w:szCs w:val="18"/>
          <w14:ligatures w14:val="standardContextual"/>
        </w:rPr>
      </w:pPr>
    </w:p>
    <w:p w:rsidRPr="00136ABA" w:rsidR="004C44A2" w:rsidP="1A738FD5" w:rsidRDefault="004C44A2" w14:paraId="299AF88E" w14:textId="7C60F4F6">
      <w:pPr>
        <w:contextualSpacing/>
        <w:rPr>
          <w:rFonts w:ascii="Verdana" w:hAnsi="Verdana" w:eastAsia="Aptos" w:cs="Times New Roman"/>
          <w:sz w:val="18"/>
          <w:szCs w:val="18"/>
        </w:rPr>
      </w:pPr>
      <w:r w:rsidRPr="00136ABA">
        <w:rPr>
          <w:rFonts w:ascii="Verdana" w:hAnsi="Verdana" w:eastAsia="Aptos" w:cs="Times New Roman"/>
          <w:kern w:val="2"/>
          <w:sz w:val="18"/>
          <w:szCs w:val="18"/>
          <w14:ligatures w14:val="standardContextual"/>
        </w:rPr>
        <w:t>Oostenrijk heeft in december 2025 een aanvraag ingediend om de nationale ontsnappingsclausule te activeren. Dat maakt dat in totaal zeventien lidstaten een aanvraag hebben ingediend voor activatie van de nationale ontsnappingsclausule</w:t>
      </w:r>
      <w:r w:rsidR="006A7989">
        <w:rPr>
          <w:rFonts w:ascii="Verdana" w:hAnsi="Verdana" w:eastAsia="Aptos" w:cs="Times New Roman"/>
          <w:kern w:val="2"/>
          <w:sz w:val="18"/>
          <w:szCs w:val="18"/>
          <w14:ligatures w14:val="standardContextual"/>
        </w:rPr>
        <w:t xml:space="preserve">: </w:t>
      </w:r>
      <w:r w:rsidRPr="00136ABA">
        <w:rPr>
          <w:rFonts w:ascii="Verdana" w:hAnsi="Verdana" w:eastAsia="Aptos" w:cs="Times New Roman"/>
          <w:kern w:val="2"/>
          <w:sz w:val="18"/>
          <w:szCs w:val="18"/>
          <w14:ligatures w14:val="standardContextual"/>
        </w:rPr>
        <w:t xml:space="preserve">België, Bulgarije, Denemarken, Duitsland, Estland, Finland, Griekenland, Kroatië, Letland, Litouwen, Hongarije, Oostenrijk, Polen, Portugal, Slovenië, Slowakije en Tsjechië. In de </w:t>
      </w:r>
      <w:proofErr w:type="spellStart"/>
      <w:r w:rsidRPr="00136ABA">
        <w:rPr>
          <w:rFonts w:ascii="Verdana" w:hAnsi="Verdana" w:eastAsia="Aptos" w:cs="Times New Roman"/>
          <w:kern w:val="2"/>
          <w:sz w:val="18"/>
          <w:szCs w:val="18"/>
          <w14:ligatures w14:val="standardContextual"/>
        </w:rPr>
        <w:t>Ecofinraad</w:t>
      </w:r>
      <w:proofErr w:type="spellEnd"/>
      <w:r w:rsidRPr="00136ABA">
        <w:rPr>
          <w:rFonts w:ascii="Verdana" w:hAnsi="Verdana" w:eastAsia="Aptos" w:cs="Times New Roman"/>
          <w:kern w:val="2"/>
          <w:sz w:val="18"/>
          <w:szCs w:val="18"/>
          <w14:ligatures w14:val="standardContextual"/>
        </w:rPr>
        <w:t xml:space="preserve"> van juli en oktober 2025 zijn de Raadsaanbevelingen voor de andere zestien lidstaten </w:t>
      </w:r>
      <w:proofErr w:type="gramStart"/>
      <w:r w:rsidRPr="00136ABA">
        <w:rPr>
          <w:rFonts w:ascii="Verdana" w:hAnsi="Verdana" w:eastAsia="Aptos" w:cs="Times New Roman"/>
          <w:kern w:val="2"/>
          <w:sz w:val="18"/>
          <w:szCs w:val="18"/>
          <w14:ligatures w14:val="standardContextual"/>
        </w:rPr>
        <w:t>reeds</w:t>
      </w:r>
      <w:proofErr w:type="gramEnd"/>
      <w:r w:rsidRPr="00136ABA">
        <w:rPr>
          <w:rFonts w:ascii="Verdana" w:hAnsi="Verdana" w:eastAsia="Aptos" w:cs="Times New Roman"/>
          <w:kern w:val="2"/>
          <w:sz w:val="18"/>
          <w:szCs w:val="18"/>
          <w14:ligatures w14:val="standardContextual"/>
        </w:rPr>
        <w:t xml:space="preserve"> goedgekeurd. Alleen de aanvraag van Oostenrijk behoeft nog goedkeuring door de Raad en dat ligt deze </w:t>
      </w:r>
      <w:proofErr w:type="spellStart"/>
      <w:r w:rsidRPr="00136ABA">
        <w:rPr>
          <w:rFonts w:ascii="Verdana" w:hAnsi="Verdana" w:eastAsia="Aptos" w:cs="Times New Roman"/>
          <w:kern w:val="2"/>
          <w:sz w:val="18"/>
          <w:szCs w:val="18"/>
          <w14:ligatures w14:val="standardContextual"/>
        </w:rPr>
        <w:t>Ecofinraad</w:t>
      </w:r>
      <w:proofErr w:type="spellEnd"/>
      <w:r w:rsidRPr="00136ABA">
        <w:rPr>
          <w:rFonts w:ascii="Verdana" w:hAnsi="Verdana" w:eastAsia="Aptos" w:cs="Times New Roman"/>
          <w:kern w:val="2"/>
          <w:sz w:val="18"/>
          <w:szCs w:val="18"/>
          <w14:ligatures w14:val="standardContextual"/>
        </w:rPr>
        <w:t xml:space="preserve"> voor.  </w:t>
      </w:r>
    </w:p>
    <w:p w:rsidRPr="00136ABA" w:rsidR="004C44A2" w:rsidP="004C44A2" w:rsidRDefault="004C44A2" w14:paraId="393E22F2" w14:textId="77777777">
      <w:pPr>
        <w:contextualSpacing/>
        <w:rPr>
          <w:rFonts w:ascii="Verdana" w:hAnsi="Verdana" w:eastAsia="Aptos" w:cs="Times New Roman"/>
          <w:kern w:val="2"/>
          <w:sz w:val="18"/>
          <w:szCs w:val="18"/>
          <w14:ligatures w14:val="standardContextual"/>
        </w:rPr>
      </w:pPr>
    </w:p>
    <w:p w:rsidRPr="00136ABA" w:rsidR="004C44A2" w:rsidP="1A738FD5" w:rsidRDefault="004C44A2" w14:paraId="1FCF8312" w14:textId="77777777">
      <w:pPr>
        <w:contextualSpacing/>
        <w:rPr>
          <w:rFonts w:ascii="Verdana" w:hAnsi="Verdana" w:eastAsia="Aptos" w:cs="Times New Roman"/>
          <w:sz w:val="18"/>
          <w:szCs w:val="18"/>
        </w:rPr>
      </w:pPr>
      <w:r w:rsidRPr="00136ABA">
        <w:rPr>
          <w:rFonts w:ascii="Verdana" w:hAnsi="Verdana" w:eastAsia="Aptos" w:cs="Times New Roman"/>
          <w:kern w:val="2"/>
          <w:sz w:val="18"/>
          <w:szCs w:val="18"/>
          <w14:ligatures w14:val="standardContextual"/>
        </w:rPr>
        <w:t xml:space="preserve">De Commissie heeft de Oostenrijkse aanvraag inmiddels positief beoordeeld. De aanvraag is getoetst aan de drie bovengenoemde voorwaarden. De oorlog in Oekraïne wordt aangemerkt als uitzonderlijke omstandigheid buiten de controle van lidstaten, met een grote impact op de overheidsfinanciën. Daarnaast stelt de Commissie dat een tijdelijke en gerichte activatie van de ontsnappingsclausule waarborgen biedt voor de schuldhoudbaarheid. De Commissie doet een aanbeveling aan de Raad ter goedkeuring de Oostenrijkse aanvraag. Deze aanbeveling stelt, net als voor de andere lidstaten, dat Oostenrijk in de periode 2025-2028 mag afwijken van het door de Raad aanbevolen </w:t>
      </w:r>
      <w:proofErr w:type="spellStart"/>
      <w:r w:rsidRPr="00136ABA">
        <w:rPr>
          <w:rFonts w:ascii="Verdana" w:hAnsi="Verdana" w:eastAsia="Aptos" w:cs="Times New Roman"/>
          <w:kern w:val="2"/>
          <w:sz w:val="18"/>
          <w:szCs w:val="18"/>
          <w14:ligatures w14:val="standardContextual"/>
        </w:rPr>
        <w:t>uitgavenpad</w:t>
      </w:r>
      <w:proofErr w:type="spellEnd"/>
      <w:r w:rsidRPr="00136ABA">
        <w:rPr>
          <w:rFonts w:ascii="Verdana" w:hAnsi="Verdana" w:eastAsia="Aptos" w:cs="Times New Roman"/>
          <w:kern w:val="2"/>
          <w:sz w:val="18"/>
          <w:szCs w:val="18"/>
          <w14:ligatures w14:val="standardContextual"/>
        </w:rPr>
        <w:t xml:space="preserve">, mits de afwijking niet groter is dan de toename in defensie-uitgaven ten opzichte van 2021, tot maximaal 1,5% bbp. Voor Oostenrijk, dat zich in een </w:t>
      </w:r>
      <w:proofErr w:type="spellStart"/>
      <w:r w:rsidRPr="00136ABA">
        <w:rPr>
          <w:rFonts w:ascii="Verdana" w:hAnsi="Verdana" w:eastAsia="Aptos" w:cs="Times New Roman"/>
          <w:kern w:val="2"/>
          <w:sz w:val="18"/>
          <w:szCs w:val="18"/>
          <w14:ligatures w14:val="standardContextual"/>
        </w:rPr>
        <w:t>buitensporigtekortprocedure</w:t>
      </w:r>
      <w:proofErr w:type="spellEnd"/>
      <w:r w:rsidRPr="00136ABA">
        <w:rPr>
          <w:rFonts w:ascii="Verdana" w:hAnsi="Verdana" w:eastAsia="Aptos" w:cs="Times New Roman"/>
          <w:kern w:val="2"/>
          <w:sz w:val="18"/>
          <w:szCs w:val="18"/>
          <w14:ligatures w14:val="standardContextual"/>
        </w:rPr>
        <w:t xml:space="preserve"> bevindt als gevolg van overschrijding van de 3%-tekortnorm betreft het een correctief </w:t>
      </w:r>
      <w:proofErr w:type="spellStart"/>
      <w:r w:rsidRPr="00136ABA">
        <w:rPr>
          <w:rFonts w:ascii="Verdana" w:hAnsi="Verdana" w:eastAsia="Aptos" w:cs="Times New Roman"/>
          <w:kern w:val="2"/>
          <w:sz w:val="18"/>
          <w:szCs w:val="18"/>
          <w14:ligatures w14:val="standardContextual"/>
        </w:rPr>
        <w:t>uitgavenpad</w:t>
      </w:r>
      <w:proofErr w:type="spellEnd"/>
      <w:r w:rsidRPr="00136ABA">
        <w:rPr>
          <w:rFonts w:ascii="Verdana" w:hAnsi="Verdana" w:eastAsia="Aptos" w:cs="Times New Roman"/>
          <w:kern w:val="2"/>
          <w:sz w:val="18"/>
          <w:szCs w:val="18"/>
          <w14:ligatures w14:val="standardContextual"/>
        </w:rPr>
        <w:t xml:space="preserve">. </w:t>
      </w:r>
    </w:p>
    <w:p w:rsidRPr="00136ABA" w:rsidR="004C44A2" w:rsidP="004C44A2" w:rsidRDefault="004C44A2" w14:paraId="76E40541" w14:textId="77777777">
      <w:pPr>
        <w:contextualSpacing/>
        <w:rPr>
          <w:rFonts w:ascii="Verdana" w:hAnsi="Verdana" w:eastAsia="Aptos" w:cs="Times New Roman"/>
          <w:kern w:val="2"/>
          <w:sz w:val="18"/>
          <w:szCs w:val="18"/>
          <w14:ligatures w14:val="standardContextual"/>
        </w:rPr>
      </w:pPr>
    </w:p>
    <w:p w:rsidRPr="00136ABA" w:rsidR="004C44A2" w:rsidP="1A738FD5" w:rsidRDefault="004C44A2" w14:paraId="24AA85E7" w14:textId="77777777">
      <w:pPr>
        <w:contextualSpacing/>
        <w:rPr>
          <w:rFonts w:ascii="Verdana" w:hAnsi="Verdana" w:eastAsia="Aptos" w:cs="Times New Roman"/>
          <w:sz w:val="18"/>
          <w:szCs w:val="18"/>
        </w:rPr>
      </w:pPr>
      <w:r w:rsidRPr="00136ABA">
        <w:rPr>
          <w:rFonts w:ascii="Verdana" w:hAnsi="Verdana" w:eastAsia="Aptos" w:cs="Times New Roman"/>
          <w:kern w:val="2"/>
          <w:sz w:val="18"/>
          <w:szCs w:val="18"/>
          <w14:ligatures w14:val="standardContextual"/>
        </w:rPr>
        <w:t xml:space="preserve">Het kabinet kan zich vinden in de beoordeling van de Commissie en is voornemens in te stemmen met de Raadsaanbeveling voor Oostenrijk tijdens de </w:t>
      </w:r>
      <w:proofErr w:type="spellStart"/>
      <w:r w:rsidRPr="00136ABA">
        <w:rPr>
          <w:rFonts w:ascii="Verdana" w:hAnsi="Verdana" w:eastAsia="Aptos" w:cs="Times New Roman"/>
          <w:kern w:val="2"/>
          <w:sz w:val="18"/>
          <w:szCs w:val="18"/>
          <w14:ligatures w14:val="standardContextual"/>
        </w:rPr>
        <w:t>Ecofinraad</w:t>
      </w:r>
      <w:proofErr w:type="spellEnd"/>
      <w:r w:rsidRPr="00136ABA">
        <w:rPr>
          <w:rFonts w:ascii="Verdana" w:hAnsi="Verdana" w:eastAsia="Aptos" w:cs="Times New Roman"/>
          <w:kern w:val="2"/>
          <w:sz w:val="18"/>
          <w:szCs w:val="18"/>
          <w14:ligatures w14:val="standardContextual"/>
        </w:rPr>
        <w:t xml:space="preserve"> op 17 februari a.s. Bij de jaarlijkse monitoring van de toepassing van de clausule zal het kabinet aandacht blijven vragen voor schuldhoudbaarheid en financiële stabiliteit, inclusief het belang van </w:t>
      </w:r>
      <w:proofErr w:type="spellStart"/>
      <w:r w:rsidRPr="00136ABA">
        <w:rPr>
          <w:rFonts w:ascii="Verdana" w:hAnsi="Verdana" w:eastAsia="Aptos" w:cs="Times New Roman"/>
          <w:kern w:val="2"/>
          <w:sz w:val="18"/>
          <w:szCs w:val="18"/>
          <w14:ligatures w14:val="standardContextual"/>
        </w:rPr>
        <w:t>herprioritering</w:t>
      </w:r>
      <w:proofErr w:type="spellEnd"/>
      <w:r w:rsidRPr="00136ABA">
        <w:rPr>
          <w:rFonts w:ascii="Verdana" w:hAnsi="Verdana" w:eastAsia="Aptos" w:cs="Times New Roman"/>
          <w:kern w:val="2"/>
          <w:sz w:val="18"/>
          <w:szCs w:val="18"/>
          <w14:ligatures w14:val="standardContextual"/>
        </w:rPr>
        <w:t xml:space="preserve"> van uitgaven ten behoeve van structureel hogere defensie-uitgaven.</w:t>
      </w:r>
    </w:p>
    <w:p w:rsidRPr="00136ABA" w:rsidR="004C44A2" w:rsidP="4DA84208" w:rsidRDefault="004C44A2" w14:paraId="048A6000" w14:textId="77777777">
      <w:pPr>
        <w:spacing w:after="0" w:line="276" w:lineRule="auto"/>
        <w:rPr>
          <w:rFonts w:ascii="Verdana" w:hAnsi="Verdana" w:eastAsia="Verdana" w:cs="Verdana"/>
          <w:b/>
          <w:bCs/>
          <w:sz w:val="18"/>
          <w:szCs w:val="18"/>
        </w:rPr>
      </w:pPr>
    </w:p>
    <w:p w:rsidRPr="00136ABA" w:rsidR="4DA84208" w:rsidP="4DA84208" w:rsidRDefault="4DA84208" w14:paraId="75CF3EC0" w14:textId="5F69B053">
      <w:pPr>
        <w:spacing w:after="0" w:line="276" w:lineRule="auto"/>
        <w:rPr>
          <w:rFonts w:ascii="Verdana" w:hAnsi="Verdana" w:eastAsia="Calibri" w:cs="Arial"/>
          <w:b/>
          <w:bCs/>
          <w:sz w:val="18"/>
          <w:szCs w:val="18"/>
        </w:rPr>
      </w:pPr>
    </w:p>
    <w:p w:rsidRPr="00136ABA" w:rsidR="004C44A2" w:rsidP="3B296001" w:rsidRDefault="3B296001" w14:paraId="3B1AB406" w14:textId="0053B1A0">
      <w:pPr>
        <w:spacing w:after="0" w:line="276" w:lineRule="auto"/>
        <w:rPr>
          <w:rFonts w:ascii="Verdana" w:hAnsi="Verdana" w:eastAsia="Calibri" w:cs="Calibri"/>
          <w:b/>
          <w:bCs/>
          <w:sz w:val="18"/>
          <w:szCs w:val="18"/>
        </w:rPr>
      </w:pPr>
      <w:r w:rsidRPr="3B296001">
        <w:rPr>
          <w:rFonts w:ascii="Verdana" w:hAnsi="Verdana" w:eastAsiaTheme="majorEastAsia" w:cstheme="majorBidi"/>
          <w:color w:val="4471C4"/>
          <w:sz w:val="24"/>
          <w:szCs w:val="24"/>
        </w:rPr>
        <w:t>Overig</w:t>
      </w:r>
      <w:r w:rsidRPr="3B296001">
        <w:rPr>
          <w:rFonts w:ascii="Verdana" w:hAnsi="Verdana"/>
          <w:sz w:val="18"/>
          <w:szCs w:val="18"/>
        </w:rPr>
        <w:t xml:space="preserve"> </w:t>
      </w:r>
      <w:r w:rsidR="31FA8872">
        <w:br/>
      </w:r>
      <w:r w:rsidRPr="3B296001">
        <w:rPr>
          <w:rFonts w:ascii="Verdana" w:hAnsi="Verdana" w:eastAsia="Calibri" w:cs="Calibri"/>
          <w:b/>
          <w:bCs/>
          <w:sz w:val="18"/>
          <w:szCs w:val="18"/>
        </w:rPr>
        <w:t>Informatiepunt SAFE</w:t>
      </w:r>
    </w:p>
    <w:p w:rsidRPr="00136ABA" w:rsidR="00E75F56" w:rsidP="1A738FD5" w:rsidRDefault="1A738FD5" w14:paraId="371E8AB7" w14:textId="211BAB9E">
      <w:pPr>
        <w:spacing w:after="0" w:line="276" w:lineRule="auto"/>
        <w:rPr>
          <w:rFonts w:ascii="Verdana" w:hAnsi="Verdana" w:eastAsia="Calibri" w:cs="Calibri"/>
          <w:sz w:val="18"/>
          <w:szCs w:val="18"/>
        </w:rPr>
      </w:pPr>
      <w:r w:rsidRPr="1A738FD5">
        <w:rPr>
          <w:rFonts w:ascii="Verdana" w:hAnsi="Verdana" w:eastAsia="Calibri" w:cs="Calibri"/>
          <w:sz w:val="18"/>
          <w:szCs w:val="18"/>
        </w:rPr>
        <w:t xml:space="preserve">De </w:t>
      </w:r>
      <w:proofErr w:type="spellStart"/>
      <w:r w:rsidRPr="1A738FD5">
        <w:rPr>
          <w:rFonts w:ascii="Verdana" w:hAnsi="Verdana" w:eastAsia="Calibri" w:cs="Calibri"/>
          <w:sz w:val="18"/>
          <w:szCs w:val="18"/>
        </w:rPr>
        <w:t>Ecofinraad</w:t>
      </w:r>
      <w:proofErr w:type="spellEnd"/>
      <w:r w:rsidRPr="1A738FD5">
        <w:rPr>
          <w:rFonts w:ascii="Verdana" w:hAnsi="Verdana" w:eastAsia="Calibri" w:cs="Calibri"/>
          <w:sz w:val="18"/>
          <w:szCs w:val="18"/>
        </w:rPr>
        <w:t xml:space="preserve"> staat tijdens een informatiepunt kort stil bij de voortgang van het Veiligheidsactie voor Europa-instrument (</w:t>
      </w:r>
      <w:r w:rsidRPr="1A738FD5">
        <w:rPr>
          <w:rFonts w:ascii="Verdana" w:hAnsi="Verdana" w:eastAsia="Calibri" w:cs="Calibri"/>
          <w:i/>
          <w:iCs/>
          <w:sz w:val="18"/>
          <w:szCs w:val="18"/>
        </w:rPr>
        <w:t xml:space="preserve">Security Action </w:t>
      </w:r>
      <w:proofErr w:type="spellStart"/>
      <w:r w:rsidRPr="1A738FD5">
        <w:rPr>
          <w:rFonts w:ascii="Verdana" w:hAnsi="Verdana" w:eastAsia="Calibri" w:cs="Calibri"/>
          <w:i/>
          <w:iCs/>
          <w:sz w:val="18"/>
          <w:szCs w:val="18"/>
        </w:rPr>
        <w:t>for</w:t>
      </w:r>
      <w:proofErr w:type="spellEnd"/>
      <w:r w:rsidRPr="1A738FD5">
        <w:rPr>
          <w:rFonts w:ascii="Verdana" w:hAnsi="Verdana" w:eastAsia="Calibri" w:cs="Calibri"/>
          <w:i/>
          <w:iCs/>
          <w:sz w:val="18"/>
          <w:szCs w:val="18"/>
        </w:rPr>
        <w:t xml:space="preserve"> Europe </w:t>
      </w:r>
      <w:proofErr w:type="spellStart"/>
      <w:r w:rsidRPr="1A738FD5">
        <w:rPr>
          <w:rFonts w:ascii="Verdana" w:hAnsi="Verdana" w:eastAsia="Calibri" w:cs="Calibri"/>
          <w:i/>
          <w:iCs/>
          <w:sz w:val="18"/>
          <w:szCs w:val="18"/>
        </w:rPr>
        <w:t>through</w:t>
      </w:r>
      <w:proofErr w:type="spellEnd"/>
      <w:r w:rsidRPr="1A738FD5">
        <w:rPr>
          <w:rFonts w:ascii="Verdana" w:hAnsi="Verdana" w:eastAsia="Calibri" w:cs="Calibri"/>
          <w:i/>
          <w:iCs/>
          <w:sz w:val="18"/>
          <w:szCs w:val="18"/>
        </w:rPr>
        <w:t xml:space="preserve"> </w:t>
      </w:r>
      <w:proofErr w:type="spellStart"/>
      <w:r w:rsidRPr="1A738FD5">
        <w:rPr>
          <w:rFonts w:ascii="Verdana" w:hAnsi="Verdana" w:eastAsia="Calibri" w:cs="Calibri"/>
          <w:i/>
          <w:iCs/>
          <w:sz w:val="18"/>
          <w:szCs w:val="18"/>
        </w:rPr>
        <w:t>the</w:t>
      </w:r>
      <w:proofErr w:type="spellEnd"/>
      <w:r w:rsidRPr="1A738FD5">
        <w:rPr>
          <w:rFonts w:ascii="Verdana" w:hAnsi="Verdana" w:eastAsia="Calibri" w:cs="Calibri"/>
          <w:i/>
          <w:iCs/>
          <w:sz w:val="18"/>
          <w:szCs w:val="18"/>
        </w:rPr>
        <w:t xml:space="preserve"> </w:t>
      </w:r>
      <w:proofErr w:type="spellStart"/>
      <w:r w:rsidRPr="1A738FD5">
        <w:rPr>
          <w:rFonts w:ascii="Verdana" w:hAnsi="Verdana" w:eastAsia="Calibri" w:cs="Calibri"/>
          <w:i/>
          <w:iCs/>
          <w:sz w:val="18"/>
          <w:szCs w:val="18"/>
        </w:rPr>
        <w:t>reinforcement</w:t>
      </w:r>
      <w:proofErr w:type="spellEnd"/>
      <w:r w:rsidRPr="1A738FD5">
        <w:rPr>
          <w:rFonts w:ascii="Verdana" w:hAnsi="Verdana" w:eastAsia="Calibri" w:cs="Calibri"/>
          <w:i/>
          <w:iCs/>
          <w:sz w:val="18"/>
          <w:szCs w:val="18"/>
        </w:rPr>
        <w:t xml:space="preserve"> of European </w:t>
      </w:r>
      <w:proofErr w:type="spellStart"/>
      <w:r w:rsidRPr="1A738FD5">
        <w:rPr>
          <w:rFonts w:ascii="Verdana" w:hAnsi="Verdana" w:eastAsia="Calibri" w:cs="Calibri"/>
          <w:i/>
          <w:iCs/>
          <w:sz w:val="18"/>
          <w:szCs w:val="18"/>
        </w:rPr>
        <w:t>defence</w:t>
      </w:r>
      <w:proofErr w:type="spellEnd"/>
      <w:r w:rsidRPr="1A738FD5">
        <w:rPr>
          <w:rFonts w:ascii="Verdana" w:hAnsi="Verdana" w:eastAsia="Calibri" w:cs="Calibri"/>
          <w:i/>
          <w:iCs/>
          <w:sz w:val="18"/>
          <w:szCs w:val="18"/>
        </w:rPr>
        <w:t xml:space="preserve"> </w:t>
      </w:r>
      <w:proofErr w:type="spellStart"/>
      <w:r w:rsidRPr="1A738FD5">
        <w:rPr>
          <w:rFonts w:ascii="Verdana" w:hAnsi="Verdana" w:eastAsia="Calibri" w:cs="Calibri"/>
          <w:i/>
          <w:iCs/>
          <w:sz w:val="18"/>
          <w:szCs w:val="18"/>
        </w:rPr>
        <w:t>industry</w:t>
      </w:r>
      <w:proofErr w:type="spellEnd"/>
      <w:r w:rsidRPr="1A738FD5">
        <w:rPr>
          <w:rFonts w:ascii="Verdana" w:hAnsi="Verdana" w:eastAsia="Calibri" w:cs="Calibri"/>
          <w:i/>
          <w:iCs/>
          <w:sz w:val="18"/>
          <w:szCs w:val="18"/>
        </w:rPr>
        <w:t xml:space="preserve"> instrument</w:t>
      </w:r>
      <w:r w:rsidRPr="1A738FD5">
        <w:rPr>
          <w:rFonts w:ascii="Verdana" w:hAnsi="Verdana" w:eastAsia="Calibri" w:cs="Calibri"/>
          <w:sz w:val="18"/>
          <w:szCs w:val="18"/>
        </w:rPr>
        <w:t xml:space="preserve">, SAFE). SAFE is op 29 mei 2025 in werking getreden en is een tijdelijk noodinstrument van de EU van 150 miljard euro waarmee leningen kunnen worden verstrekt voor gezamenlijke defensie-uitgaven. De Commissie leent namens de </w:t>
      </w:r>
      <w:proofErr w:type="gramStart"/>
      <w:r w:rsidRPr="1A738FD5">
        <w:rPr>
          <w:rFonts w:ascii="Verdana" w:hAnsi="Verdana" w:eastAsia="Calibri" w:cs="Calibri"/>
          <w:sz w:val="18"/>
          <w:szCs w:val="18"/>
        </w:rPr>
        <w:t>EU middelen</w:t>
      </w:r>
      <w:proofErr w:type="gramEnd"/>
      <w:r w:rsidRPr="1A738FD5">
        <w:rPr>
          <w:rFonts w:ascii="Verdana" w:hAnsi="Verdana" w:eastAsia="Calibri" w:cs="Calibri"/>
          <w:sz w:val="18"/>
          <w:szCs w:val="18"/>
        </w:rPr>
        <w:t xml:space="preserve"> op de kapitaalmarkt en leent deze door aan lidstaten. Lidstaten die gebruikmaken van de leningen zijn zelf verantwoordelijk voor de terugbetaling, inclusief de rentelasten. Negentien lidstaten hebben een plan ingediend om gebruik te maken van de SAFE-leningen. De Commissie heeft tot nu toe zestien plannen beoordeeld en heeft hiertoe voorstellen gepubliceerd voor Raadsbesluiten (</w:t>
      </w:r>
      <w:r w:rsidRPr="1A738FD5">
        <w:rPr>
          <w:rFonts w:ascii="Verdana" w:hAnsi="Verdana" w:eastAsia="Calibri" w:cs="Calibri"/>
          <w:i/>
          <w:iCs/>
          <w:sz w:val="18"/>
          <w:szCs w:val="18"/>
        </w:rPr>
        <w:t xml:space="preserve">Council </w:t>
      </w:r>
      <w:proofErr w:type="spellStart"/>
      <w:r w:rsidRPr="1A738FD5">
        <w:rPr>
          <w:rFonts w:ascii="Verdana" w:hAnsi="Verdana" w:eastAsia="Calibri" w:cs="Calibri"/>
          <w:i/>
          <w:iCs/>
          <w:sz w:val="18"/>
          <w:szCs w:val="18"/>
        </w:rPr>
        <w:t>Implementing</w:t>
      </w:r>
      <w:proofErr w:type="spellEnd"/>
      <w:r w:rsidRPr="1A738FD5">
        <w:rPr>
          <w:rFonts w:ascii="Verdana" w:hAnsi="Verdana" w:eastAsia="Calibri" w:cs="Calibri"/>
          <w:i/>
          <w:iCs/>
          <w:sz w:val="18"/>
          <w:szCs w:val="18"/>
        </w:rPr>
        <w:t xml:space="preserve"> </w:t>
      </w:r>
      <w:proofErr w:type="spellStart"/>
      <w:r w:rsidRPr="1A738FD5">
        <w:rPr>
          <w:rFonts w:ascii="Verdana" w:hAnsi="Verdana" w:eastAsia="Calibri" w:cs="Calibri"/>
          <w:i/>
          <w:iCs/>
          <w:sz w:val="18"/>
          <w:szCs w:val="18"/>
        </w:rPr>
        <w:t>Decisions</w:t>
      </w:r>
      <w:proofErr w:type="spellEnd"/>
      <w:r w:rsidRPr="1A738FD5">
        <w:rPr>
          <w:rFonts w:ascii="Verdana" w:hAnsi="Verdana" w:eastAsia="Calibri" w:cs="Calibri"/>
          <w:sz w:val="18"/>
          <w:szCs w:val="18"/>
        </w:rPr>
        <w:t>). Naar verwachting neemt de Raad Buitenlandse Zaken (Defensie) op 11 februari 2026 de Raadsbesluiten aan. Vanaf maart 2026 kunnen de leenovereenkomsten worden ondertekend en kan er tot 15% voorfinanciering worden verstrekt.</w:t>
      </w:r>
    </w:p>
    <w:sectPr w:rsidRPr="00136ABA" w:rsidR="00E75F56" w:rsidSect="001D0F10">
      <w:footerReference w:type="default" r:id="rId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8686" w14:textId="77777777" w:rsidR="002466FF" w:rsidRDefault="002466FF" w:rsidP="00800606">
      <w:pPr>
        <w:spacing w:after="0" w:line="240" w:lineRule="auto"/>
      </w:pPr>
      <w:r>
        <w:separator/>
      </w:r>
    </w:p>
  </w:endnote>
  <w:endnote w:type="continuationSeparator" w:id="0">
    <w:p w14:paraId="0E82B15E" w14:textId="77777777" w:rsidR="002466FF" w:rsidRDefault="002466FF" w:rsidP="00800606">
      <w:pPr>
        <w:spacing w:after="0" w:line="240" w:lineRule="auto"/>
      </w:pPr>
      <w:r>
        <w:continuationSeparator/>
      </w:r>
    </w:p>
  </w:endnote>
  <w:endnote w:type="continuationNotice" w:id="1">
    <w:p w14:paraId="5E30A799" w14:textId="77777777" w:rsidR="002466FF" w:rsidRDefault="00246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A6ED" w14:textId="77777777" w:rsidR="002466FF" w:rsidRDefault="002466FF" w:rsidP="00800606">
      <w:pPr>
        <w:spacing w:after="0" w:line="240" w:lineRule="auto"/>
      </w:pPr>
      <w:r>
        <w:separator/>
      </w:r>
    </w:p>
  </w:footnote>
  <w:footnote w:type="continuationSeparator" w:id="0">
    <w:p w14:paraId="788BA241" w14:textId="77777777" w:rsidR="002466FF" w:rsidRDefault="002466FF" w:rsidP="00800606">
      <w:pPr>
        <w:spacing w:after="0" w:line="240" w:lineRule="auto"/>
      </w:pPr>
      <w:r>
        <w:continuationSeparator/>
      </w:r>
    </w:p>
  </w:footnote>
  <w:footnote w:type="continuationNotice" w:id="1">
    <w:p w14:paraId="6D2919B4" w14:textId="77777777" w:rsidR="002466FF" w:rsidRDefault="002466FF">
      <w:pPr>
        <w:spacing w:after="0" w:line="240" w:lineRule="auto"/>
      </w:pPr>
    </w:p>
  </w:footnote>
  <w:footnote w:id="2">
    <w:p w14:paraId="436FCFAC" w14:textId="59929A1F" w:rsidR="00CF5C27" w:rsidRPr="007B0B98" w:rsidRDefault="00CF5C27">
      <w:pPr>
        <w:pStyle w:val="Voetnoottekst"/>
        <w:rPr>
          <w:sz w:val="14"/>
          <w:szCs w:val="14"/>
        </w:rPr>
      </w:pPr>
      <w:r w:rsidRPr="007B0B98">
        <w:rPr>
          <w:rStyle w:val="Voetnootmarkering"/>
          <w:sz w:val="14"/>
          <w:szCs w:val="14"/>
        </w:rPr>
        <w:footnoteRef/>
      </w:r>
      <w:r w:rsidRPr="007B0B98">
        <w:rPr>
          <w:sz w:val="14"/>
          <w:szCs w:val="14"/>
        </w:rPr>
        <w:t xml:space="preserve"> </w:t>
      </w:r>
      <w:hyperlink r:id="rId1">
        <w:r w:rsidRPr="007B0B98">
          <w:rPr>
            <w:rStyle w:val="Hyperlink"/>
            <w:rFonts w:ascii="Verdana" w:eastAsia="Arial" w:hAnsi="Verdana" w:cs="Arial"/>
            <w:sz w:val="14"/>
            <w:szCs w:val="14"/>
          </w:rPr>
          <w:t>https://open.overheid.nl/documenten/ed418deb-4a34-4d8f-add9-1c34a55845cc/file</w:t>
        </w:r>
      </w:hyperlink>
    </w:p>
  </w:footnote>
  <w:footnote w:id="3">
    <w:p w14:paraId="1514F439" w14:textId="0B650BBB" w:rsidR="00CF5C27" w:rsidRPr="007B0B98" w:rsidRDefault="00CF5C27">
      <w:pPr>
        <w:pStyle w:val="Voetnoottekst"/>
        <w:rPr>
          <w:sz w:val="14"/>
          <w:szCs w:val="14"/>
        </w:rPr>
      </w:pPr>
      <w:r w:rsidRPr="007B0B98">
        <w:rPr>
          <w:rStyle w:val="Voetnootmarkering"/>
          <w:sz w:val="14"/>
          <w:szCs w:val="14"/>
        </w:rPr>
        <w:footnoteRef/>
      </w:r>
      <w:r w:rsidRPr="007B0B98">
        <w:rPr>
          <w:sz w:val="14"/>
          <w:szCs w:val="14"/>
        </w:rPr>
        <w:t xml:space="preserve"> </w:t>
      </w:r>
      <w:hyperlink r:id="rId2">
        <w:r w:rsidRPr="007B0B98">
          <w:rPr>
            <w:rStyle w:val="Hyperlink"/>
            <w:rFonts w:ascii="Verdana" w:eastAsia="Arial" w:hAnsi="Verdana" w:cs="Arial"/>
            <w:sz w:val="14"/>
            <w:szCs w:val="14"/>
          </w:rPr>
          <w:t>https://open.overheid.nl/documenten/64ffd0dc-a623-422f-8f7d-4b821a0737cc/file</w:t>
        </w:r>
        <w:r w:rsidRPr="007B0B98">
          <w:rPr>
            <w:rFonts w:ascii="Verdana" w:hAnsi="Verdana"/>
            <w:sz w:val="14"/>
            <w:szCs w:val="14"/>
          </w:rPr>
          <w:br/>
        </w:r>
      </w:hyperlink>
      <w:r w:rsidRPr="007B0B98">
        <w:rPr>
          <w:rFonts w:ascii="Verdana" w:eastAsia="Verdana" w:hAnsi="Verdana" w:cs="Verdana"/>
          <w:sz w:val="14"/>
          <w:szCs w:val="14"/>
        </w:rPr>
        <w:t xml:space="preserve"> </w:t>
      </w:r>
      <w:hyperlink r:id="rId3">
        <w:r w:rsidRPr="007B0B98">
          <w:rPr>
            <w:rStyle w:val="Hyperlink"/>
            <w:rFonts w:ascii="Verdana" w:eastAsia="Verdana" w:hAnsi="Verdana" w:cs="Verdana"/>
            <w:sz w:val="14"/>
            <w:szCs w:val="14"/>
          </w:rPr>
          <w:t>https://open.overheid.nl/documenten/19a8b345-710f-4fc6-90b4-b52d36d4e548/file</w:t>
        </w:r>
      </w:hyperlink>
    </w:p>
  </w:footnote>
  <w:footnote w:id="4">
    <w:p w14:paraId="6065CC0E" w14:textId="06BB7099" w:rsidR="00CF5C27" w:rsidRPr="007B0B98" w:rsidRDefault="00CF5C27" w:rsidP="007B0B98">
      <w:pPr>
        <w:spacing w:after="0" w:line="276" w:lineRule="auto"/>
        <w:rPr>
          <w:rFonts w:ascii="Verdana" w:hAnsi="Verdana"/>
          <w:sz w:val="14"/>
          <w:szCs w:val="14"/>
        </w:rPr>
      </w:pPr>
      <w:r w:rsidRPr="007B0B98">
        <w:rPr>
          <w:rStyle w:val="Voetnootmarkering"/>
          <w:sz w:val="14"/>
          <w:szCs w:val="14"/>
        </w:rPr>
        <w:footnoteRef/>
      </w:r>
      <w:r w:rsidRPr="007B0B98">
        <w:rPr>
          <w:sz w:val="14"/>
          <w:szCs w:val="14"/>
        </w:rPr>
        <w:t xml:space="preserve"> </w:t>
      </w:r>
      <w:hyperlink r:id="rId4">
        <w:r w:rsidRPr="007B0B98">
          <w:rPr>
            <w:rStyle w:val="Hyperlink"/>
            <w:rFonts w:ascii="Verdana" w:eastAsia="Arial" w:hAnsi="Verdana" w:cs="Arial"/>
            <w:sz w:val="14"/>
            <w:szCs w:val="14"/>
          </w:rPr>
          <w:t>https://www.rapportwennink.nl/</w:t>
        </w:r>
      </w:hyperlink>
      <w:r w:rsidRPr="007B0B98">
        <w:rPr>
          <w:rFonts w:ascii="Verdana" w:eastAsia="Arial" w:hAnsi="Verdana" w:cs="Arial"/>
          <w:sz w:val="14"/>
          <w:szCs w:val="14"/>
        </w:rPr>
        <w:t xml:space="preserve"> </w:t>
      </w:r>
    </w:p>
  </w:footnote>
  <w:footnote w:id="5">
    <w:p w14:paraId="5D2B9153" w14:textId="77777777" w:rsidR="00CF5C27" w:rsidRPr="007B0B98" w:rsidRDefault="00CF5C27" w:rsidP="007B0B98">
      <w:pPr>
        <w:spacing w:after="0" w:line="276" w:lineRule="auto"/>
        <w:rPr>
          <w:rFonts w:ascii="Verdana" w:hAnsi="Verdana"/>
          <w:sz w:val="14"/>
          <w:szCs w:val="14"/>
        </w:rPr>
      </w:pPr>
      <w:r w:rsidRPr="007B0B98">
        <w:rPr>
          <w:rStyle w:val="Voetnootmarkering"/>
          <w:sz w:val="14"/>
          <w:szCs w:val="14"/>
        </w:rPr>
        <w:footnoteRef/>
      </w:r>
      <w:r w:rsidRPr="007B0B98">
        <w:rPr>
          <w:sz w:val="14"/>
          <w:szCs w:val="14"/>
        </w:rPr>
        <w:t xml:space="preserve"> </w:t>
      </w:r>
      <w:hyperlink r:id="rId5">
        <w:r w:rsidRPr="007B0B98">
          <w:rPr>
            <w:rStyle w:val="Hyperlink"/>
            <w:rFonts w:ascii="Verdana" w:eastAsia="Arial" w:hAnsi="Verdana" w:cs="Arial"/>
            <w:sz w:val="14"/>
            <w:szCs w:val="14"/>
          </w:rPr>
          <w:t>https://www.rijksoverheid.nl/documenten/kamerstukken/2025/03/17/kabinetsinzet-kapitaalmarktunie</w:t>
        </w:r>
      </w:hyperlink>
      <w:r w:rsidRPr="007B0B98">
        <w:rPr>
          <w:rFonts w:ascii="Verdana" w:eastAsia="Arial" w:hAnsi="Verdana" w:cs="Arial"/>
          <w:sz w:val="14"/>
          <w:szCs w:val="14"/>
        </w:rPr>
        <w:t xml:space="preserve"> </w:t>
      </w:r>
    </w:p>
    <w:p w14:paraId="1E481747" w14:textId="6B731602" w:rsidR="00CF5C27" w:rsidRDefault="00CF5C27">
      <w:pPr>
        <w:pStyle w:val="Voetnoottekst"/>
      </w:pPr>
    </w:p>
  </w:footnote>
  <w:footnote w:id="6">
    <w:p w14:paraId="2B9A5FCF" w14:textId="77777777" w:rsidR="00B23B05" w:rsidRPr="00136ABA" w:rsidRDefault="00B23B05" w:rsidP="00B23B05">
      <w:pPr>
        <w:pStyle w:val="Voetnoottekst"/>
        <w:rPr>
          <w:rFonts w:ascii="Verdana" w:hAnsi="Verdana"/>
          <w:sz w:val="14"/>
          <w:szCs w:val="14"/>
        </w:rPr>
      </w:pPr>
      <w:r w:rsidRPr="00136ABA">
        <w:rPr>
          <w:rStyle w:val="Voetnootmarkering"/>
          <w:rFonts w:ascii="Verdana" w:hAnsi="Verdana"/>
          <w:sz w:val="14"/>
          <w:szCs w:val="14"/>
        </w:rPr>
        <w:footnoteRef/>
      </w:r>
      <w:r w:rsidRPr="00136ABA">
        <w:rPr>
          <w:rFonts w:ascii="Verdana" w:hAnsi="Verdana"/>
          <w:sz w:val="14"/>
          <w:szCs w:val="14"/>
        </w:rPr>
        <w:t xml:space="preserve"> </w:t>
      </w:r>
      <w:hyperlink r:id="rId6" w:history="1">
        <w:r w:rsidRPr="00136ABA">
          <w:rPr>
            <w:rStyle w:val="Hyperlink"/>
            <w:rFonts w:ascii="Verdana" w:hAnsi="Verdana"/>
            <w:sz w:val="14"/>
            <w:szCs w:val="14"/>
          </w:rPr>
          <w:t>https://www.ecb.europa.eu/pub/pdf/ire/ecb.ire202506.en.pdf</w:t>
        </w:r>
      </w:hyperlink>
      <w:r w:rsidRPr="00136ABA">
        <w:rPr>
          <w:rFonts w:ascii="Verdana" w:hAnsi="Verdana"/>
          <w:sz w:val="14"/>
          <w:szCs w:val="14"/>
        </w:rPr>
        <w:t xml:space="preserve"> </w:t>
      </w:r>
    </w:p>
  </w:footnote>
  <w:footnote w:id="7">
    <w:p w14:paraId="5C5A4530" w14:textId="77777777" w:rsidR="00B23B05" w:rsidRPr="00B23B05" w:rsidRDefault="00B23B05" w:rsidP="00B23B05">
      <w:pPr>
        <w:pStyle w:val="Voetnoottekst"/>
        <w:rPr>
          <w:sz w:val="14"/>
          <w:szCs w:val="14"/>
        </w:rPr>
      </w:pPr>
      <w:r w:rsidRPr="00136ABA">
        <w:rPr>
          <w:rStyle w:val="Voetnootmarkering"/>
          <w:rFonts w:ascii="Verdana" w:hAnsi="Verdana"/>
          <w:sz w:val="14"/>
          <w:szCs w:val="14"/>
        </w:rPr>
        <w:footnoteRef/>
      </w:r>
      <w:r w:rsidRPr="00136ABA">
        <w:rPr>
          <w:rFonts w:ascii="Verdana" w:hAnsi="Verdana"/>
          <w:sz w:val="14"/>
          <w:szCs w:val="14"/>
        </w:rPr>
        <w:t xml:space="preserve"> </w:t>
      </w:r>
      <w:hyperlink r:id="rId7" w:history="1">
        <w:r w:rsidRPr="00136ABA">
          <w:rPr>
            <w:rStyle w:val="Hyperlink"/>
            <w:rFonts w:ascii="Verdana" w:hAnsi="Verdana"/>
            <w:sz w:val="14"/>
            <w:szCs w:val="14"/>
          </w:rPr>
          <w:t>https://open.overheid.nl/documenten/e507c46a-d8e3-4506-9130-7d5f7dabe646/file%22</w:t>
        </w:r>
      </w:hyperlink>
      <w:r w:rsidRPr="00B23B05">
        <w:rPr>
          <w:sz w:val="14"/>
          <w:szCs w:val="14"/>
        </w:rPr>
        <w:t xml:space="preserve"> </w:t>
      </w:r>
    </w:p>
  </w:footnote>
  <w:footnote w:id="8">
    <w:p w14:paraId="6C19EFA2" w14:textId="77777777" w:rsidR="00563E37" w:rsidRPr="00136ABA" w:rsidRDefault="00563E37" w:rsidP="3B296001">
      <w:pPr>
        <w:pStyle w:val="Voetnoottekst"/>
        <w:rPr>
          <w:rFonts w:ascii="Verdana" w:hAnsi="Verdana"/>
          <w:sz w:val="14"/>
          <w:szCs w:val="14"/>
        </w:rPr>
      </w:pPr>
      <w:r w:rsidRPr="00136ABA">
        <w:rPr>
          <w:rStyle w:val="Voetnootmarkering"/>
          <w:rFonts w:ascii="Verdana" w:hAnsi="Verdana"/>
          <w:sz w:val="14"/>
          <w:szCs w:val="14"/>
        </w:rPr>
        <w:footnoteRef/>
      </w:r>
      <w:r w:rsidRPr="00136ABA">
        <w:rPr>
          <w:rFonts w:ascii="Verdana" w:hAnsi="Verdana"/>
          <w:sz w:val="14"/>
          <w:szCs w:val="14"/>
        </w:rPr>
        <w:t xml:space="preserve"> Zie ook </w:t>
      </w:r>
      <w:hyperlink r:id="rId8" w:history="1">
        <w:r w:rsidRPr="00136ABA">
          <w:rPr>
            <w:rStyle w:val="Hyperlink"/>
            <w:rFonts w:ascii="Verdana" w:hAnsi="Verdana"/>
            <w:sz w:val="14"/>
            <w:szCs w:val="14"/>
          </w:rPr>
          <w:t>Kabinetsreactie lentepakket Europees Semester</w:t>
        </w:r>
      </w:hyperlink>
      <w:r w:rsidRPr="00136ABA">
        <w:rPr>
          <w:rFonts w:ascii="Verdana" w:hAnsi="Verdana"/>
          <w:sz w:val="14"/>
          <w:szCs w:val="14"/>
        </w:rPr>
        <w:t>.</w:t>
      </w:r>
    </w:p>
  </w:footnote>
  <w:footnote w:id="9">
    <w:p w14:paraId="3A0B01C7" w14:textId="550F21A9" w:rsidR="00563E37" w:rsidRPr="004C44A2" w:rsidRDefault="00563E37" w:rsidP="1A738FD5">
      <w:pPr>
        <w:pStyle w:val="Voetnoottekst"/>
        <w:rPr>
          <w:lang w:val="en-US"/>
        </w:rPr>
      </w:pPr>
      <w:r w:rsidRPr="00136ABA">
        <w:rPr>
          <w:rStyle w:val="Voetnootmarkering"/>
          <w:rFonts w:ascii="Verdana" w:hAnsi="Verdana"/>
          <w:sz w:val="14"/>
          <w:szCs w:val="14"/>
        </w:rPr>
        <w:footnoteRef/>
      </w:r>
      <w:r w:rsidRPr="00136ABA">
        <w:rPr>
          <w:rFonts w:ascii="Verdana" w:hAnsi="Verdana"/>
          <w:sz w:val="14"/>
          <w:szCs w:val="14"/>
          <w:lang w:val="en-US"/>
        </w:rPr>
        <w:t xml:space="preserve"> </w:t>
      </w:r>
      <w:proofErr w:type="spellStart"/>
      <w:r w:rsidRPr="00136ABA">
        <w:rPr>
          <w:rFonts w:ascii="Verdana" w:hAnsi="Verdana"/>
          <w:sz w:val="14"/>
          <w:szCs w:val="14"/>
          <w:lang w:val="en-US"/>
        </w:rPr>
        <w:t>Zie</w:t>
      </w:r>
      <w:proofErr w:type="spellEnd"/>
      <w:r w:rsidRPr="00136ABA">
        <w:rPr>
          <w:rFonts w:ascii="Verdana" w:hAnsi="Verdana"/>
          <w:sz w:val="14"/>
          <w:szCs w:val="14"/>
          <w:lang w:val="en-US"/>
        </w:rPr>
        <w:t xml:space="preserve"> </w:t>
      </w:r>
      <w:proofErr w:type="spellStart"/>
      <w:r w:rsidRPr="00136ABA">
        <w:rPr>
          <w:rFonts w:ascii="Verdana" w:hAnsi="Verdana"/>
          <w:sz w:val="14"/>
          <w:szCs w:val="14"/>
          <w:lang w:val="en-US"/>
        </w:rPr>
        <w:t>ook</w:t>
      </w:r>
      <w:proofErr w:type="spellEnd"/>
      <w:r w:rsidRPr="00136ABA">
        <w:rPr>
          <w:rFonts w:ascii="Verdana" w:hAnsi="Verdana"/>
          <w:sz w:val="14"/>
          <w:szCs w:val="14"/>
          <w:lang w:val="en-US"/>
        </w:rPr>
        <w:t xml:space="preserve"> </w:t>
      </w:r>
      <w:hyperlink r:id="rId9" w:history="1">
        <w:r w:rsidRPr="00136ABA">
          <w:rPr>
            <w:rStyle w:val="Hyperlink"/>
            <w:rFonts w:ascii="Verdana" w:hAnsi="Verdana"/>
            <w:sz w:val="14"/>
            <w:szCs w:val="14"/>
            <w:lang w:val="en-US"/>
          </w:rPr>
          <w:t>2025 In-Depth review The Netherlands</w:t>
        </w:r>
      </w:hyperlink>
      <w:r w:rsidRPr="00136ABA">
        <w:rPr>
          <w:rFonts w:ascii="Verdana" w:hAnsi="Verdana"/>
          <w:sz w:val="14"/>
          <w:szCs w:val="14"/>
          <w:lang w:val="en-US"/>
        </w:rPr>
        <w:t>.</w:t>
      </w:r>
    </w:p>
  </w:footnote>
  <w:footnote w:id="10">
    <w:p w14:paraId="19825DB1" w14:textId="77777777" w:rsidR="00AF5B28" w:rsidRPr="00136ABA" w:rsidRDefault="00AF5B28" w:rsidP="00AF5B28">
      <w:pPr>
        <w:pStyle w:val="Voetnoottekst"/>
        <w:rPr>
          <w:rFonts w:ascii="Verdana" w:hAnsi="Verdana"/>
          <w:sz w:val="14"/>
          <w:szCs w:val="14"/>
        </w:rPr>
      </w:pPr>
      <w:r w:rsidRPr="00136ABA">
        <w:rPr>
          <w:rStyle w:val="Voetnootmarkering"/>
          <w:rFonts w:ascii="Verdana" w:hAnsi="Verdana"/>
          <w:sz w:val="14"/>
          <w:szCs w:val="14"/>
        </w:rPr>
        <w:footnoteRef/>
      </w:r>
      <w:r w:rsidRPr="00136ABA">
        <w:rPr>
          <w:rFonts w:ascii="Verdana" w:hAnsi="Verdana"/>
          <w:sz w:val="14"/>
          <w:szCs w:val="14"/>
        </w:rPr>
        <w:t xml:space="preserve"> </w:t>
      </w:r>
      <w:hyperlink r:id="rId10" w:history="1">
        <w:r w:rsidRPr="00136ABA">
          <w:rPr>
            <w:rStyle w:val="Hyperlink"/>
            <w:rFonts w:ascii="Verdana" w:hAnsi="Verdana"/>
            <w:sz w:val="14"/>
            <w:szCs w:val="14"/>
          </w:rPr>
          <w:t xml:space="preserve">Special European Council - </w:t>
        </w:r>
        <w:proofErr w:type="spellStart"/>
        <w:r w:rsidRPr="00136ABA">
          <w:rPr>
            <w:rStyle w:val="Hyperlink"/>
            <w:rFonts w:ascii="Verdana" w:hAnsi="Verdana"/>
            <w:sz w:val="14"/>
            <w:szCs w:val="14"/>
          </w:rPr>
          <w:t>Consilium</w:t>
        </w:r>
        <w:proofErr w:type="spellEnd"/>
      </w:hyperlink>
      <w:r w:rsidRPr="00136ABA">
        <w:rPr>
          <w:rFonts w:ascii="Verdana" w:hAnsi="Verdana"/>
          <w:sz w:val="14"/>
          <w:szCs w:val="14"/>
        </w:rPr>
        <w:t xml:space="preserve"> </w:t>
      </w:r>
    </w:p>
  </w:footnote>
  <w:footnote w:id="11">
    <w:p w14:paraId="087DF236" w14:textId="77777777" w:rsidR="00FA7DA4" w:rsidRPr="00136ABA" w:rsidRDefault="00FA7DA4" w:rsidP="3B296001">
      <w:pPr>
        <w:pStyle w:val="Voetnoottekst"/>
        <w:spacing w:line="140" w:lineRule="atLeast"/>
        <w:rPr>
          <w:rFonts w:ascii="Verdana" w:hAnsi="Verdana"/>
          <w:sz w:val="14"/>
          <w:szCs w:val="14"/>
        </w:rPr>
      </w:pPr>
      <w:r w:rsidRPr="00136ABA">
        <w:rPr>
          <w:rStyle w:val="Voetnootmarkering"/>
          <w:rFonts w:ascii="Verdana" w:hAnsi="Verdana"/>
          <w:sz w:val="14"/>
          <w:szCs w:val="14"/>
        </w:rPr>
        <w:footnoteRef/>
      </w:r>
      <w:r w:rsidRPr="00136ABA">
        <w:rPr>
          <w:rFonts w:ascii="Verdana" w:hAnsi="Verdana"/>
          <w:sz w:val="14"/>
          <w:szCs w:val="14"/>
        </w:rPr>
        <w:t xml:space="preserve"> Kamerstukken II, 2025-2026, 21501-20, nr. 2361</w:t>
      </w:r>
    </w:p>
  </w:footnote>
  <w:footnote w:id="12">
    <w:p w14:paraId="62C1AA60" w14:textId="77777777" w:rsidR="00FA7DA4" w:rsidRPr="004A60F8" w:rsidRDefault="00FA7DA4" w:rsidP="3B296001">
      <w:pPr>
        <w:pStyle w:val="Voetnoottekst"/>
        <w:spacing w:line="140" w:lineRule="atLeast"/>
        <w:rPr>
          <w:rFonts w:ascii="Verdana" w:hAnsi="Verdana"/>
        </w:rPr>
      </w:pPr>
      <w:r w:rsidRPr="00136ABA">
        <w:rPr>
          <w:rStyle w:val="Voetnootmarkering"/>
          <w:rFonts w:ascii="Verdana" w:hAnsi="Verdana"/>
          <w:sz w:val="14"/>
          <w:szCs w:val="14"/>
        </w:rPr>
        <w:footnoteRef/>
      </w:r>
      <w:r w:rsidRPr="00136ABA">
        <w:rPr>
          <w:rFonts w:ascii="Verdana" w:hAnsi="Verdana"/>
          <w:sz w:val="14"/>
          <w:szCs w:val="14"/>
        </w:rPr>
        <w:t xml:space="preserve"> Kamerstukken II, 2022-2023, 26234, nr. 275</w:t>
      </w:r>
    </w:p>
  </w:footnote>
  <w:footnote w:id="13">
    <w:p w14:paraId="620F5A0C" w14:textId="496B6CC5" w:rsidR="00586BC7" w:rsidRPr="00136ABA" w:rsidRDefault="00586BC7" w:rsidP="00586BC7">
      <w:pPr>
        <w:spacing w:after="0" w:line="276" w:lineRule="auto"/>
        <w:rPr>
          <w:rFonts w:ascii="Verdana" w:hAnsi="Verdana"/>
          <w:sz w:val="14"/>
          <w:szCs w:val="14"/>
        </w:rPr>
      </w:pPr>
      <w:r w:rsidRPr="00136ABA">
        <w:rPr>
          <w:rStyle w:val="Voetnootmarkering"/>
          <w:rFonts w:ascii="Verdana" w:hAnsi="Verdana"/>
          <w:sz w:val="14"/>
          <w:szCs w:val="14"/>
        </w:rPr>
        <w:footnoteRef/>
      </w:r>
      <w:r w:rsidRPr="00136ABA">
        <w:rPr>
          <w:rFonts w:ascii="Verdana" w:hAnsi="Verdana"/>
          <w:sz w:val="14"/>
          <w:szCs w:val="14"/>
        </w:rPr>
        <w:t xml:space="preserve"> </w:t>
      </w:r>
      <w:hyperlink r:id="rId11">
        <w:r w:rsidRPr="00136ABA">
          <w:rPr>
            <w:rStyle w:val="Hyperlink"/>
            <w:rFonts w:ascii="Verdana" w:eastAsia="Arial" w:hAnsi="Verdana" w:cs="Arial"/>
            <w:sz w:val="14"/>
            <w:szCs w:val="14"/>
          </w:rPr>
          <w:t>https://open.overheid.nl/documenten/ed418deb-4a34-4d8f-add9-1c34a55845cc/file</w:t>
        </w:r>
      </w:hyperlink>
      <w:r w:rsidRPr="00136ABA">
        <w:rPr>
          <w:rFonts w:ascii="Verdana" w:eastAsia="Arial" w:hAnsi="Verdana" w:cs="Arial"/>
          <w:sz w:val="14"/>
          <w:szCs w:val="14"/>
        </w:rPr>
        <w:t xml:space="preserve"> </w:t>
      </w:r>
    </w:p>
  </w:footnote>
  <w:footnote w:id="14">
    <w:p w14:paraId="3CDFA8FD" w14:textId="77777777" w:rsidR="004C44A2" w:rsidRPr="0030723D" w:rsidRDefault="004C44A2" w:rsidP="1A738FD5">
      <w:pPr>
        <w:pStyle w:val="Voetnoottekst"/>
        <w:rPr>
          <w:rFonts w:ascii="Verdana" w:hAnsi="Verdana"/>
          <w:sz w:val="14"/>
          <w:szCs w:val="14"/>
        </w:rPr>
      </w:pPr>
      <w:r w:rsidRPr="0030723D">
        <w:rPr>
          <w:rStyle w:val="Voetnootmarkering"/>
          <w:rFonts w:ascii="Verdana" w:hAnsi="Verdana"/>
          <w:sz w:val="14"/>
          <w:szCs w:val="14"/>
        </w:rPr>
        <w:footnoteRef/>
      </w:r>
      <w:r w:rsidRPr="0030723D">
        <w:rPr>
          <w:rFonts w:ascii="Verdana" w:hAnsi="Verdana"/>
          <w:sz w:val="14"/>
          <w:szCs w:val="14"/>
        </w:rPr>
        <w:t xml:space="preserve"> Zie de Nazending Geannoteerde agenda</w:t>
      </w:r>
      <w:r w:rsidRPr="00136ABA">
        <w:rPr>
          <w:rFonts w:ascii="Verdana" w:hAnsi="Verdana"/>
          <w:sz w:val="14"/>
          <w:szCs w:val="14"/>
        </w:rPr>
        <w:t xml:space="preserve"> Eurogroep en </w:t>
      </w:r>
      <w:proofErr w:type="spellStart"/>
      <w:r w:rsidRPr="00136ABA">
        <w:rPr>
          <w:rFonts w:ascii="Verdana" w:hAnsi="Verdana"/>
          <w:sz w:val="14"/>
          <w:szCs w:val="14"/>
        </w:rPr>
        <w:t>Ecofinraad</w:t>
      </w:r>
      <w:proofErr w:type="spellEnd"/>
      <w:r w:rsidRPr="00136ABA">
        <w:rPr>
          <w:rFonts w:ascii="Verdana" w:hAnsi="Verdana"/>
          <w:sz w:val="14"/>
          <w:szCs w:val="14"/>
        </w:rPr>
        <w:t xml:space="preserve"> 20 en 21 januari 2025, Kamerstukken II 2024/2025 21501 </w:t>
      </w:r>
      <w:r w:rsidRPr="0030723D">
        <w:rPr>
          <w:rFonts w:ascii="Verdana" w:hAnsi="Verdana"/>
          <w:sz w:val="14"/>
          <w:szCs w:val="14"/>
        </w:rPr>
        <w:t>nr. 07-2087</w:t>
      </w:r>
    </w:p>
  </w:footnote>
  <w:footnote w:id="15">
    <w:p w14:paraId="6B62C2FB" w14:textId="77777777" w:rsidR="004C44A2" w:rsidRDefault="004C44A2" w:rsidP="004C44A2">
      <w:pPr>
        <w:pStyle w:val="Voetnoottekst"/>
      </w:pPr>
      <w:r w:rsidRPr="0030723D">
        <w:rPr>
          <w:rStyle w:val="Voetnootmarkering"/>
          <w:rFonts w:ascii="Verdana" w:hAnsi="Verdana"/>
          <w:sz w:val="14"/>
          <w:szCs w:val="14"/>
        </w:rPr>
        <w:footnoteRef/>
      </w:r>
      <w:r w:rsidRPr="0030723D">
        <w:rPr>
          <w:rFonts w:ascii="Verdana" w:hAnsi="Verdana"/>
          <w:sz w:val="14"/>
          <w:szCs w:val="14"/>
        </w:rPr>
        <w:t xml:space="preserve"> Kamerstuk 21501-20 nr. 2207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D827B4"/>
    <w:multiLevelType w:val="hybridMultilevel"/>
    <w:tmpl w:val="A2AACFEA"/>
    <w:lvl w:ilvl="0" w:tplc="F51A96FC">
      <w:start w:val="1"/>
      <w:numFmt w:val="bullet"/>
      <w:lvlText w:val=""/>
      <w:lvlJc w:val="left"/>
      <w:pPr>
        <w:ind w:left="720" w:hanging="360"/>
      </w:pPr>
      <w:rPr>
        <w:rFonts w:ascii="Symbol" w:hAnsi="Symbol" w:hint="default"/>
      </w:rPr>
    </w:lvl>
    <w:lvl w:ilvl="1" w:tplc="BBDEA594">
      <w:start w:val="1"/>
      <w:numFmt w:val="bullet"/>
      <w:lvlText w:val="o"/>
      <w:lvlJc w:val="left"/>
      <w:pPr>
        <w:ind w:left="1440" w:hanging="360"/>
      </w:pPr>
      <w:rPr>
        <w:rFonts w:ascii="Courier New" w:hAnsi="Courier New" w:hint="default"/>
      </w:rPr>
    </w:lvl>
    <w:lvl w:ilvl="2" w:tplc="980ED810">
      <w:start w:val="1"/>
      <w:numFmt w:val="bullet"/>
      <w:lvlText w:val=""/>
      <w:lvlJc w:val="left"/>
      <w:pPr>
        <w:ind w:left="2160" w:hanging="360"/>
      </w:pPr>
      <w:rPr>
        <w:rFonts w:ascii="Wingdings" w:hAnsi="Wingdings" w:hint="default"/>
      </w:rPr>
    </w:lvl>
    <w:lvl w:ilvl="3" w:tplc="5F62A50A">
      <w:start w:val="1"/>
      <w:numFmt w:val="bullet"/>
      <w:lvlText w:val=""/>
      <w:lvlJc w:val="left"/>
      <w:pPr>
        <w:ind w:left="2880" w:hanging="360"/>
      </w:pPr>
      <w:rPr>
        <w:rFonts w:ascii="Symbol" w:hAnsi="Symbol" w:hint="default"/>
      </w:rPr>
    </w:lvl>
    <w:lvl w:ilvl="4" w:tplc="24A08ABA">
      <w:start w:val="1"/>
      <w:numFmt w:val="bullet"/>
      <w:lvlText w:val="o"/>
      <w:lvlJc w:val="left"/>
      <w:pPr>
        <w:ind w:left="3600" w:hanging="360"/>
      </w:pPr>
      <w:rPr>
        <w:rFonts w:ascii="Courier New" w:hAnsi="Courier New" w:hint="default"/>
      </w:rPr>
    </w:lvl>
    <w:lvl w:ilvl="5" w:tplc="8192594E">
      <w:start w:val="1"/>
      <w:numFmt w:val="bullet"/>
      <w:lvlText w:val=""/>
      <w:lvlJc w:val="left"/>
      <w:pPr>
        <w:ind w:left="4320" w:hanging="360"/>
      </w:pPr>
      <w:rPr>
        <w:rFonts w:ascii="Wingdings" w:hAnsi="Wingdings" w:hint="default"/>
      </w:rPr>
    </w:lvl>
    <w:lvl w:ilvl="6" w:tplc="63820BE8">
      <w:start w:val="1"/>
      <w:numFmt w:val="bullet"/>
      <w:lvlText w:val=""/>
      <w:lvlJc w:val="left"/>
      <w:pPr>
        <w:ind w:left="5040" w:hanging="360"/>
      </w:pPr>
      <w:rPr>
        <w:rFonts w:ascii="Symbol" w:hAnsi="Symbol" w:hint="default"/>
      </w:rPr>
    </w:lvl>
    <w:lvl w:ilvl="7" w:tplc="3BF47556">
      <w:start w:val="1"/>
      <w:numFmt w:val="bullet"/>
      <w:lvlText w:val="o"/>
      <w:lvlJc w:val="left"/>
      <w:pPr>
        <w:ind w:left="5760" w:hanging="360"/>
      </w:pPr>
      <w:rPr>
        <w:rFonts w:ascii="Courier New" w:hAnsi="Courier New" w:hint="default"/>
      </w:rPr>
    </w:lvl>
    <w:lvl w:ilvl="8" w:tplc="DBA28242">
      <w:start w:val="1"/>
      <w:numFmt w:val="bullet"/>
      <w:lvlText w:val=""/>
      <w:lvlJc w:val="left"/>
      <w:pPr>
        <w:ind w:left="6480" w:hanging="360"/>
      </w:pPr>
      <w:rPr>
        <w:rFonts w:ascii="Wingdings" w:hAnsi="Wingdings" w:hint="default"/>
      </w:rPr>
    </w:lvl>
  </w:abstractNum>
  <w:abstractNum w:abstractNumId="3"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4"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abstractNum w:abstractNumId="9" w15:restartNumberingAfterBreak="0">
    <w:nsid w:val="7FA52182"/>
    <w:multiLevelType w:val="hybridMultilevel"/>
    <w:tmpl w:val="FF5E6ED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39364209">
    <w:abstractNumId w:val="8"/>
  </w:num>
  <w:num w:numId="2" w16cid:durableId="746927878">
    <w:abstractNumId w:val="0"/>
  </w:num>
  <w:num w:numId="3" w16cid:durableId="1828595638">
    <w:abstractNumId w:val="4"/>
  </w:num>
  <w:num w:numId="4" w16cid:durableId="1234313726">
    <w:abstractNumId w:val="6"/>
  </w:num>
  <w:num w:numId="5" w16cid:durableId="1653438606">
    <w:abstractNumId w:val="3"/>
  </w:num>
  <w:num w:numId="6" w16cid:durableId="475221442">
    <w:abstractNumId w:val="7"/>
  </w:num>
  <w:num w:numId="7" w16cid:durableId="1480532276">
    <w:abstractNumId w:val="1"/>
  </w:num>
  <w:num w:numId="8" w16cid:durableId="1504663115">
    <w:abstractNumId w:val="5"/>
  </w:num>
  <w:num w:numId="9" w16cid:durableId="2146123240">
    <w:abstractNumId w:val="2"/>
  </w:num>
  <w:num w:numId="10" w16cid:durableId="294022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14D"/>
    <w:rsid w:val="00004486"/>
    <w:rsid w:val="00005849"/>
    <w:rsid w:val="00005B80"/>
    <w:rsid w:val="0001315A"/>
    <w:rsid w:val="00015EE2"/>
    <w:rsid w:val="00021097"/>
    <w:rsid w:val="00022320"/>
    <w:rsid w:val="00022956"/>
    <w:rsid w:val="00035158"/>
    <w:rsid w:val="00041A3F"/>
    <w:rsid w:val="00042A7D"/>
    <w:rsid w:val="00047F0A"/>
    <w:rsid w:val="000555E0"/>
    <w:rsid w:val="000677FF"/>
    <w:rsid w:val="0007260E"/>
    <w:rsid w:val="000731FC"/>
    <w:rsid w:val="00074533"/>
    <w:rsid w:val="00074782"/>
    <w:rsid w:val="0008350F"/>
    <w:rsid w:val="00090B78"/>
    <w:rsid w:val="00092AC7"/>
    <w:rsid w:val="000959CD"/>
    <w:rsid w:val="00097C85"/>
    <w:rsid w:val="000A0056"/>
    <w:rsid w:val="000A3E2F"/>
    <w:rsid w:val="000B174A"/>
    <w:rsid w:val="000B2DAA"/>
    <w:rsid w:val="000B3E30"/>
    <w:rsid w:val="000C6304"/>
    <w:rsid w:val="000C6C10"/>
    <w:rsid w:val="000C7A5B"/>
    <w:rsid w:val="000D2A04"/>
    <w:rsid w:val="000D359E"/>
    <w:rsid w:val="000F77B7"/>
    <w:rsid w:val="00102264"/>
    <w:rsid w:val="00103A25"/>
    <w:rsid w:val="0010447F"/>
    <w:rsid w:val="00104927"/>
    <w:rsid w:val="00104B75"/>
    <w:rsid w:val="00105123"/>
    <w:rsid w:val="00106119"/>
    <w:rsid w:val="0010763E"/>
    <w:rsid w:val="00110485"/>
    <w:rsid w:val="001124D9"/>
    <w:rsid w:val="001153A7"/>
    <w:rsid w:val="00125236"/>
    <w:rsid w:val="0013433C"/>
    <w:rsid w:val="00136ABA"/>
    <w:rsid w:val="001411DD"/>
    <w:rsid w:val="001469C5"/>
    <w:rsid w:val="00147202"/>
    <w:rsid w:val="00150081"/>
    <w:rsid w:val="001500E3"/>
    <w:rsid w:val="00154B15"/>
    <w:rsid w:val="0015678D"/>
    <w:rsid w:val="001570AC"/>
    <w:rsid w:val="001645ED"/>
    <w:rsid w:val="00164A80"/>
    <w:rsid w:val="00164C80"/>
    <w:rsid w:val="00173387"/>
    <w:rsid w:val="00173D00"/>
    <w:rsid w:val="00175D66"/>
    <w:rsid w:val="00177453"/>
    <w:rsid w:val="001775B3"/>
    <w:rsid w:val="001A109E"/>
    <w:rsid w:val="001A403C"/>
    <w:rsid w:val="001B1D8C"/>
    <w:rsid w:val="001B2509"/>
    <w:rsid w:val="001B4B30"/>
    <w:rsid w:val="001C35ED"/>
    <w:rsid w:val="001C4143"/>
    <w:rsid w:val="001C539A"/>
    <w:rsid w:val="001D0F10"/>
    <w:rsid w:val="001D1E35"/>
    <w:rsid w:val="001D28C9"/>
    <w:rsid w:val="001E4251"/>
    <w:rsid w:val="001E4745"/>
    <w:rsid w:val="001F0C3A"/>
    <w:rsid w:val="001F639B"/>
    <w:rsid w:val="00201299"/>
    <w:rsid w:val="0020228C"/>
    <w:rsid w:val="00205029"/>
    <w:rsid w:val="00221EA1"/>
    <w:rsid w:val="00231A8F"/>
    <w:rsid w:val="002322DD"/>
    <w:rsid w:val="0023256C"/>
    <w:rsid w:val="0023621D"/>
    <w:rsid w:val="00245C6D"/>
    <w:rsid w:val="002466FF"/>
    <w:rsid w:val="00252BD0"/>
    <w:rsid w:val="00254B3A"/>
    <w:rsid w:val="002565AE"/>
    <w:rsid w:val="00257FE4"/>
    <w:rsid w:val="00263EDF"/>
    <w:rsid w:val="00266853"/>
    <w:rsid w:val="00270D4B"/>
    <w:rsid w:val="00271938"/>
    <w:rsid w:val="00271969"/>
    <w:rsid w:val="00294348"/>
    <w:rsid w:val="00297285"/>
    <w:rsid w:val="002A0D3E"/>
    <w:rsid w:val="002A515B"/>
    <w:rsid w:val="002A7DCA"/>
    <w:rsid w:val="002B233A"/>
    <w:rsid w:val="002B3F7D"/>
    <w:rsid w:val="002C1746"/>
    <w:rsid w:val="002C2395"/>
    <w:rsid w:val="002D48B6"/>
    <w:rsid w:val="002D5072"/>
    <w:rsid w:val="002F26E4"/>
    <w:rsid w:val="002F275D"/>
    <w:rsid w:val="002F33E4"/>
    <w:rsid w:val="002F452D"/>
    <w:rsid w:val="002F7AE4"/>
    <w:rsid w:val="00301447"/>
    <w:rsid w:val="00306618"/>
    <w:rsid w:val="0030723D"/>
    <w:rsid w:val="00314EC9"/>
    <w:rsid w:val="00321B80"/>
    <w:rsid w:val="00321FD1"/>
    <w:rsid w:val="003271B1"/>
    <w:rsid w:val="00327405"/>
    <w:rsid w:val="00332D6E"/>
    <w:rsid w:val="0033304E"/>
    <w:rsid w:val="00335491"/>
    <w:rsid w:val="00336B79"/>
    <w:rsid w:val="003378A9"/>
    <w:rsid w:val="00337A5F"/>
    <w:rsid w:val="00337EFB"/>
    <w:rsid w:val="003408C0"/>
    <w:rsid w:val="00341058"/>
    <w:rsid w:val="00343023"/>
    <w:rsid w:val="00347EE1"/>
    <w:rsid w:val="00354722"/>
    <w:rsid w:val="00360E89"/>
    <w:rsid w:val="00361170"/>
    <w:rsid w:val="00361EFF"/>
    <w:rsid w:val="003700AF"/>
    <w:rsid w:val="00372670"/>
    <w:rsid w:val="0037278D"/>
    <w:rsid w:val="00375FAC"/>
    <w:rsid w:val="003826EB"/>
    <w:rsid w:val="003920D5"/>
    <w:rsid w:val="0039572E"/>
    <w:rsid w:val="003A260A"/>
    <w:rsid w:val="003A7FD9"/>
    <w:rsid w:val="003B7436"/>
    <w:rsid w:val="003E1E3E"/>
    <w:rsid w:val="003E48B2"/>
    <w:rsid w:val="003E5F60"/>
    <w:rsid w:val="003E6A12"/>
    <w:rsid w:val="003F180A"/>
    <w:rsid w:val="003F46E4"/>
    <w:rsid w:val="00401089"/>
    <w:rsid w:val="00402BBE"/>
    <w:rsid w:val="00407F30"/>
    <w:rsid w:val="00413834"/>
    <w:rsid w:val="00422CAD"/>
    <w:rsid w:val="00435723"/>
    <w:rsid w:val="00437B06"/>
    <w:rsid w:val="0044050F"/>
    <w:rsid w:val="004461B2"/>
    <w:rsid w:val="00447EF5"/>
    <w:rsid w:val="004535D7"/>
    <w:rsid w:val="00455BF1"/>
    <w:rsid w:val="004561F3"/>
    <w:rsid w:val="00467749"/>
    <w:rsid w:val="004723A3"/>
    <w:rsid w:val="0047342A"/>
    <w:rsid w:val="00475BA8"/>
    <w:rsid w:val="00475F39"/>
    <w:rsid w:val="00484DD7"/>
    <w:rsid w:val="00485667"/>
    <w:rsid w:val="00486EFF"/>
    <w:rsid w:val="00487226"/>
    <w:rsid w:val="00492AAA"/>
    <w:rsid w:val="00494AFA"/>
    <w:rsid w:val="004958BD"/>
    <w:rsid w:val="00497F4F"/>
    <w:rsid w:val="004A130A"/>
    <w:rsid w:val="004A36BB"/>
    <w:rsid w:val="004A622C"/>
    <w:rsid w:val="004B54E6"/>
    <w:rsid w:val="004B63BC"/>
    <w:rsid w:val="004C098F"/>
    <w:rsid w:val="004C44A2"/>
    <w:rsid w:val="004C620A"/>
    <w:rsid w:val="004C781D"/>
    <w:rsid w:val="004D22AE"/>
    <w:rsid w:val="004E4C27"/>
    <w:rsid w:val="004F15FF"/>
    <w:rsid w:val="004F1EDD"/>
    <w:rsid w:val="004F563A"/>
    <w:rsid w:val="004F7EF9"/>
    <w:rsid w:val="00504A7D"/>
    <w:rsid w:val="00512190"/>
    <w:rsid w:val="00516D1D"/>
    <w:rsid w:val="00521362"/>
    <w:rsid w:val="0052201D"/>
    <w:rsid w:val="00522414"/>
    <w:rsid w:val="0054059D"/>
    <w:rsid w:val="00542504"/>
    <w:rsid w:val="0054792B"/>
    <w:rsid w:val="005522F2"/>
    <w:rsid w:val="00552A6E"/>
    <w:rsid w:val="00563E37"/>
    <w:rsid w:val="00564172"/>
    <w:rsid w:val="00572EF4"/>
    <w:rsid w:val="005765D7"/>
    <w:rsid w:val="005775E4"/>
    <w:rsid w:val="0058037A"/>
    <w:rsid w:val="005823CB"/>
    <w:rsid w:val="005861A4"/>
    <w:rsid w:val="00586BC7"/>
    <w:rsid w:val="00586FA4"/>
    <w:rsid w:val="0058770C"/>
    <w:rsid w:val="0059133E"/>
    <w:rsid w:val="00591829"/>
    <w:rsid w:val="0059325F"/>
    <w:rsid w:val="0059358D"/>
    <w:rsid w:val="00595E03"/>
    <w:rsid w:val="00595F14"/>
    <w:rsid w:val="005A11BD"/>
    <w:rsid w:val="005A1842"/>
    <w:rsid w:val="005A1A99"/>
    <w:rsid w:val="005A3F83"/>
    <w:rsid w:val="005A4B84"/>
    <w:rsid w:val="005A6526"/>
    <w:rsid w:val="005B0270"/>
    <w:rsid w:val="005B3B4D"/>
    <w:rsid w:val="005C1AFC"/>
    <w:rsid w:val="005C68D8"/>
    <w:rsid w:val="005C7880"/>
    <w:rsid w:val="005D37F1"/>
    <w:rsid w:val="005D7464"/>
    <w:rsid w:val="005E03C6"/>
    <w:rsid w:val="005E5719"/>
    <w:rsid w:val="005F008B"/>
    <w:rsid w:val="005F1651"/>
    <w:rsid w:val="005FCF12"/>
    <w:rsid w:val="00611581"/>
    <w:rsid w:val="00612668"/>
    <w:rsid w:val="00613A9E"/>
    <w:rsid w:val="00614310"/>
    <w:rsid w:val="00623478"/>
    <w:rsid w:val="006451D3"/>
    <w:rsid w:val="00651371"/>
    <w:rsid w:val="00653F26"/>
    <w:rsid w:val="00654C00"/>
    <w:rsid w:val="00655886"/>
    <w:rsid w:val="00656A54"/>
    <w:rsid w:val="00662B08"/>
    <w:rsid w:val="006665E4"/>
    <w:rsid w:val="00671E03"/>
    <w:rsid w:val="006812AB"/>
    <w:rsid w:val="0068394B"/>
    <w:rsid w:val="00687631"/>
    <w:rsid w:val="00687DF5"/>
    <w:rsid w:val="00690048"/>
    <w:rsid w:val="00690382"/>
    <w:rsid w:val="006933B8"/>
    <w:rsid w:val="006A0051"/>
    <w:rsid w:val="006A315B"/>
    <w:rsid w:val="006A3AE1"/>
    <w:rsid w:val="006A7465"/>
    <w:rsid w:val="006A755F"/>
    <w:rsid w:val="006A7989"/>
    <w:rsid w:val="006B20A1"/>
    <w:rsid w:val="006C4297"/>
    <w:rsid w:val="006D01D6"/>
    <w:rsid w:val="006D2793"/>
    <w:rsid w:val="006D3AB5"/>
    <w:rsid w:val="006D6A20"/>
    <w:rsid w:val="00700680"/>
    <w:rsid w:val="007030EB"/>
    <w:rsid w:val="00703B1A"/>
    <w:rsid w:val="00704EF5"/>
    <w:rsid w:val="00705C9C"/>
    <w:rsid w:val="00705F3E"/>
    <w:rsid w:val="007062E5"/>
    <w:rsid w:val="00706442"/>
    <w:rsid w:val="00706902"/>
    <w:rsid w:val="00712A2F"/>
    <w:rsid w:val="00714662"/>
    <w:rsid w:val="007149EF"/>
    <w:rsid w:val="00722DAF"/>
    <w:rsid w:val="007300AE"/>
    <w:rsid w:val="007354FE"/>
    <w:rsid w:val="007371E5"/>
    <w:rsid w:val="00743618"/>
    <w:rsid w:val="007459B3"/>
    <w:rsid w:val="007528FC"/>
    <w:rsid w:val="007602AA"/>
    <w:rsid w:val="00761169"/>
    <w:rsid w:val="0076574B"/>
    <w:rsid w:val="007750B7"/>
    <w:rsid w:val="0078046B"/>
    <w:rsid w:val="00783F5A"/>
    <w:rsid w:val="00784A63"/>
    <w:rsid w:val="007A51D1"/>
    <w:rsid w:val="007A6E25"/>
    <w:rsid w:val="007A7EED"/>
    <w:rsid w:val="007B0B98"/>
    <w:rsid w:val="007B0E92"/>
    <w:rsid w:val="007B38BB"/>
    <w:rsid w:val="007B56EC"/>
    <w:rsid w:val="007B7D0F"/>
    <w:rsid w:val="007C2B16"/>
    <w:rsid w:val="007C5A22"/>
    <w:rsid w:val="007C7588"/>
    <w:rsid w:val="007D05CA"/>
    <w:rsid w:val="007D1ECB"/>
    <w:rsid w:val="007D4803"/>
    <w:rsid w:val="007D7EC4"/>
    <w:rsid w:val="007E0898"/>
    <w:rsid w:val="007E5855"/>
    <w:rsid w:val="007F2D75"/>
    <w:rsid w:val="00800606"/>
    <w:rsid w:val="008010C5"/>
    <w:rsid w:val="00811A1F"/>
    <w:rsid w:val="008154C9"/>
    <w:rsid w:val="00815A65"/>
    <w:rsid w:val="00824869"/>
    <w:rsid w:val="0083217A"/>
    <w:rsid w:val="0083576C"/>
    <w:rsid w:val="008367D0"/>
    <w:rsid w:val="0084285F"/>
    <w:rsid w:val="0085246C"/>
    <w:rsid w:val="00852CD9"/>
    <w:rsid w:val="00852EFA"/>
    <w:rsid w:val="00853385"/>
    <w:rsid w:val="00853469"/>
    <w:rsid w:val="00854F6C"/>
    <w:rsid w:val="0085578A"/>
    <w:rsid w:val="00856862"/>
    <w:rsid w:val="00856FB3"/>
    <w:rsid w:val="00863E9E"/>
    <w:rsid w:val="00865E25"/>
    <w:rsid w:val="00866727"/>
    <w:rsid w:val="0087056F"/>
    <w:rsid w:val="008752BB"/>
    <w:rsid w:val="008760B0"/>
    <w:rsid w:val="00876386"/>
    <w:rsid w:val="0088205D"/>
    <w:rsid w:val="00884FD2"/>
    <w:rsid w:val="008911D1"/>
    <w:rsid w:val="0089289A"/>
    <w:rsid w:val="008939D4"/>
    <w:rsid w:val="0089460A"/>
    <w:rsid w:val="0089744D"/>
    <w:rsid w:val="008A2E8A"/>
    <w:rsid w:val="008A44BE"/>
    <w:rsid w:val="008A7299"/>
    <w:rsid w:val="008A77C7"/>
    <w:rsid w:val="008B3D5A"/>
    <w:rsid w:val="008B62C5"/>
    <w:rsid w:val="008C24F5"/>
    <w:rsid w:val="008C2967"/>
    <w:rsid w:val="008C4E44"/>
    <w:rsid w:val="008D23BD"/>
    <w:rsid w:val="008D3375"/>
    <w:rsid w:val="008D61F1"/>
    <w:rsid w:val="008D729E"/>
    <w:rsid w:val="008E05E6"/>
    <w:rsid w:val="008E12A9"/>
    <w:rsid w:val="008E6D77"/>
    <w:rsid w:val="008F0AE6"/>
    <w:rsid w:val="008F1075"/>
    <w:rsid w:val="008F4A4B"/>
    <w:rsid w:val="009025B7"/>
    <w:rsid w:val="009042F4"/>
    <w:rsid w:val="00910222"/>
    <w:rsid w:val="00912E5E"/>
    <w:rsid w:val="009144FC"/>
    <w:rsid w:val="00922489"/>
    <w:rsid w:val="00923871"/>
    <w:rsid w:val="0092579D"/>
    <w:rsid w:val="00930795"/>
    <w:rsid w:val="00940BE5"/>
    <w:rsid w:val="0094255D"/>
    <w:rsid w:val="009449D6"/>
    <w:rsid w:val="00946CA7"/>
    <w:rsid w:val="00951C81"/>
    <w:rsid w:val="00951D93"/>
    <w:rsid w:val="0095208E"/>
    <w:rsid w:val="009615E9"/>
    <w:rsid w:val="00962FC3"/>
    <w:rsid w:val="009638C7"/>
    <w:rsid w:val="009660DE"/>
    <w:rsid w:val="009720C6"/>
    <w:rsid w:val="00972F02"/>
    <w:rsid w:val="009744CB"/>
    <w:rsid w:val="00976EF2"/>
    <w:rsid w:val="0098289E"/>
    <w:rsid w:val="00985BFB"/>
    <w:rsid w:val="00991B66"/>
    <w:rsid w:val="009933AB"/>
    <w:rsid w:val="009938AA"/>
    <w:rsid w:val="009A220C"/>
    <w:rsid w:val="009A3307"/>
    <w:rsid w:val="009A39C7"/>
    <w:rsid w:val="009B2633"/>
    <w:rsid w:val="009B4E30"/>
    <w:rsid w:val="009B5049"/>
    <w:rsid w:val="009B5419"/>
    <w:rsid w:val="009B7327"/>
    <w:rsid w:val="009C176F"/>
    <w:rsid w:val="009C3500"/>
    <w:rsid w:val="009C7185"/>
    <w:rsid w:val="009D1748"/>
    <w:rsid w:val="009D41FA"/>
    <w:rsid w:val="009E5075"/>
    <w:rsid w:val="009E5D0B"/>
    <w:rsid w:val="009F09C0"/>
    <w:rsid w:val="009F3300"/>
    <w:rsid w:val="009F7FF6"/>
    <w:rsid w:val="00A03FA5"/>
    <w:rsid w:val="00A05192"/>
    <w:rsid w:val="00A10329"/>
    <w:rsid w:val="00A113C1"/>
    <w:rsid w:val="00A158F5"/>
    <w:rsid w:val="00A221BA"/>
    <w:rsid w:val="00A230B3"/>
    <w:rsid w:val="00A2359F"/>
    <w:rsid w:val="00A24A98"/>
    <w:rsid w:val="00A25563"/>
    <w:rsid w:val="00A25A2F"/>
    <w:rsid w:val="00A34A96"/>
    <w:rsid w:val="00A42A82"/>
    <w:rsid w:val="00A445AC"/>
    <w:rsid w:val="00A4598C"/>
    <w:rsid w:val="00A463E0"/>
    <w:rsid w:val="00A5100C"/>
    <w:rsid w:val="00A52972"/>
    <w:rsid w:val="00A563C5"/>
    <w:rsid w:val="00A57102"/>
    <w:rsid w:val="00A578BB"/>
    <w:rsid w:val="00A57AF3"/>
    <w:rsid w:val="00A642F2"/>
    <w:rsid w:val="00A64D70"/>
    <w:rsid w:val="00A65C28"/>
    <w:rsid w:val="00A678A4"/>
    <w:rsid w:val="00A8287A"/>
    <w:rsid w:val="00A843D2"/>
    <w:rsid w:val="00A8794D"/>
    <w:rsid w:val="00AA52A2"/>
    <w:rsid w:val="00AA7EFF"/>
    <w:rsid w:val="00AB0EB6"/>
    <w:rsid w:val="00AB22CF"/>
    <w:rsid w:val="00AB2710"/>
    <w:rsid w:val="00AB2F03"/>
    <w:rsid w:val="00AB6072"/>
    <w:rsid w:val="00AB6B79"/>
    <w:rsid w:val="00AC6C19"/>
    <w:rsid w:val="00AC7101"/>
    <w:rsid w:val="00AD2571"/>
    <w:rsid w:val="00AD3745"/>
    <w:rsid w:val="00AD5015"/>
    <w:rsid w:val="00AD5A44"/>
    <w:rsid w:val="00AE24E5"/>
    <w:rsid w:val="00AF4401"/>
    <w:rsid w:val="00AF5123"/>
    <w:rsid w:val="00AF5B28"/>
    <w:rsid w:val="00AF7F94"/>
    <w:rsid w:val="00B04978"/>
    <w:rsid w:val="00B06B20"/>
    <w:rsid w:val="00B07BBD"/>
    <w:rsid w:val="00B146DA"/>
    <w:rsid w:val="00B16C87"/>
    <w:rsid w:val="00B22700"/>
    <w:rsid w:val="00B23945"/>
    <w:rsid w:val="00B23B05"/>
    <w:rsid w:val="00B23EC6"/>
    <w:rsid w:val="00B27D58"/>
    <w:rsid w:val="00B30FE8"/>
    <w:rsid w:val="00B32C72"/>
    <w:rsid w:val="00B3302E"/>
    <w:rsid w:val="00B35C6A"/>
    <w:rsid w:val="00B40CA4"/>
    <w:rsid w:val="00B41B19"/>
    <w:rsid w:val="00B463D3"/>
    <w:rsid w:val="00B500C8"/>
    <w:rsid w:val="00B554C3"/>
    <w:rsid w:val="00B56920"/>
    <w:rsid w:val="00B66223"/>
    <w:rsid w:val="00B73C54"/>
    <w:rsid w:val="00B918E2"/>
    <w:rsid w:val="00B94887"/>
    <w:rsid w:val="00BA0588"/>
    <w:rsid w:val="00BB04B3"/>
    <w:rsid w:val="00BC50D9"/>
    <w:rsid w:val="00BC56FE"/>
    <w:rsid w:val="00BD790F"/>
    <w:rsid w:val="00BD7C93"/>
    <w:rsid w:val="00BD7CEE"/>
    <w:rsid w:val="00BF3820"/>
    <w:rsid w:val="00BF7070"/>
    <w:rsid w:val="00C031B1"/>
    <w:rsid w:val="00C06077"/>
    <w:rsid w:val="00C2550A"/>
    <w:rsid w:val="00C31145"/>
    <w:rsid w:val="00C45AAB"/>
    <w:rsid w:val="00C509AE"/>
    <w:rsid w:val="00C52B24"/>
    <w:rsid w:val="00C53FED"/>
    <w:rsid w:val="00C54A40"/>
    <w:rsid w:val="00C64CF8"/>
    <w:rsid w:val="00C6738D"/>
    <w:rsid w:val="00C704F0"/>
    <w:rsid w:val="00C76C80"/>
    <w:rsid w:val="00C9009C"/>
    <w:rsid w:val="00C90C90"/>
    <w:rsid w:val="00C9358C"/>
    <w:rsid w:val="00C93AC6"/>
    <w:rsid w:val="00CA029C"/>
    <w:rsid w:val="00CA03CC"/>
    <w:rsid w:val="00CA1078"/>
    <w:rsid w:val="00CB1492"/>
    <w:rsid w:val="00CB33B7"/>
    <w:rsid w:val="00CC1843"/>
    <w:rsid w:val="00CC2B2D"/>
    <w:rsid w:val="00CC5C69"/>
    <w:rsid w:val="00CD08FB"/>
    <w:rsid w:val="00CD099B"/>
    <w:rsid w:val="00CD3AF9"/>
    <w:rsid w:val="00CD6222"/>
    <w:rsid w:val="00CF22CB"/>
    <w:rsid w:val="00CF29A7"/>
    <w:rsid w:val="00CF5C27"/>
    <w:rsid w:val="00CF6AD0"/>
    <w:rsid w:val="00D00E87"/>
    <w:rsid w:val="00D01281"/>
    <w:rsid w:val="00D04DC7"/>
    <w:rsid w:val="00D07D73"/>
    <w:rsid w:val="00D112D8"/>
    <w:rsid w:val="00D16093"/>
    <w:rsid w:val="00D17A0C"/>
    <w:rsid w:val="00D21B31"/>
    <w:rsid w:val="00D22416"/>
    <w:rsid w:val="00D22858"/>
    <w:rsid w:val="00D23F7F"/>
    <w:rsid w:val="00D25C70"/>
    <w:rsid w:val="00D25CBE"/>
    <w:rsid w:val="00D27333"/>
    <w:rsid w:val="00D3158A"/>
    <w:rsid w:val="00D36D77"/>
    <w:rsid w:val="00D37805"/>
    <w:rsid w:val="00D449F2"/>
    <w:rsid w:val="00D44FAF"/>
    <w:rsid w:val="00D47B46"/>
    <w:rsid w:val="00D47D8B"/>
    <w:rsid w:val="00D55085"/>
    <w:rsid w:val="00D569BD"/>
    <w:rsid w:val="00D615D6"/>
    <w:rsid w:val="00D725F9"/>
    <w:rsid w:val="00D737CD"/>
    <w:rsid w:val="00D81B4C"/>
    <w:rsid w:val="00D84043"/>
    <w:rsid w:val="00D86C4D"/>
    <w:rsid w:val="00D8708E"/>
    <w:rsid w:val="00D908C5"/>
    <w:rsid w:val="00D91503"/>
    <w:rsid w:val="00D922EA"/>
    <w:rsid w:val="00D93E71"/>
    <w:rsid w:val="00DA0FAC"/>
    <w:rsid w:val="00DA7F75"/>
    <w:rsid w:val="00DB09DB"/>
    <w:rsid w:val="00DB2773"/>
    <w:rsid w:val="00DB2B01"/>
    <w:rsid w:val="00DC7663"/>
    <w:rsid w:val="00DD0F6A"/>
    <w:rsid w:val="00DD2753"/>
    <w:rsid w:val="00DD34D6"/>
    <w:rsid w:val="00DE154E"/>
    <w:rsid w:val="00DE1B93"/>
    <w:rsid w:val="00DE41CA"/>
    <w:rsid w:val="00DF18B3"/>
    <w:rsid w:val="00DF7580"/>
    <w:rsid w:val="00E02C31"/>
    <w:rsid w:val="00E03CAA"/>
    <w:rsid w:val="00E04F72"/>
    <w:rsid w:val="00E07FC2"/>
    <w:rsid w:val="00E16B71"/>
    <w:rsid w:val="00E20321"/>
    <w:rsid w:val="00E26B7B"/>
    <w:rsid w:val="00E33BA5"/>
    <w:rsid w:val="00E35004"/>
    <w:rsid w:val="00E3525C"/>
    <w:rsid w:val="00E415F5"/>
    <w:rsid w:val="00E4305D"/>
    <w:rsid w:val="00E470B3"/>
    <w:rsid w:val="00E50148"/>
    <w:rsid w:val="00E5155F"/>
    <w:rsid w:val="00E52A94"/>
    <w:rsid w:val="00E57028"/>
    <w:rsid w:val="00E57AAA"/>
    <w:rsid w:val="00E6361B"/>
    <w:rsid w:val="00E66A11"/>
    <w:rsid w:val="00E75F56"/>
    <w:rsid w:val="00E7773D"/>
    <w:rsid w:val="00E8012D"/>
    <w:rsid w:val="00E81201"/>
    <w:rsid w:val="00E82354"/>
    <w:rsid w:val="00E85365"/>
    <w:rsid w:val="00E8631F"/>
    <w:rsid w:val="00E9156B"/>
    <w:rsid w:val="00E94179"/>
    <w:rsid w:val="00EA0161"/>
    <w:rsid w:val="00EA3590"/>
    <w:rsid w:val="00EB5569"/>
    <w:rsid w:val="00EB5F24"/>
    <w:rsid w:val="00ED0A21"/>
    <w:rsid w:val="00ED56A2"/>
    <w:rsid w:val="00EE2103"/>
    <w:rsid w:val="00EE3A78"/>
    <w:rsid w:val="00EE418E"/>
    <w:rsid w:val="00EE44EE"/>
    <w:rsid w:val="00EE4FE9"/>
    <w:rsid w:val="00EF2A19"/>
    <w:rsid w:val="00EF3DF7"/>
    <w:rsid w:val="00EF7A28"/>
    <w:rsid w:val="00F006CA"/>
    <w:rsid w:val="00F101BC"/>
    <w:rsid w:val="00F106CF"/>
    <w:rsid w:val="00F27200"/>
    <w:rsid w:val="00F4104A"/>
    <w:rsid w:val="00F41DA0"/>
    <w:rsid w:val="00F42B6E"/>
    <w:rsid w:val="00F47757"/>
    <w:rsid w:val="00F55D89"/>
    <w:rsid w:val="00F56A32"/>
    <w:rsid w:val="00F5724F"/>
    <w:rsid w:val="00F61876"/>
    <w:rsid w:val="00F65C40"/>
    <w:rsid w:val="00F74F02"/>
    <w:rsid w:val="00F76C76"/>
    <w:rsid w:val="00F84B67"/>
    <w:rsid w:val="00F870C2"/>
    <w:rsid w:val="00F97B96"/>
    <w:rsid w:val="00FA7DA4"/>
    <w:rsid w:val="00FB79BD"/>
    <w:rsid w:val="00FC232C"/>
    <w:rsid w:val="00FC476A"/>
    <w:rsid w:val="00FC6133"/>
    <w:rsid w:val="00FD7927"/>
    <w:rsid w:val="00FD7E89"/>
    <w:rsid w:val="00FE3E12"/>
    <w:rsid w:val="00FE7025"/>
    <w:rsid w:val="00FE780F"/>
    <w:rsid w:val="00FF146D"/>
    <w:rsid w:val="00FF45A6"/>
    <w:rsid w:val="00FF788E"/>
    <w:rsid w:val="01589E6A"/>
    <w:rsid w:val="0184B86D"/>
    <w:rsid w:val="024DE12A"/>
    <w:rsid w:val="02B34285"/>
    <w:rsid w:val="02D64867"/>
    <w:rsid w:val="03985E77"/>
    <w:rsid w:val="039D5900"/>
    <w:rsid w:val="03BAD02F"/>
    <w:rsid w:val="04457C99"/>
    <w:rsid w:val="0457FEFD"/>
    <w:rsid w:val="04607D21"/>
    <w:rsid w:val="04BEBB85"/>
    <w:rsid w:val="04DC27F2"/>
    <w:rsid w:val="052932AA"/>
    <w:rsid w:val="059B9755"/>
    <w:rsid w:val="05A23FC0"/>
    <w:rsid w:val="05D8F389"/>
    <w:rsid w:val="06335B73"/>
    <w:rsid w:val="065D78FF"/>
    <w:rsid w:val="0675071B"/>
    <w:rsid w:val="072DBEAB"/>
    <w:rsid w:val="07E1AACB"/>
    <w:rsid w:val="07FB5475"/>
    <w:rsid w:val="082D1E71"/>
    <w:rsid w:val="08A5104B"/>
    <w:rsid w:val="09422200"/>
    <w:rsid w:val="09BE6B74"/>
    <w:rsid w:val="0A590749"/>
    <w:rsid w:val="0BD21632"/>
    <w:rsid w:val="0C7C0301"/>
    <w:rsid w:val="0CF56A26"/>
    <w:rsid w:val="0E00A468"/>
    <w:rsid w:val="0F3C102B"/>
    <w:rsid w:val="106767F5"/>
    <w:rsid w:val="10A2FA6D"/>
    <w:rsid w:val="10C124CA"/>
    <w:rsid w:val="10DBA41B"/>
    <w:rsid w:val="110AF1A5"/>
    <w:rsid w:val="1155B82B"/>
    <w:rsid w:val="116D65FE"/>
    <w:rsid w:val="11A4D109"/>
    <w:rsid w:val="11EDC397"/>
    <w:rsid w:val="1288ECBC"/>
    <w:rsid w:val="12978D45"/>
    <w:rsid w:val="1437D23D"/>
    <w:rsid w:val="14A73E82"/>
    <w:rsid w:val="1502623B"/>
    <w:rsid w:val="1504D84B"/>
    <w:rsid w:val="154934F4"/>
    <w:rsid w:val="17FE4FC2"/>
    <w:rsid w:val="18C1EE2F"/>
    <w:rsid w:val="18E45D62"/>
    <w:rsid w:val="19248F67"/>
    <w:rsid w:val="1951228D"/>
    <w:rsid w:val="19D2D371"/>
    <w:rsid w:val="1A738FD5"/>
    <w:rsid w:val="1A7FCD95"/>
    <w:rsid w:val="1C090336"/>
    <w:rsid w:val="1C960CF2"/>
    <w:rsid w:val="1D0F6D59"/>
    <w:rsid w:val="1F7BD1C9"/>
    <w:rsid w:val="20611099"/>
    <w:rsid w:val="20FE8560"/>
    <w:rsid w:val="21ADDAEE"/>
    <w:rsid w:val="21B5652D"/>
    <w:rsid w:val="21C0C6CB"/>
    <w:rsid w:val="21DEB0C1"/>
    <w:rsid w:val="2215736E"/>
    <w:rsid w:val="2230F0E6"/>
    <w:rsid w:val="228C6956"/>
    <w:rsid w:val="22AA0799"/>
    <w:rsid w:val="22D7AD0F"/>
    <w:rsid w:val="22F09156"/>
    <w:rsid w:val="2495411B"/>
    <w:rsid w:val="250151E2"/>
    <w:rsid w:val="2513C73C"/>
    <w:rsid w:val="25941839"/>
    <w:rsid w:val="25A3857A"/>
    <w:rsid w:val="25B47903"/>
    <w:rsid w:val="26288258"/>
    <w:rsid w:val="2697DF5D"/>
    <w:rsid w:val="26C16358"/>
    <w:rsid w:val="26E8F872"/>
    <w:rsid w:val="26EF5CF9"/>
    <w:rsid w:val="27100D64"/>
    <w:rsid w:val="274FE3C2"/>
    <w:rsid w:val="2827E493"/>
    <w:rsid w:val="286B531F"/>
    <w:rsid w:val="28B7D843"/>
    <w:rsid w:val="28EBFA51"/>
    <w:rsid w:val="291DD236"/>
    <w:rsid w:val="296225F0"/>
    <w:rsid w:val="29DFD125"/>
    <w:rsid w:val="2A65F5C5"/>
    <w:rsid w:val="2B283CDF"/>
    <w:rsid w:val="2BF08A54"/>
    <w:rsid w:val="2D1D8148"/>
    <w:rsid w:val="2D45EB43"/>
    <w:rsid w:val="2D5A0D70"/>
    <w:rsid w:val="2D6C42E7"/>
    <w:rsid w:val="2DAA185B"/>
    <w:rsid w:val="2E4F2417"/>
    <w:rsid w:val="3029DA74"/>
    <w:rsid w:val="3176D6D4"/>
    <w:rsid w:val="31FA8872"/>
    <w:rsid w:val="32A256D4"/>
    <w:rsid w:val="334ED406"/>
    <w:rsid w:val="3356F487"/>
    <w:rsid w:val="335834D0"/>
    <w:rsid w:val="3469FD0B"/>
    <w:rsid w:val="351056FE"/>
    <w:rsid w:val="36ECA7DD"/>
    <w:rsid w:val="37283314"/>
    <w:rsid w:val="390FC104"/>
    <w:rsid w:val="39381F45"/>
    <w:rsid w:val="39455F2F"/>
    <w:rsid w:val="39A39384"/>
    <w:rsid w:val="3B03824F"/>
    <w:rsid w:val="3B296001"/>
    <w:rsid w:val="3B86E36D"/>
    <w:rsid w:val="3B98DC4A"/>
    <w:rsid w:val="3C33D3D9"/>
    <w:rsid w:val="3C3F57CC"/>
    <w:rsid w:val="3C959FBD"/>
    <w:rsid w:val="3CDB998C"/>
    <w:rsid w:val="3CF492EF"/>
    <w:rsid w:val="3D0311D3"/>
    <w:rsid w:val="3D58E1E7"/>
    <w:rsid w:val="3DAA87E5"/>
    <w:rsid w:val="3DE684E2"/>
    <w:rsid w:val="3F634331"/>
    <w:rsid w:val="41127978"/>
    <w:rsid w:val="43555B44"/>
    <w:rsid w:val="43B4C50F"/>
    <w:rsid w:val="43FF1EF7"/>
    <w:rsid w:val="4592E66A"/>
    <w:rsid w:val="464708DC"/>
    <w:rsid w:val="4676B3B5"/>
    <w:rsid w:val="46E8FDBF"/>
    <w:rsid w:val="46F7A8E0"/>
    <w:rsid w:val="47563CD7"/>
    <w:rsid w:val="47DA7C78"/>
    <w:rsid w:val="485D0EF2"/>
    <w:rsid w:val="486C5D32"/>
    <w:rsid w:val="48757381"/>
    <w:rsid w:val="487B0327"/>
    <w:rsid w:val="494D46F0"/>
    <w:rsid w:val="4AC53A49"/>
    <w:rsid w:val="4AE6D911"/>
    <w:rsid w:val="4C699273"/>
    <w:rsid w:val="4C831090"/>
    <w:rsid w:val="4C965B4F"/>
    <w:rsid w:val="4D41432B"/>
    <w:rsid w:val="4DA84208"/>
    <w:rsid w:val="4E0A53E5"/>
    <w:rsid w:val="4EEBE2B0"/>
    <w:rsid w:val="4FAC0631"/>
    <w:rsid w:val="505E7435"/>
    <w:rsid w:val="50866DF6"/>
    <w:rsid w:val="51320834"/>
    <w:rsid w:val="51AD5A72"/>
    <w:rsid w:val="51C3F8F2"/>
    <w:rsid w:val="53785A38"/>
    <w:rsid w:val="537D797A"/>
    <w:rsid w:val="53B76748"/>
    <w:rsid w:val="53BD5FF8"/>
    <w:rsid w:val="53E496BC"/>
    <w:rsid w:val="542EEA64"/>
    <w:rsid w:val="5519B4BD"/>
    <w:rsid w:val="5583DB4B"/>
    <w:rsid w:val="562A577D"/>
    <w:rsid w:val="567EC4CC"/>
    <w:rsid w:val="57C1DD53"/>
    <w:rsid w:val="582D62A5"/>
    <w:rsid w:val="58BCD020"/>
    <w:rsid w:val="5930A49F"/>
    <w:rsid w:val="59AB3463"/>
    <w:rsid w:val="5B52BFFC"/>
    <w:rsid w:val="5B8C35F8"/>
    <w:rsid w:val="5BF4A668"/>
    <w:rsid w:val="5BF65C83"/>
    <w:rsid w:val="5C0EEC6D"/>
    <w:rsid w:val="5C9F9AA3"/>
    <w:rsid w:val="5F589CE7"/>
    <w:rsid w:val="5F931795"/>
    <w:rsid w:val="60963E81"/>
    <w:rsid w:val="60CF78F7"/>
    <w:rsid w:val="61AECAD7"/>
    <w:rsid w:val="628583FF"/>
    <w:rsid w:val="62B54EA0"/>
    <w:rsid w:val="62D3C83F"/>
    <w:rsid w:val="6326E310"/>
    <w:rsid w:val="632909A3"/>
    <w:rsid w:val="639E89BF"/>
    <w:rsid w:val="64DE340D"/>
    <w:rsid w:val="65813EB5"/>
    <w:rsid w:val="65EC8D2D"/>
    <w:rsid w:val="66554D86"/>
    <w:rsid w:val="686520C1"/>
    <w:rsid w:val="69C42427"/>
    <w:rsid w:val="69C72900"/>
    <w:rsid w:val="6AB1B564"/>
    <w:rsid w:val="6BA9084C"/>
    <w:rsid w:val="6C4126FF"/>
    <w:rsid w:val="6CAC2E3F"/>
    <w:rsid w:val="6D8A258B"/>
    <w:rsid w:val="6F1439F2"/>
    <w:rsid w:val="6F5D8FA9"/>
    <w:rsid w:val="6FD8BD04"/>
    <w:rsid w:val="70C8E7DF"/>
    <w:rsid w:val="71171EBC"/>
    <w:rsid w:val="719BBED3"/>
    <w:rsid w:val="71C0BDBC"/>
    <w:rsid w:val="722D872E"/>
    <w:rsid w:val="72502FAD"/>
    <w:rsid w:val="726B14E4"/>
    <w:rsid w:val="72D5255D"/>
    <w:rsid w:val="7381F923"/>
    <w:rsid w:val="74071707"/>
    <w:rsid w:val="747200C4"/>
    <w:rsid w:val="749FB1AF"/>
    <w:rsid w:val="750598D0"/>
    <w:rsid w:val="756FCD8F"/>
    <w:rsid w:val="757DD57B"/>
    <w:rsid w:val="764119D9"/>
    <w:rsid w:val="77E62CC9"/>
    <w:rsid w:val="78AA77B4"/>
    <w:rsid w:val="7A981EF0"/>
    <w:rsid w:val="7BF71844"/>
    <w:rsid w:val="7C207479"/>
    <w:rsid w:val="7C2710FD"/>
    <w:rsid w:val="7C56DAD2"/>
    <w:rsid w:val="7C6D51EA"/>
    <w:rsid w:val="7C8E716A"/>
    <w:rsid w:val="7CCAC0C3"/>
    <w:rsid w:val="7CE2C6B6"/>
    <w:rsid w:val="7D258884"/>
    <w:rsid w:val="7D261E38"/>
    <w:rsid w:val="7D72C018"/>
    <w:rsid w:val="7D90920C"/>
    <w:rsid w:val="7DC7CD5C"/>
    <w:rsid w:val="7F3E59F5"/>
    <w:rsid w:val="7FCA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voorafopgemaakt">
    <w:name w:val="HTML Preformatted"/>
    <w:basedOn w:val="Standaard"/>
    <w:link w:val="HTML-voorafopgemaaktChar"/>
    <w:uiPriority w:val="99"/>
    <w:semiHidden/>
    <w:unhideWhenUsed/>
    <w:rsid w:val="00B554C3"/>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554C3"/>
    <w:rPr>
      <w:rFonts w:ascii="Consolas" w:hAnsi="Consolas"/>
      <w:sz w:val="20"/>
      <w:szCs w:val="20"/>
    </w:rPr>
  </w:style>
  <w:style w:type="paragraph" w:styleId="Normaalweb">
    <w:name w:val="Normal (Web)"/>
    <w:basedOn w:val="Standaard"/>
    <w:uiPriority w:val="99"/>
    <w:semiHidden/>
    <w:unhideWhenUsed/>
    <w:rsid w:val="00FC476A"/>
    <w:rPr>
      <w:rFonts w:ascii="Times New Roman" w:hAnsi="Times New Roman" w:cs="Times New Roman"/>
      <w:sz w:val="24"/>
      <w:szCs w:val="24"/>
    </w:rPr>
  </w:style>
  <w:style w:type="character" w:styleId="Zwaar">
    <w:name w:val="Strong"/>
    <w:basedOn w:val="Standaardalinea-lettertype"/>
    <w:uiPriority w:val="22"/>
    <w:qFormat/>
    <w:rsid w:val="00004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028">
      <w:bodyDiv w:val="1"/>
      <w:marLeft w:val="0"/>
      <w:marRight w:val="0"/>
      <w:marTop w:val="0"/>
      <w:marBottom w:val="0"/>
      <w:divBdr>
        <w:top w:val="none" w:sz="0" w:space="0" w:color="auto"/>
        <w:left w:val="none" w:sz="0" w:space="0" w:color="auto"/>
        <w:bottom w:val="none" w:sz="0" w:space="0" w:color="auto"/>
        <w:right w:val="none" w:sz="0" w:space="0" w:color="auto"/>
      </w:divBdr>
    </w:div>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07967153">
      <w:bodyDiv w:val="1"/>
      <w:marLeft w:val="0"/>
      <w:marRight w:val="0"/>
      <w:marTop w:val="0"/>
      <w:marBottom w:val="0"/>
      <w:divBdr>
        <w:top w:val="none" w:sz="0" w:space="0" w:color="auto"/>
        <w:left w:val="none" w:sz="0" w:space="0" w:color="auto"/>
        <w:bottom w:val="none" w:sz="0" w:space="0" w:color="auto"/>
        <w:right w:val="none" w:sz="0" w:space="0" w:color="auto"/>
      </w:divBdr>
    </w:div>
    <w:div w:id="119418290">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176769280">
      <w:bodyDiv w:val="1"/>
      <w:marLeft w:val="0"/>
      <w:marRight w:val="0"/>
      <w:marTop w:val="0"/>
      <w:marBottom w:val="0"/>
      <w:divBdr>
        <w:top w:val="none" w:sz="0" w:space="0" w:color="auto"/>
        <w:left w:val="none" w:sz="0" w:space="0" w:color="auto"/>
        <w:bottom w:val="none" w:sz="0" w:space="0" w:color="auto"/>
        <w:right w:val="none" w:sz="0" w:space="0" w:color="auto"/>
      </w:divBdr>
      <w:divsChild>
        <w:div w:id="276183204">
          <w:marLeft w:val="0"/>
          <w:marRight w:val="0"/>
          <w:marTop w:val="0"/>
          <w:marBottom w:val="0"/>
          <w:divBdr>
            <w:top w:val="single" w:sz="2" w:space="0" w:color="4E4E4E"/>
            <w:left w:val="single" w:sz="2" w:space="0" w:color="4E4E4E"/>
            <w:bottom w:val="single" w:sz="2" w:space="0" w:color="4E4E4E"/>
            <w:right w:val="single" w:sz="2" w:space="0" w:color="4E4E4E"/>
          </w:divBdr>
          <w:divsChild>
            <w:div w:id="1129974999">
              <w:marLeft w:val="0"/>
              <w:marRight w:val="0"/>
              <w:marTop w:val="0"/>
              <w:marBottom w:val="180"/>
              <w:divBdr>
                <w:top w:val="single" w:sz="2" w:space="0" w:color="4E4E4E"/>
                <w:left w:val="single" w:sz="2" w:space="0" w:color="4E4E4E"/>
                <w:bottom w:val="single" w:sz="2" w:space="0" w:color="4E4E4E"/>
                <w:right w:val="single" w:sz="2" w:space="0" w:color="4E4E4E"/>
              </w:divBdr>
              <w:divsChild>
                <w:div w:id="202837602">
                  <w:marLeft w:val="0"/>
                  <w:marRight w:val="0"/>
                  <w:marTop w:val="0"/>
                  <w:marBottom w:val="0"/>
                  <w:divBdr>
                    <w:top w:val="single" w:sz="2" w:space="0" w:color="4E4E4E"/>
                    <w:left w:val="single" w:sz="2" w:space="0" w:color="4E4E4E"/>
                    <w:bottom w:val="single" w:sz="2" w:space="0" w:color="4E4E4E"/>
                    <w:right w:val="single" w:sz="2" w:space="0" w:color="4E4E4E"/>
                  </w:divBdr>
                  <w:divsChild>
                    <w:div w:id="1851407114">
                      <w:marLeft w:val="0"/>
                      <w:marRight w:val="0"/>
                      <w:marTop w:val="0"/>
                      <w:marBottom w:val="0"/>
                      <w:divBdr>
                        <w:top w:val="single" w:sz="2" w:space="0" w:color="4E4E4E"/>
                        <w:left w:val="single" w:sz="2" w:space="3" w:color="4E4E4E"/>
                        <w:bottom w:val="single" w:sz="2" w:space="0" w:color="4E4E4E"/>
                        <w:right w:val="single" w:sz="2" w:space="0" w:color="4E4E4E"/>
                      </w:divBdr>
                      <w:divsChild>
                        <w:div w:id="1024090542">
                          <w:marLeft w:val="0"/>
                          <w:marRight w:val="0"/>
                          <w:marTop w:val="0"/>
                          <w:marBottom w:val="0"/>
                          <w:divBdr>
                            <w:top w:val="single" w:sz="2" w:space="0" w:color="4E4E4E"/>
                            <w:left w:val="single" w:sz="2" w:space="0" w:color="4E4E4E"/>
                            <w:bottom w:val="single" w:sz="2" w:space="0" w:color="4E4E4E"/>
                            <w:right w:val="single" w:sz="2" w:space="0" w:color="4E4E4E"/>
                          </w:divBdr>
                          <w:divsChild>
                            <w:div w:id="1867138311">
                              <w:marLeft w:val="0"/>
                              <w:marRight w:val="0"/>
                              <w:marTop w:val="0"/>
                              <w:marBottom w:val="0"/>
                              <w:divBdr>
                                <w:top w:val="single" w:sz="2" w:space="0" w:color="4E4E4E"/>
                                <w:left w:val="single" w:sz="2" w:space="0" w:color="4E4E4E"/>
                                <w:bottom w:val="single" w:sz="2" w:space="0" w:color="4E4E4E"/>
                                <w:right w:val="single" w:sz="2" w:space="0" w:color="4E4E4E"/>
                              </w:divBdr>
                              <w:divsChild>
                                <w:div w:id="1851487807">
                                  <w:marLeft w:val="0"/>
                                  <w:marRight w:val="0"/>
                                  <w:marTop w:val="0"/>
                                  <w:marBottom w:val="0"/>
                                  <w:divBdr>
                                    <w:top w:val="single" w:sz="2" w:space="0" w:color="4E4E4E"/>
                                    <w:left w:val="single" w:sz="2" w:space="0" w:color="4E4E4E"/>
                                    <w:bottom w:val="single" w:sz="2" w:space="0" w:color="4E4E4E"/>
                                    <w:right w:val="single" w:sz="2" w:space="0" w:color="4E4E4E"/>
                                  </w:divBdr>
                                  <w:divsChild>
                                    <w:div w:id="1299142011">
                                      <w:marLeft w:val="0"/>
                                      <w:marRight w:val="0"/>
                                      <w:marTop w:val="0"/>
                                      <w:marBottom w:val="0"/>
                                      <w:divBdr>
                                        <w:top w:val="single" w:sz="2" w:space="0" w:color="4E4E4E"/>
                                        <w:left w:val="single" w:sz="2" w:space="0" w:color="4E4E4E"/>
                                        <w:bottom w:val="single" w:sz="2" w:space="0" w:color="4E4E4E"/>
                                        <w:right w:val="single" w:sz="2" w:space="0" w:color="4E4E4E"/>
                                      </w:divBdr>
                                      <w:divsChild>
                                        <w:div w:id="1641960863">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307981822">
      <w:bodyDiv w:val="1"/>
      <w:marLeft w:val="0"/>
      <w:marRight w:val="0"/>
      <w:marTop w:val="0"/>
      <w:marBottom w:val="0"/>
      <w:divBdr>
        <w:top w:val="none" w:sz="0" w:space="0" w:color="auto"/>
        <w:left w:val="none" w:sz="0" w:space="0" w:color="auto"/>
        <w:bottom w:val="none" w:sz="0" w:space="0" w:color="auto"/>
        <w:right w:val="none" w:sz="0" w:space="0" w:color="auto"/>
      </w:divBdr>
    </w:div>
    <w:div w:id="435253661">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593899019">
      <w:bodyDiv w:val="1"/>
      <w:marLeft w:val="0"/>
      <w:marRight w:val="0"/>
      <w:marTop w:val="0"/>
      <w:marBottom w:val="0"/>
      <w:divBdr>
        <w:top w:val="none" w:sz="0" w:space="0" w:color="auto"/>
        <w:left w:val="none" w:sz="0" w:space="0" w:color="auto"/>
        <w:bottom w:val="none" w:sz="0" w:space="0" w:color="auto"/>
        <w:right w:val="none" w:sz="0" w:space="0" w:color="auto"/>
      </w:divBdr>
    </w:div>
    <w:div w:id="609900635">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677385253">
      <w:bodyDiv w:val="1"/>
      <w:marLeft w:val="0"/>
      <w:marRight w:val="0"/>
      <w:marTop w:val="0"/>
      <w:marBottom w:val="0"/>
      <w:divBdr>
        <w:top w:val="none" w:sz="0" w:space="0" w:color="auto"/>
        <w:left w:val="none" w:sz="0" w:space="0" w:color="auto"/>
        <w:bottom w:val="none" w:sz="0" w:space="0" w:color="auto"/>
        <w:right w:val="none" w:sz="0" w:space="0" w:color="auto"/>
      </w:divBdr>
    </w:div>
    <w:div w:id="698705970">
      <w:bodyDiv w:val="1"/>
      <w:marLeft w:val="0"/>
      <w:marRight w:val="0"/>
      <w:marTop w:val="0"/>
      <w:marBottom w:val="0"/>
      <w:divBdr>
        <w:top w:val="none" w:sz="0" w:space="0" w:color="auto"/>
        <w:left w:val="none" w:sz="0" w:space="0" w:color="auto"/>
        <w:bottom w:val="none" w:sz="0" w:space="0" w:color="auto"/>
        <w:right w:val="none" w:sz="0" w:space="0" w:color="auto"/>
      </w:divBdr>
    </w:div>
    <w:div w:id="743992122">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153234">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870071217">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5948625">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172060776">
      <w:bodyDiv w:val="1"/>
      <w:marLeft w:val="0"/>
      <w:marRight w:val="0"/>
      <w:marTop w:val="0"/>
      <w:marBottom w:val="0"/>
      <w:divBdr>
        <w:top w:val="none" w:sz="0" w:space="0" w:color="auto"/>
        <w:left w:val="none" w:sz="0" w:space="0" w:color="auto"/>
        <w:bottom w:val="none" w:sz="0" w:space="0" w:color="auto"/>
        <w:right w:val="none" w:sz="0" w:space="0" w:color="auto"/>
      </w:divBdr>
    </w:div>
    <w:div w:id="1212422674">
      <w:bodyDiv w:val="1"/>
      <w:marLeft w:val="0"/>
      <w:marRight w:val="0"/>
      <w:marTop w:val="0"/>
      <w:marBottom w:val="0"/>
      <w:divBdr>
        <w:top w:val="none" w:sz="0" w:space="0" w:color="auto"/>
        <w:left w:val="none" w:sz="0" w:space="0" w:color="auto"/>
        <w:bottom w:val="none" w:sz="0" w:space="0" w:color="auto"/>
        <w:right w:val="none" w:sz="0" w:space="0" w:color="auto"/>
      </w:divBdr>
    </w:div>
    <w:div w:id="1272784083">
      <w:bodyDiv w:val="1"/>
      <w:marLeft w:val="0"/>
      <w:marRight w:val="0"/>
      <w:marTop w:val="0"/>
      <w:marBottom w:val="0"/>
      <w:divBdr>
        <w:top w:val="none" w:sz="0" w:space="0" w:color="auto"/>
        <w:left w:val="none" w:sz="0" w:space="0" w:color="auto"/>
        <w:bottom w:val="none" w:sz="0" w:space="0" w:color="auto"/>
        <w:right w:val="none" w:sz="0" w:space="0" w:color="auto"/>
      </w:divBdr>
    </w:div>
    <w:div w:id="1275285611">
      <w:bodyDiv w:val="1"/>
      <w:marLeft w:val="0"/>
      <w:marRight w:val="0"/>
      <w:marTop w:val="0"/>
      <w:marBottom w:val="0"/>
      <w:divBdr>
        <w:top w:val="none" w:sz="0" w:space="0" w:color="auto"/>
        <w:left w:val="none" w:sz="0" w:space="0" w:color="auto"/>
        <w:bottom w:val="none" w:sz="0" w:space="0" w:color="auto"/>
        <w:right w:val="none" w:sz="0" w:space="0" w:color="auto"/>
      </w:divBdr>
    </w:div>
    <w:div w:id="1295481301">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42314322">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66908048">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391920965">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44348626">
      <w:bodyDiv w:val="1"/>
      <w:marLeft w:val="0"/>
      <w:marRight w:val="0"/>
      <w:marTop w:val="0"/>
      <w:marBottom w:val="0"/>
      <w:divBdr>
        <w:top w:val="none" w:sz="0" w:space="0" w:color="auto"/>
        <w:left w:val="none" w:sz="0" w:space="0" w:color="auto"/>
        <w:bottom w:val="none" w:sz="0" w:space="0" w:color="auto"/>
        <w:right w:val="none" w:sz="0" w:space="0" w:color="auto"/>
      </w:divBdr>
    </w:div>
    <w:div w:id="1520001048">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710763064">
      <w:bodyDiv w:val="1"/>
      <w:marLeft w:val="0"/>
      <w:marRight w:val="0"/>
      <w:marTop w:val="0"/>
      <w:marBottom w:val="0"/>
      <w:divBdr>
        <w:top w:val="none" w:sz="0" w:space="0" w:color="auto"/>
        <w:left w:val="none" w:sz="0" w:space="0" w:color="auto"/>
        <w:bottom w:val="none" w:sz="0" w:space="0" w:color="auto"/>
        <w:right w:val="none" w:sz="0" w:space="0" w:color="auto"/>
      </w:divBdr>
    </w:div>
    <w:div w:id="1753814102">
      <w:bodyDiv w:val="1"/>
      <w:marLeft w:val="0"/>
      <w:marRight w:val="0"/>
      <w:marTop w:val="0"/>
      <w:marBottom w:val="0"/>
      <w:divBdr>
        <w:top w:val="none" w:sz="0" w:space="0" w:color="auto"/>
        <w:left w:val="none" w:sz="0" w:space="0" w:color="auto"/>
        <w:bottom w:val="none" w:sz="0" w:space="0" w:color="auto"/>
        <w:right w:val="none" w:sz="0" w:space="0" w:color="auto"/>
      </w:divBdr>
    </w:div>
    <w:div w:id="1783568261">
      <w:bodyDiv w:val="1"/>
      <w:marLeft w:val="0"/>
      <w:marRight w:val="0"/>
      <w:marTop w:val="0"/>
      <w:marBottom w:val="0"/>
      <w:divBdr>
        <w:top w:val="none" w:sz="0" w:space="0" w:color="auto"/>
        <w:left w:val="none" w:sz="0" w:space="0" w:color="auto"/>
        <w:bottom w:val="none" w:sz="0" w:space="0" w:color="auto"/>
        <w:right w:val="none" w:sz="0" w:space="0" w:color="auto"/>
      </w:divBdr>
    </w:div>
    <w:div w:id="1820807443">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833180659">
      <w:bodyDiv w:val="1"/>
      <w:marLeft w:val="0"/>
      <w:marRight w:val="0"/>
      <w:marTop w:val="0"/>
      <w:marBottom w:val="0"/>
      <w:divBdr>
        <w:top w:val="none" w:sz="0" w:space="0" w:color="auto"/>
        <w:left w:val="none" w:sz="0" w:space="0" w:color="auto"/>
        <w:bottom w:val="none" w:sz="0" w:space="0" w:color="auto"/>
        <w:right w:val="none" w:sz="0" w:space="0" w:color="auto"/>
      </w:divBdr>
    </w:div>
    <w:div w:id="1841965922">
      <w:bodyDiv w:val="1"/>
      <w:marLeft w:val="0"/>
      <w:marRight w:val="0"/>
      <w:marTop w:val="0"/>
      <w:marBottom w:val="0"/>
      <w:divBdr>
        <w:top w:val="none" w:sz="0" w:space="0" w:color="auto"/>
        <w:left w:val="none" w:sz="0" w:space="0" w:color="auto"/>
        <w:bottom w:val="none" w:sz="0" w:space="0" w:color="auto"/>
        <w:right w:val="none" w:sz="0" w:space="0" w:color="auto"/>
      </w:divBdr>
    </w:div>
    <w:div w:id="1848128096">
      <w:bodyDiv w:val="1"/>
      <w:marLeft w:val="0"/>
      <w:marRight w:val="0"/>
      <w:marTop w:val="0"/>
      <w:marBottom w:val="0"/>
      <w:divBdr>
        <w:top w:val="none" w:sz="0" w:space="0" w:color="auto"/>
        <w:left w:val="none" w:sz="0" w:space="0" w:color="auto"/>
        <w:bottom w:val="none" w:sz="0" w:space="0" w:color="auto"/>
        <w:right w:val="none" w:sz="0" w:space="0" w:color="auto"/>
      </w:divBdr>
    </w:div>
    <w:div w:id="1945577343">
      <w:bodyDiv w:val="1"/>
      <w:marLeft w:val="0"/>
      <w:marRight w:val="0"/>
      <w:marTop w:val="0"/>
      <w:marBottom w:val="0"/>
      <w:divBdr>
        <w:top w:val="none" w:sz="0" w:space="0" w:color="auto"/>
        <w:left w:val="none" w:sz="0" w:space="0" w:color="auto"/>
        <w:bottom w:val="none" w:sz="0" w:space="0" w:color="auto"/>
        <w:right w:val="none" w:sz="0" w:space="0" w:color="auto"/>
      </w:divBdr>
      <w:divsChild>
        <w:div w:id="1630626586">
          <w:marLeft w:val="0"/>
          <w:marRight w:val="0"/>
          <w:marTop w:val="0"/>
          <w:marBottom w:val="0"/>
          <w:divBdr>
            <w:top w:val="single" w:sz="2" w:space="0" w:color="4E4E4E"/>
            <w:left w:val="single" w:sz="2" w:space="0" w:color="4E4E4E"/>
            <w:bottom w:val="single" w:sz="2" w:space="0" w:color="4E4E4E"/>
            <w:right w:val="single" w:sz="2" w:space="0" w:color="4E4E4E"/>
          </w:divBdr>
          <w:divsChild>
            <w:div w:id="1961914175">
              <w:marLeft w:val="0"/>
              <w:marRight w:val="0"/>
              <w:marTop w:val="0"/>
              <w:marBottom w:val="180"/>
              <w:divBdr>
                <w:top w:val="single" w:sz="2" w:space="0" w:color="4E4E4E"/>
                <w:left w:val="single" w:sz="2" w:space="0" w:color="4E4E4E"/>
                <w:bottom w:val="single" w:sz="2" w:space="0" w:color="4E4E4E"/>
                <w:right w:val="single" w:sz="2" w:space="0" w:color="4E4E4E"/>
              </w:divBdr>
              <w:divsChild>
                <w:div w:id="1935045813">
                  <w:marLeft w:val="0"/>
                  <w:marRight w:val="0"/>
                  <w:marTop w:val="0"/>
                  <w:marBottom w:val="0"/>
                  <w:divBdr>
                    <w:top w:val="single" w:sz="2" w:space="0" w:color="4E4E4E"/>
                    <w:left w:val="single" w:sz="2" w:space="0" w:color="4E4E4E"/>
                    <w:bottom w:val="single" w:sz="2" w:space="0" w:color="4E4E4E"/>
                    <w:right w:val="single" w:sz="2" w:space="0" w:color="4E4E4E"/>
                  </w:divBdr>
                  <w:divsChild>
                    <w:div w:id="1174297663">
                      <w:marLeft w:val="0"/>
                      <w:marRight w:val="0"/>
                      <w:marTop w:val="0"/>
                      <w:marBottom w:val="0"/>
                      <w:divBdr>
                        <w:top w:val="single" w:sz="2" w:space="0" w:color="4E4E4E"/>
                        <w:left w:val="single" w:sz="2" w:space="3" w:color="4E4E4E"/>
                        <w:bottom w:val="single" w:sz="2" w:space="0" w:color="4E4E4E"/>
                        <w:right w:val="single" w:sz="2" w:space="0" w:color="4E4E4E"/>
                      </w:divBdr>
                      <w:divsChild>
                        <w:div w:id="638924886">
                          <w:marLeft w:val="0"/>
                          <w:marRight w:val="0"/>
                          <w:marTop w:val="0"/>
                          <w:marBottom w:val="0"/>
                          <w:divBdr>
                            <w:top w:val="single" w:sz="2" w:space="0" w:color="4E4E4E"/>
                            <w:left w:val="single" w:sz="2" w:space="0" w:color="4E4E4E"/>
                            <w:bottom w:val="single" w:sz="2" w:space="0" w:color="4E4E4E"/>
                            <w:right w:val="single" w:sz="2" w:space="0" w:color="4E4E4E"/>
                          </w:divBdr>
                          <w:divsChild>
                            <w:div w:id="910893810">
                              <w:marLeft w:val="0"/>
                              <w:marRight w:val="0"/>
                              <w:marTop w:val="0"/>
                              <w:marBottom w:val="0"/>
                              <w:divBdr>
                                <w:top w:val="single" w:sz="2" w:space="0" w:color="4E4E4E"/>
                                <w:left w:val="single" w:sz="2" w:space="0" w:color="4E4E4E"/>
                                <w:bottom w:val="single" w:sz="2" w:space="0" w:color="4E4E4E"/>
                                <w:right w:val="single" w:sz="2" w:space="0" w:color="4E4E4E"/>
                              </w:divBdr>
                              <w:divsChild>
                                <w:div w:id="1733845470">
                                  <w:marLeft w:val="0"/>
                                  <w:marRight w:val="0"/>
                                  <w:marTop w:val="0"/>
                                  <w:marBottom w:val="0"/>
                                  <w:divBdr>
                                    <w:top w:val="single" w:sz="2" w:space="0" w:color="4E4E4E"/>
                                    <w:left w:val="single" w:sz="2" w:space="0" w:color="4E4E4E"/>
                                    <w:bottom w:val="single" w:sz="2" w:space="0" w:color="4E4E4E"/>
                                    <w:right w:val="single" w:sz="2" w:space="0" w:color="4E4E4E"/>
                                  </w:divBdr>
                                  <w:divsChild>
                                    <w:div w:id="872688232">
                                      <w:marLeft w:val="0"/>
                                      <w:marRight w:val="0"/>
                                      <w:marTop w:val="0"/>
                                      <w:marBottom w:val="0"/>
                                      <w:divBdr>
                                        <w:top w:val="single" w:sz="2" w:space="0" w:color="4E4E4E"/>
                                        <w:left w:val="single" w:sz="2" w:space="0" w:color="4E4E4E"/>
                                        <w:bottom w:val="single" w:sz="2" w:space="0" w:color="4E4E4E"/>
                                        <w:right w:val="single" w:sz="2" w:space="0" w:color="4E4E4E"/>
                                      </w:divBdr>
                                      <w:divsChild>
                                        <w:div w:id="497304815">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981960448">
      <w:bodyDiv w:val="1"/>
      <w:marLeft w:val="0"/>
      <w:marRight w:val="0"/>
      <w:marTop w:val="0"/>
      <w:marBottom w:val="0"/>
      <w:divBdr>
        <w:top w:val="none" w:sz="0" w:space="0" w:color="auto"/>
        <w:left w:val="none" w:sz="0" w:space="0" w:color="auto"/>
        <w:bottom w:val="none" w:sz="0" w:space="0" w:color="auto"/>
        <w:right w:val="none" w:sz="0" w:space="0" w:color="auto"/>
      </w:divBdr>
    </w:div>
    <w:div w:id="2004892783">
      <w:bodyDiv w:val="1"/>
      <w:marLeft w:val="0"/>
      <w:marRight w:val="0"/>
      <w:marTop w:val="0"/>
      <w:marBottom w:val="0"/>
      <w:divBdr>
        <w:top w:val="none" w:sz="0" w:space="0" w:color="auto"/>
        <w:left w:val="none" w:sz="0" w:space="0" w:color="auto"/>
        <w:bottom w:val="none" w:sz="0" w:space="0" w:color="auto"/>
        <w:right w:val="none" w:sz="0" w:space="0" w:color="auto"/>
      </w:divBdr>
    </w:div>
    <w:div w:id="2022657151">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H:/Mijn%20documenten/Europees%20Semester/Europees%20Semester%202026/Dossierbijdragen/260126%20GA%20en%20CoCo%20-%20Eurogroep%20-%20EAR%20goedkeuring.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pen.overheid.nl/documenten/758ed930-2bdf-4f3a-a0e3-01085d184192/file" TargetMode="External"/><Relationship Id="rId3" Type="http://schemas.openxmlformats.org/officeDocument/2006/relationships/hyperlink" Target="https://open.overheid.nl/documenten/19a8b345-710f-4fc6-90b4-b52d36d4e548/file" TargetMode="External"/><Relationship Id="rId7" Type="http://schemas.openxmlformats.org/officeDocument/2006/relationships/hyperlink" Target="https://open.overheid.nl/documenten/e507c46a-d8e3-4506-9130-7d5f7dabe646/file%22" TargetMode="External"/><Relationship Id="rId2" Type="http://schemas.openxmlformats.org/officeDocument/2006/relationships/hyperlink" Target="https://open.overheid.nl/documenten/64ffd0dc-a623-422f-8f7d-4b821a0737cc/file" TargetMode="External"/><Relationship Id="rId1" Type="http://schemas.openxmlformats.org/officeDocument/2006/relationships/hyperlink" Target="https://open.overheid.nl/documenten/ed418deb-4a34-4d8f-add9-1c34a55845cc/file" TargetMode="External"/><Relationship Id="rId6" Type="http://schemas.openxmlformats.org/officeDocument/2006/relationships/hyperlink" Target="https://www.ecb.europa.eu/pub/pdf/ire/ecb.ire202506.en.pdf" TargetMode="External"/><Relationship Id="rId11" Type="http://schemas.openxmlformats.org/officeDocument/2006/relationships/hyperlink" Target="https://open.overheid.nl/documenten/ed418deb-4a34-4d8f-add9-1c34a55845cc/file" TargetMode="External"/><Relationship Id="rId5" Type="http://schemas.openxmlformats.org/officeDocument/2006/relationships/hyperlink" Target="https://www.rijksoverheid.nl/documenten/kamerstukken/2025/03/17/kabinetsinzet-kapitaalmarktunie" TargetMode="External"/><Relationship Id="rId10" Type="http://schemas.openxmlformats.org/officeDocument/2006/relationships/hyperlink" Target="https://www.consilium.europa.eu/en/meetings/european-council/2024/02/01/" TargetMode="External"/><Relationship Id="rId4" Type="http://schemas.openxmlformats.org/officeDocument/2006/relationships/hyperlink" Target="https://www.rapportwennink.nl/" TargetMode="External"/><Relationship Id="rId9" Type="http://schemas.openxmlformats.org/officeDocument/2006/relationships/hyperlink" Target="https://economy-finance.ec.europa.eu/document/download/aef18a4c-e1bd-4840-82b4-e96e77a3f16f_en?filename=ip313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4042</ap:Words>
  <ap:Characters>22231</ap:Characters>
  <ap:DocSecurity>0</ap:DocSecurity>
  <ap:Lines>185</ap:Lines>
  <ap:Paragraphs>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26221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2026-02-05T14:35:00.0000000Z</dcterms:created>
  <dcterms:modified xsi:type="dcterms:W3CDTF">2026-02-05T14:35:00.0000000Z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