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2026Z02497</w:t>
        <w:br/>
      </w:r>
      <w:proofErr w:type="spellEnd"/>
    </w:p>
    <w:p>
      <w:pPr>
        <w:pStyle w:val="Normal"/>
        <w:rPr>
          <w:b w:val="1"/>
          <w:bCs w:val="1"/>
        </w:rPr>
      </w:pPr>
      <w:r w:rsidR="250AE766">
        <w:rPr>
          <w:b w:val="0"/>
          <w:bCs w:val="0"/>
        </w:rPr>
        <w:t>(ingezonden 5 februari 2026)</w:t>
        <w:br/>
      </w:r>
    </w:p>
    <w:p>
      <w:r>
        <w:t xml:space="preserve">Vragen van de leden Van Oosterhout en Bushoff (beiden GroenLinks-PvdA) aan de minister van Klimaat en Groene Groei over de vijf nieuwe putten in gasveld Geesbrug.</w:t>
      </w:r>
      <w:r>
        <w:br/>
      </w:r>
    </w:p>
    <w:p>
      <w:r>
        <w:t xml:space="preserve"> </w:t>
      </w:r>
      <w:r>
        <w:br/>
      </w:r>
    </w:p>
    <w:p>
      <w:pPr>
        <w:pStyle w:val="ListParagraph"/>
        <w:numPr>
          <w:ilvl w:val="0"/>
          <w:numId w:val="100496430"/>
        </w:numPr>
        <w:ind w:left="360"/>
      </w:pPr>
      <w:r>
        <w:t xml:space="preserve">Aangezien u een positief besluit heeft afgegeven aan Vermilion om vijf nieuwe putten te boren in het gasveld Geesbrug in Drenthe, op welke manier zijn de direct omwonenden betrokken bij de besluitvorming daarrond? </w:t>
      </w:r>
      <w:r>
        <w:br/>
      </w:r>
    </w:p>
    <w:p>
      <w:pPr>
        <w:pStyle w:val="ListParagraph"/>
        <w:numPr>
          <w:ilvl w:val="0"/>
          <w:numId w:val="100496430"/>
        </w:numPr>
        <w:ind w:left="360"/>
      </w:pPr>
      <w:r>
        <w:t xml:space="preserve">Welke conclusies zijn uit de risicoanalyse getrokken aangaande het risico op aardbevingen en potentiële schade aan huizen en natuur? Worden er financiële voorzieningen getroffen om eventuele schade te kunnen vergoeden?</w:t>
      </w:r>
      <w:r>
        <w:br/>
      </w:r>
    </w:p>
    <w:p>
      <w:pPr>
        <w:pStyle w:val="ListParagraph"/>
        <w:numPr>
          <w:ilvl w:val="0"/>
          <w:numId w:val="100496430"/>
        </w:numPr>
        <w:ind w:left="360"/>
      </w:pPr>
      <w:r>
        <w:t xml:space="preserve">Zullen er nieuwe, door het Rijk of door Vermilion betaalde nulmetingen plaatsvinden in de omgeving van het boorgebied?</w:t>
      </w:r>
      <w:r>
        <w:br/>
      </w:r>
    </w:p>
    <w:p>
      <w:pPr>
        <w:pStyle w:val="ListParagraph"/>
        <w:numPr>
          <w:ilvl w:val="0"/>
          <w:numId w:val="100496430"/>
        </w:numPr>
        <w:ind w:left="360"/>
      </w:pPr>
      <w:r>
        <w:t xml:space="preserve">Tot hoeveel Megaton CO2-equivalent zal de bijkomende hoeveelheid gas leiden, specifiek voor scope 1, scope 2 en scope 3?</w:t>
      </w:r>
      <w:r>
        <w:br/>
      </w:r>
    </w:p>
    <w:p>
      <w:pPr>
        <w:pStyle w:val="ListParagraph"/>
        <w:numPr>
          <w:ilvl w:val="0"/>
          <w:numId w:val="100496430"/>
        </w:numPr>
        <w:ind w:left="360"/>
      </w:pPr>
      <w:r>
        <w:t xml:space="preserve">Aangezien u op dit moment de uitspraak van het Europees Hof voor de Rechten van de Mens over scope 3 nader aan het bestuderen bent om precies in kaart te kunnen brengen wat dit betekent voor bijvoorbeeld de vergunningverlening, waarom kiest u er dan voor om toch al dit besluit goed te keuren met alle risico's op nieuwe rechtszaken van dien?</w:t>
      </w:r>
      <w:r>
        <w:br/>
      </w:r>
    </w:p>
    <w:p>
      <w:pPr>
        <w:pStyle w:val="ListParagraph"/>
        <w:numPr>
          <w:ilvl w:val="0"/>
          <w:numId w:val="100496430"/>
        </w:numPr>
        <w:ind w:left="360"/>
      </w:pPr>
      <w:r>
        <w:t xml:space="preserve">Hoe is gaswinning tot en met 2049 nog te verenigen met de nationale en internationale klimaatdoelstellingen, in het bijzonder in het licht van de recente uitspraak in de Bonaire-zaak die de staat oplegt om de klimaatdoelen verder aan te scherpen? Welk percentage van het resterende koolstofbudget zal de optelsom van scope 1-, 2- en 3-emissies dan innemen?</w:t>
      </w:r>
      <w:r>
        <w:br/>
      </w:r>
    </w:p>
    <w:p>
      <w:pPr>
        <w:pStyle w:val="ListParagraph"/>
        <w:numPr>
          <w:ilvl w:val="0"/>
          <w:numId w:val="100496430"/>
        </w:numPr>
        <w:ind w:left="360"/>
      </w:pPr>
      <w:r>
        <w:t xml:space="preserve">Hoe betrouwbaar is de door Vermilion aangegeven maximale bodemdaling van 4,5 centimeter? Worden cumulatieve effecten daarbij in de analyse meegenomen?</w:t>
      </w:r>
      <w:r>
        <w:br/>
      </w:r>
    </w:p>
    <w:p>
      <w:pPr>
        <w:pStyle w:val="ListParagraph"/>
        <w:numPr>
          <w:ilvl w:val="0"/>
          <w:numId w:val="100496430"/>
        </w:numPr>
        <w:ind w:left="360"/>
      </w:pPr>
      <w:r>
        <w:t xml:space="preserve">Is de in 2009 vergunde grens voor bodemdaling nog adequaat in het licht van nieuwe wetenschappelijke inzichten en de ervaringen met aardbevingen en bodemdaling in de afgelopen zeventien jaar? </w:t>
      </w:r>
      <w:r>
        <w:br/>
      </w:r>
    </w:p>
    <w:p>
      <w:pPr>
        <w:pStyle w:val="ListParagraph"/>
        <w:numPr>
          <w:ilvl w:val="0"/>
          <w:numId w:val="100496430"/>
        </w:numPr>
        <w:ind w:left="360"/>
      </w:pPr>
      <w:r>
        <w:t xml:space="preserve">Indien bezwaar wordt aangetekend tegen het besluit, welke wettelijke instrumenten heeft u tot uw beschikking om aan dat bezwaar tegemoet te komen? Is het juridisch mogelijk het besluit alsnog in te trekken wanneer uit de bezwaren blijkt dat er in de omgeving weinig draagvlak bestaat? </w:t>
      </w:r>
      <w:r>
        <w:br/>
      </w:r>
    </w:p>
    <w:p>
      <w:pPr>
        <w:pStyle w:val="ListParagraph"/>
        <w:numPr>
          <w:ilvl w:val="0"/>
          <w:numId w:val="100496430"/>
        </w:numPr>
        <w:ind w:left="360"/>
      </w:pPr>
      <w:r>
        <w:t xml:space="preserve">Zal er gehoor gegeven worden aan de oproep van de Commissie Mijnbouwschade om de schaderegeling in Drenthe rechtvaardiger te maken? Zo ja, op welke manier? Zo nee, waarom niet?</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90">
    <w:abstractNumId w:val="10049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