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57196" w:rsidR="008F402A" w:rsidRDefault="008F402A" w14:paraId="53910F1F" w14:textId="77777777"/>
    <w:p w:rsidRPr="00135DDE" w:rsidR="00E56047" w:rsidP="00E56047" w:rsidRDefault="00E56047" w14:paraId="6C12DC82" w14:textId="59DAED07">
      <w:pPr>
        <w:rPr>
          <w:rFonts w:eastAsiaTheme="minorHAnsi" w:cstheme="minorBidi"/>
          <w:szCs w:val="18"/>
          <w:lang w:eastAsia="en-US"/>
        </w:rPr>
      </w:pPr>
      <w:r w:rsidRPr="00D57196">
        <w:rPr>
          <w:rFonts w:eastAsiaTheme="minorHAnsi" w:cstheme="minorBidi"/>
          <w:szCs w:val="18"/>
          <w:lang w:eastAsia="en-US"/>
        </w:rPr>
        <w:t>Bijgaand treft u de elfde voortgangsrapportage van het wetgevingsprogramma nieuw Wetboek van Strafvordering.</w:t>
      </w:r>
      <w:r w:rsidRPr="00D57196">
        <w:rPr>
          <w:rStyle w:val="Voetnootmarkering"/>
          <w:rFonts w:eastAsiaTheme="minorHAnsi" w:cstheme="minorBidi"/>
          <w:szCs w:val="18"/>
          <w:lang w:eastAsia="en-US"/>
        </w:rPr>
        <w:footnoteReference w:id="1"/>
      </w:r>
      <w:r w:rsidRPr="00D57196">
        <w:rPr>
          <w:rFonts w:eastAsiaTheme="minorHAnsi" w:cstheme="minorBidi"/>
          <w:szCs w:val="18"/>
          <w:lang w:eastAsia="en-US"/>
        </w:rPr>
        <w:t xml:space="preserve"> In deze voortgangsrapportage gaan we in op de stand van zaken van dit wetgevingsprogramma. Daarmee voldoen wij aan een verzoek van de Vaste Commissie voor Justitie en Veiligheid in de Tweede </w:t>
      </w:r>
      <w:r w:rsidRPr="00135DDE">
        <w:rPr>
          <w:rFonts w:eastAsiaTheme="minorHAnsi" w:cstheme="minorBidi"/>
          <w:szCs w:val="18"/>
          <w:lang w:eastAsia="en-US"/>
        </w:rPr>
        <w:t xml:space="preserve">Kamer om </w:t>
      </w:r>
      <w:r w:rsidRPr="00135DDE" w:rsidR="002B7974">
        <w:rPr>
          <w:rFonts w:eastAsiaTheme="minorHAnsi" w:cstheme="minorBidi"/>
          <w:szCs w:val="18"/>
          <w:lang w:eastAsia="en-US"/>
        </w:rPr>
        <w:t xml:space="preserve">periodiek </w:t>
      </w:r>
      <w:r w:rsidRPr="00135DDE" w:rsidR="008071E4">
        <w:rPr>
          <w:rFonts w:eastAsiaTheme="minorHAnsi" w:cstheme="minorBidi"/>
          <w:szCs w:val="18"/>
          <w:lang w:eastAsia="en-US"/>
        </w:rPr>
        <w:t>ingelicht te worden</w:t>
      </w:r>
      <w:r w:rsidRPr="00135DDE" w:rsidR="00F05600">
        <w:rPr>
          <w:rFonts w:eastAsiaTheme="minorHAnsi" w:cstheme="minorBidi"/>
          <w:szCs w:val="18"/>
          <w:lang w:eastAsia="en-US"/>
        </w:rPr>
        <w:t xml:space="preserve"> </w:t>
      </w:r>
      <w:r w:rsidRPr="00135DDE">
        <w:rPr>
          <w:rFonts w:eastAsiaTheme="minorHAnsi" w:cstheme="minorBidi"/>
          <w:szCs w:val="18"/>
          <w:lang w:eastAsia="en-US"/>
        </w:rPr>
        <w:t>over de stand van zaken van het programma.</w:t>
      </w:r>
      <w:r w:rsidRPr="00135DDE" w:rsidR="002B7974">
        <w:rPr>
          <w:rStyle w:val="Voetnootmarkering"/>
          <w:rFonts w:eastAsiaTheme="minorHAnsi" w:cstheme="minorBidi"/>
          <w:szCs w:val="18"/>
          <w:lang w:eastAsia="en-US"/>
        </w:rPr>
        <w:footnoteReference w:id="2"/>
      </w:r>
      <w:r w:rsidRPr="00135DDE">
        <w:rPr>
          <w:rFonts w:eastAsiaTheme="minorHAnsi" w:cstheme="minorBidi"/>
          <w:szCs w:val="18"/>
          <w:lang w:eastAsia="en-US"/>
        </w:rPr>
        <w:br/>
      </w:r>
      <w:r w:rsidRPr="00135DDE">
        <w:rPr>
          <w:rFonts w:eastAsiaTheme="minorHAnsi" w:cstheme="minorBidi"/>
          <w:szCs w:val="18"/>
          <w:lang w:eastAsia="en-US"/>
        </w:rPr>
        <w:br/>
      </w:r>
      <w:r w:rsidRPr="00135DDE">
        <w:rPr>
          <w:rFonts w:eastAsiaTheme="minorHAnsi" w:cstheme="minorBidi"/>
          <w:szCs w:val="18"/>
          <w:lang w:eastAsia="en-US"/>
        </w:rPr>
        <w:br/>
        <w:t>De Staatssecretaris van Justitie en Veiligheid,</w:t>
      </w:r>
    </w:p>
    <w:p w:rsidRPr="00135DDE" w:rsidR="00E56047" w:rsidP="00E56047" w:rsidRDefault="00E56047" w14:paraId="2AA2633C" w14:textId="77777777">
      <w:pPr>
        <w:rPr>
          <w:rFonts w:eastAsiaTheme="minorHAnsi" w:cstheme="minorBidi"/>
          <w:szCs w:val="18"/>
          <w:lang w:eastAsia="en-US"/>
        </w:rPr>
      </w:pPr>
    </w:p>
    <w:p w:rsidRPr="00135DDE" w:rsidR="00E56047" w:rsidP="00E56047" w:rsidRDefault="00E56047" w14:paraId="32C5BFF3" w14:textId="77777777">
      <w:pPr>
        <w:rPr>
          <w:rFonts w:eastAsiaTheme="minorHAnsi" w:cstheme="minorBidi"/>
          <w:szCs w:val="18"/>
          <w:lang w:eastAsia="en-US"/>
        </w:rPr>
      </w:pPr>
    </w:p>
    <w:p w:rsidRPr="00135DDE" w:rsidR="00135DDE" w:rsidP="00E56047" w:rsidRDefault="00135DDE" w14:paraId="37584D47" w14:textId="77777777">
      <w:pPr>
        <w:rPr>
          <w:rFonts w:eastAsiaTheme="minorHAnsi" w:cstheme="minorBidi"/>
          <w:szCs w:val="18"/>
          <w:lang w:eastAsia="en-US"/>
        </w:rPr>
      </w:pPr>
    </w:p>
    <w:p w:rsidRPr="00135DDE" w:rsidR="00E56047" w:rsidP="00E56047" w:rsidRDefault="00E56047" w14:paraId="6761AE3C" w14:textId="77777777">
      <w:pPr>
        <w:rPr>
          <w:rFonts w:eastAsiaTheme="minorHAnsi" w:cstheme="minorBidi"/>
          <w:szCs w:val="18"/>
          <w:lang w:eastAsia="en-US"/>
        </w:rPr>
      </w:pPr>
    </w:p>
    <w:p w:rsidRPr="00135DDE" w:rsidR="00135DDE" w:rsidP="00E56047" w:rsidRDefault="00E56047" w14:paraId="676A5045" w14:textId="749652A9">
      <w:pPr>
        <w:rPr>
          <w:rFonts w:eastAsiaTheme="minorHAnsi" w:cstheme="minorBidi"/>
          <w:szCs w:val="18"/>
          <w:lang w:eastAsia="en-US"/>
        </w:rPr>
      </w:pPr>
      <w:r w:rsidRPr="00135DDE">
        <w:rPr>
          <w:rFonts w:eastAsiaTheme="minorHAnsi" w:cstheme="minorBidi"/>
          <w:szCs w:val="18"/>
          <w:lang w:eastAsia="en-US"/>
        </w:rPr>
        <w:t>mr. A.C.L. Rutte</w:t>
      </w:r>
    </w:p>
    <w:p w:rsidRPr="00135DDE" w:rsidR="00E56047" w:rsidP="00E56047" w:rsidRDefault="00E56047" w14:paraId="04B0B274" w14:textId="77777777">
      <w:pPr>
        <w:rPr>
          <w:rFonts w:eastAsiaTheme="minorHAnsi" w:cstheme="minorBidi"/>
          <w:szCs w:val="18"/>
          <w:lang w:eastAsia="en-US"/>
        </w:rPr>
      </w:pPr>
    </w:p>
    <w:p w:rsidRPr="00135DDE" w:rsidR="00E56047" w:rsidP="00E56047" w:rsidRDefault="00E56047" w14:paraId="09BABC40" w14:textId="77777777">
      <w:pPr>
        <w:rPr>
          <w:rFonts w:eastAsiaTheme="minorHAnsi" w:cstheme="minorBidi"/>
          <w:szCs w:val="18"/>
          <w:lang w:eastAsia="en-US"/>
        </w:rPr>
      </w:pPr>
    </w:p>
    <w:p w:rsidRPr="00135DDE" w:rsidR="00E56047" w:rsidP="00E56047" w:rsidRDefault="00E56047" w14:paraId="5BD487E3" w14:textId="77777777">
      <w:pPr>
        <w:rPr>
          <w:rFonts w:eastAsiaTheme="minorHAnsi" w:cstheme="minorBidi"/>
          <w:szCs w:val="18"/>
          <w:lang w:eastAsia="en-US"/>
        </w:rPr>
      </w:pPr>
      <w:r w:rsidRPr="00135DDE">
        <w:rPr>
          <w:rFonts w:eastAsiaTheme="minorHAnsi" w:cstheme="minorBidi"/>
          <w:szCs w:val="18"/>
          <w:lang w:eastAsia="en-US"/>
        </w:rPr>
        <w:t>De Minister van Justitie en Veiligheid,</w:t>
      </w:r>
    </w:p>
    <w:p w:rsidRPr="00135DDE" w:rsidR="00E56047" w:rsidP="00E56047" w:rsidRDefault="00E56047" w14:paraId="036E08DA" w14:textId="77777777">
      <w:pPr>
        <w:rPr>
          <w:rFonts w:eastAsiaTheme="minorHAnsi" w:cstheme="minorBidi"/>
          <w:szCs w:val="18"/>
          <w:lang w:eastAsia="en-US"/>
        </w:rPr>
      </w:pPr>
    </w:p>
    <w:p w:rsidRPr="00135DDE" w:rsidR="00E56047" w:rsidP="00E56047" w:rsidRDefault="00E56047" w14:paraId="2F565090" w14:textId="77777777">
      <w:pPr>
        <w:rPr>
          <w:rFonts w:eastAsiaTheme="minorHAnsi" w:cstheme="minorBidi"/>
          <w:szCs w:val="18"/>
          <w:lang w:eastAsia="en-US"/>
        </w:rPr>
      </w:pPr>
    </w:p>
    <w:p w:rsidRPr="00135DDE" w:rsidR="00E56047" w:rsidP="00E56047" w:rsidRDefault="00E56047" w14:paraId="1D5D7516" w14:textId="77777777">
      <w:pPr>
        <w:rPr>
          <w:rFonts w:eastAsiaTheme="minorHAnsi" w:cstheme="minorBidi"/>
          <w:szCs w:val="18"/>
          <w:lang w:eastAsia="en-US"/>
        </w:rPr>
      </w:pPr>
    </w:p>
    <w:p w:rsidRPr="00135DDE" w:rsidR="00135DDE" w:rsidP="00E56047" w:rsidRDefault="00135DDE" w14:paraId="04413ADE" w14:textId="77777777">
      <w:pPr>
        <w:rPr>
          <w:rFonts w:eastAsiaTheme="minorHAnsi" w:cstheme="minorBidi"/>
          <w:szCs w:val="18"/>
          <w:lang w:eastAsia="en-US"/>
        </w:rPr>
      </w:pPr>
    </w:p>
    <w:p w:rsidRPr="00135DDE" w:rsidR="00E56047" w:rsidP="00E56047" w:rsidRDefault="00E56047" w14:paraId="3B6E91E9" w14:textId="392E1A9F">
      <w:pPr>
        <w:rPr>
          <w:rFonts w:eastAsiaTheme="minorHAnsi" w:cstheme="minorBidi"/>
          <w:szCs w:val="18"/>
          <w:lang w:eastAsia="en-US"/>
        </w:rPr>
      </w:pPr>
      <w:proofErr w:type="spellStart"/>
      <w:r w:rsidRPr="00135DDE">
        <w:rPr>
          <w:rFonts w:eastAsiaTheme="minorHAnsi" w:cstheme="minorBidi"/>
          <w:szCs w:val="18"/>
          <w:lang w:eastAsia="en-US"/>
        </w:rPr>
        <w:t>F</w:t>
      </w:r>
      <w:r w:rsidR="00BF647C">
        <w:rPr>
          <w:rFonts w:eastAsiaTheme="minorHAnsi" w:cstheme="minorBidi"/>
          <w:szCs w:val="18"/>
          <w:lang w:eastAsia="en-US"/>
        </w:rPr>
        <w:t>oort</w:t>
      </w:r>
      <w:proofErr w:type="spellEnd"/>
      <w:r w:rsidR="00BF647C">
        <w:rPr>
          <w:rFonts w:eastAsiaTheme="minorHAnsi" w:cstheme="minorBidi"/>
          <w:szCs w:val="18"/>
          <w:lang w:eastAsia="en-US"/>
        </w:rPr>
        <w:t xml:space="preserve"> </w:t>
      </w:r>
      <w:r w:rsidRPr="00135DDE">
        <w:rPr>
          <w:rFonts w:eastAsiaTheme="minorHAnsi" w:cstheme="minorBidi"/>
          <w:szCs w:val="18"/>
          <w:lang w:eastAsia="en-US"/>
        </w:rPr>
        <w:t>van Oosten</w:t>
      </w:r>
    </w:p>
    <w:p w:rsidRPr="008D122E" w:rsidR="002E53B0" w:rsidP="002E53B0" w:rsidRDefault="00E56047" w14:paraId="58BB27E5" w14:textId="77777777">
      <w:pPr>
        <w:rPr>
          <w:rFonts w:eastAsiaTheme="minorHAnsi" w:cstheme="minorBidi"/>
          <w:b/>
          <w:bCs/>
          <w:szCs w:val="18"/>
          <w:lang w:eastAsia="en-US"/>
        </w:rPr>
      </w:pPr>
      <w:r w:rsidRPr="00135DDE">
        <w:rPr>
          <w:rFonts w:eastAsiaTheme="minorHAnsi" w:cstheme="minorBidi"/>
          <w:szCs w:val="18"/>
          <w:lang w:eastAsia="en-US"/>
        </w:rPr>
        <w:br w:type="page"/>
      </w:r>
      <w:bookmarkStart w:name="_Hlk212815392" w:id="0"/>
      <w:r w:rsidRPr="008D122E" w:rsidR="002E53B0">
        <w:rPr>
          <w:rFonts w:eastAsiaTheme="minorHAnsi" w:cstheme="minorBidi"/>
          <w:b/>
          <w:bCs/>
          <w:szCs w:val="18"/>
          <w:lang w:eastAsia="en-US"/>
        </w:rPr>
        <w:lastRenderedPageBreak/>
        <w:t>Elfde voortgangsrapportage wetgevingsprogramma nieuw Wetboek van Strafvordering</w:t>
      </w:r>
    </w:p>
    <w:p w:rsidRPr="008D122E" w:rsidR="002E53B0" w:rsidP="002E53B0" w:rsidRDefault="002E53B0" w14:paraId="1EF66402" w14:textId="77777777">
      <w:pPr>
        <w:rPr>
          <w:rFonts w:eastAsiaTheme="minorHAnsi" w:cstheme="minorBidi"/>
          <w:b/>
          <w:bCs/>
          <w:szCs w:val="18"/>
          <w:lang w:eastAsia="en-US"/>
        </w:rPr>
      </w:pPr>
    </w:p>
    <w:p w:rsidRPr="008D122E" w:rsidR="002E53B0" w:rsidP="002E53B0" w:rsidRDefault="002E53B0" w14:paraId="6D675A6B" w14:textId="77777777">
      <w:pPr>
        <w:rPr>
          <w:rFonts w:eastAsiaTheme="minorHAnsi" w:cstheme="minorBidi"/>
          <w:b/>
          <w:bCs/>
          <w:szCs w:val="18"/>
          <w:lang w:eastAsia="en-US"/>
        </w:rPr>
      </w:pPr>
    </w:p>
    <w:p w:rsidRPr="008D122E" w:rsidR="002E53B0" w:rsidP="002E53B0" w:rsidRDefault="002E53B0" w14:paraId="3104B5D4" w14:textId="77777777">
      <w:pPr>
        <w:rPr>
          <w:rFonts w:eastAsiaTheme="minorHAnsi" w:cstheme="minorBidi"/>
          <w:b/>
          <w:bCs/>
          <w:szCs w:val="18"/>
          <w:lang w:eastAsia="en-US"/>
        </w:rPr>
      </w:pPr>
      <w:r w:rsidRPr="008D122E">
        <w:rPr>
          <w:rFonts w:eastAsiaTheme="minorHAnsi" w:cstheme="minorBidi"/>
          <w:b/>
          <w:bCs/>
          <w:szCs w:val="18"/>
          <w:lang w:eastAsia="en-US"/>
        </w:rPr>
        <w:t>1. Inleiding</w:t>
      </w:r>
    </w:p>
    <w:p w:rsidRPr="008D122E" w:rsidR="002E53B0" w:rsidP="002E53B0" w:rsidRDefault="002E53B0" w14:paraId="1CC062B4" w14:textId="77777777">
      <w:pPr>
        <w:rPr>
          <w:rFonts w:eastAsiaTheme="minorHAnsi" w:cstheme="minorBidi"/>
          <w:b/>
          <w:bCs/>
          <w:szCs w:val="18"/>
          <w:lang w:eastAsia="en-US"/>
        </w:rPr>
      </w:pPr>
    </w:p>
    <w:p w:rsidRPr="008D122E" w:rsidR="002E53B0" w:rsidP="002E53B0" w:rsidRDefault="002E53B0" w14:paraId="1B976152" w14:textId="77777777">
      <w:pPr>
        <w:pStyle w:val="broodtekst"/>
      </w:pPr>
      <w:r w:rsidRPr="008D122E">
        <w:t>Sinds 2014 wordt gewerkt aan de totstandkoming van een nieuw Wetboek van Strafvordering. In het regeerprogramma is het nieuwe wetboek genoemd als nieuwe wetgeving ten behoeve van de nationale veiligheid en is vermeld dat het kabinet actief regie voert op alle noodzakelijke voorbereidingen van de betrokken organisaties met het oog op de geplande inwerkingtreding van dit nieuwe wetboek op 1 april 2029.</w:t>
      </w:r>
    </w:p>
    <w:p w:rsidRPr="008D122E" w:rsidR="002E53B0" w:rsidP="002E53B0" w:rsidRDefault="002E53B0" w14:paraId="197D36AC" w14:textId="77777777">
      <w:pPr>
        <w:pStyle w:val="broodtekst"/>
      </w:pPr>
    </w:p>
    <w:p w:rsidRPr="008D122E" w:rsidR="002E53B0" w:rsidP="002E53B0" w:rsidRDefault="002E53B0" w14:paraId="73A71A94" w14:textId="77777777">
      <w:pPr>
        <w:pStyle w:val="broodtekst"/>
        <w:rPr>
          <w:rFonts w:eastAsiaTheme="minorHAnsi" w:cstheme="minorBidi"/>
          <w:lang w:eastAsia="en-US"/>
        </w:rPr>
      </w:pPr>
      <w:r w:rsidRPr="008D122E">
        <w:t>Door middel van voortgangsrapportages worden</w:t>
      </w:r>
      <w:r w:rsidRPr="008D122E">
        <w:rPr>
          <w:rFonts w:eastAsiaTheme="minorHAnsi" w:cstheme="minorBidi"/>
          <w:lang w:eastAsia="en-US"/>
        </w:rPr>
        <w:t xml:space="preserve"> de Tweede Kamer en de Eerste Kamer periodiek ingelicht over dit wetgevingsprogramma. De vorige (tiende) voortgangsrapportage dateert van 6 december 2024.</w:t>
      </w:r>
      <w:r w:rsidRPr="008D122E">
        <w:rPr>
          <w:rStyle w:val="Voetnootmarkering"/>
          <w:rFonts w:eastAsiaTheme="minorHAnsi" w:cstheme="minorBidi"/>
          <w:lang w:eastAsia="en-US"/>
        </w:rPr>
        <w:footnoteReference w:id="3"/>
      </w:r>
      <w:r w:rsidRPr="008D122E">
        <w:rPr>
          <w:rFonts w:eastAsiaTheme="minorHAnsi" w:cstheme="minorBidi"/>
          <w:lang w:eastAsia="en-US"/>
        </w:rPr>
        <w:t xml:space="preserve"> Met deze elfde voortgangsrapportage informeren wij u over de laatste stand van zaken van dit omvangrijke wetgevingsprogramma. Wij doen dit voordat de mondelinge behandeling van de vaststellingswetgeving van het nieuwe Wetboek van Strafvordering in de Eerste Kamer (10 februari 2026).</w:t>
      </w:r>
    </w:p>
    <w:p w:rsidRPr="008D122E" w:rsidR="002E53B0" w:rsidP="002E53B0" w:rsidRDefault="002E53B0" w14:paraId="6CB3A583" w14:textId="77777777">
      <w:pPr>
        <w:pStyle w:val="broodtekst"/>
        <w:rPr>
          <w:rFonts w:eastAsiaTheme="minorHAnsi" w:cstheme="minorBidi"/>
          <w:lang w:eastAsia="en-US"/>
        </w:rPr>
      </w:pPr>
    </w:p>
    <w:p w:rsidRPr="008D122E" w:rsidR="002E53B0" w:rsidP="002E53B0" w:rsidRDefault="002E53B0" w14:paraId="42E17545" w14:textId="77777777">
      <w:pPr>
        <w:pStyle w:val="broodtekst"/>
        <w:rPr>
          <w:rFonts w:eastAsiaTheme="minorHAnsi" w:cstheme="minorBidi"/>
          <w:lang w:eastAsia="en-US"/>
        </w:rPr>
      </w:pPr>
      <w:r w:rsidRPr="008D122E">
        <w:rPr>
          <w:rFonts w:eastAsiaTheme="minorHAnsi" w:cstheme="minorBidi"/>
          <w:lang w:eastAsia="en-US"/>
        </w:rPr>
        <w:t>Sinds de vorige voortgangsrapportage zijn belangrijke stappen gezet. Hierover wordt u geïnformeerd in de volgende paragrafen:</w:t>
      </w:r>
    </w:p>
    <w:p w:rsidRPr="008D122E" w:rsidR="002E53B0" w:rsidP="002E53B0" w:rsidRDefault="002E53B0" w14:paraId="5E5CBA72" w14:textId="77777777">
      <w:pPr>
        <w:pStyle w:val="broodtekst"/>
        <w:rPr>
          <w:rFonts w:eastAsiaTheme="minorHAnsi" w:cstheme="minorBidi"/>
          <w:lang w:eastAsia="en-US"/>
        </w:rPr>
      </w:pPr>
      <w:r w:rsidRPr="008D122E">
        <w:rPr>
          <w:rFonts w:eastAsiaTheme="minorHAnsi" w:cstheme="minorBidi"/>
          <w:lang w:eastAsia="en-US"/>
        </w:rPr>
        <w:t>2. Voortgang wetgeving, verslag van de inspanningen in 2025.</w:t>
      </w:r>
    </w:p>
    <w:p w:rsidRPr="008D122E" w:rsidR="002E53B0" w:rsidP="002E53B0" w:rsidRDefault="002E53B0" w14:paraId="26699436" w14:textId="77777777">
      <w:pPr>
        <w:pStyle w:val="broodtekst"/>
        <w:rPr>
          <w:rFonts w:eastAsiaTheme="minorHAnsi" w:cstheme="minorBidi"/>
          <w:lang w:eastAsia="en-US"/>
        </w:rPr>
      </w:pPr>
      <w:r w:rsidRPr="008D122E">
        <w:rPr>
          <w:rFonts w:eastAsiaTheme="minorHAnsi" w:cstheme="minorBidi"/>
          <w:lang w:eastAsia="en-US"/>
        </w:rPr>
        <w:t xml:space="preserve">3. Structurele uitvoeringsconsequenties. Actuele stand van zaken. </w:t>
      </w:r>
    </w:p>
    <w:p w:rsidRPr="008D122E" w:rsidR="002E53B0" w:rsidP="002E53B0" w:rsidRDefault="002E53B0" w14:paraId="3B67AB91" w14:textId="77777777">
      <w:pPr>
        <w:pStyle w:val="broodtekst"/>
        <w:rPr>
          <w:rFonts w:eastAsiaTheme="minorHAnsi" w:cstheme="minorBidi"/>
          <w:b/>
          <w:bCs/>
          <w:lang w:eastAsia="en-US"/>
        </w:rPr>
      </w:pPr>
      <w:r w:rsidRPr="008D122E">
        <w:rPr>
          <w:rFonts w:eastAsiaTheme="minorHAnsi" w:cstheme="minorBidi"/>
          <w:lang w:eastAsia="en-US"/>
        </w:rPr>
        <w:t xml:space="preserve">4. Implementatie. De voorbereiding van de implementatie. </w:t>
      </w:r>
    </w:p>
    <w:p w:rsidRPr="008D122E" w:rsidR="002E53B0" w:rsidP="002E53B0" w:rsidRDefault="002E53B0" w14:paraId="132DAC40" w14:textId="77777777">
      <w:pPr>
        <w:pStyle w:val="broodtekst"/>
        <w:rPr>
          <w:rFonts w:eastAsiaTheme="minorHAnsi" w:cstheme="minorBidi"/>
          <w:b/>
          <w:bCs/>
          <w:lang w:eastAsia="en-US"/>
        </w:rPr>
      </w:pPr>
    </w:p>
    <w:p w:rsidRPr="008D122E" w:rsidR="002E53B0" w:rsidP="002E53B0" w:rsidRDefault="002E53B0" w14:paraId="5A35CD2B" w14:textId="77777777">
      <w:pPr>
        <w:rPr>
          <w:rFonts w:eastAsiaTheme="minorHAnsi" w:cstheme="minorBidi"/>
          <w:b/>
          <w:bCs/>
          <w:szCs w:val="18"/>
          <w:lang w:eastAsia="en-US"/>
        </w:rPr>
      </w:pPr>
      <w:r w:rsidRPr="008D122E">
        <w:rPr>
          <w:rFonts w:eastAsiaTheme="minorHAnsi" w:cstheme="minorBidi"/>
          <w:b/>
          <w:bCs/>
          <w:szCs w:val="18"/>
          <w:lang w:eastAsia="en-US"/>
        </w:rPr>
        <w:t>2. Voortgang wetgeving</w:t>
      </w:r>
    </w:p>
    <w:p w:rsidRPr="008D122E" w:rsidR="002E53B0" w:rsidP="002E53B0" w:rsidRDefault="002E53B0" w14:paraId="5D0CD41E" w14:textId="77777777">
      <w:pPr>
        <w:rPr>
          <w:rFonts w:eastAsiaTheme="minorHAnsi" w:cstheme="minorBidi"/>
          <w:b/>
          <w:bCs/>
          <w:szCs w:val="18"/>
          <w:lang w:eastAsia="en-US"/>
        </w:rPr>
      </w:pPr>
    </w:p>
    <w:p w:rsidRPr="008D122E" w:rsidR="002E53B0" w:rsidP="002E53B0" w:rsidRDefault="002E53B0" w14:paraId="50327982" w14:textId="77777777">
      <w:pPr>
        <w:pStyle w:val="broodtekst"/>
        <w:rPr>
          <w:rFonts w:eastAsiaTheme="minorHAnsi" w:cstheme="minorBidi"/>
          <w:lang w:eastAsia="en-US"/>
        </w:rPr>
      </w:pPr>
      <w:r w:rsidRPr="008D122E">
        <w:rPr>
          <w:rFonts w:eastAsiaTheme="minorHAnsi" w:cstheme="minorBidi"/>
          <w:i/>
          <w:iCs/>
          <w:lang w:eastAsia="en-US"/>
        </w:rPr>
        <w:t>2.1 Inleiding</w:t>
      </w:r>
      <w:r w:rsidRPr="008D122E">
        <w:rPr>
          <w:rFonts w:eastAsiaTheme="minorHAnsi" w:cstheme="minorBidi"/>
          <w:i/>
          <w:iCs/>
          <w:lang w:eastAsia="en-US"/>
        </w:rPr>
        <w:br/>
      </w:r>
      <w:r w:rsidRPr="008D122E">
        <w:rPr>
          <w:rFonts w:eastAsiaTheme="minorHAnsi" w:cstheme="minorBidi"/>
          <w:lang w:eastAsia="en-US"/>
        </w:rPr>
        <w:t>Het wetgevingsprogramma nieuw Wetboek van Strafvordering is een omvangrijk programma, waaraan wij met urgentie blijven werken.</w:t>
      </w:r>
    </w:p>
    <w:p w:rsidRPr="008D122E" w:rsidR="002E53B0" w:rsidP="002E53B0" w:rsidRDefault="002E53B0" w14:paraId="3B6C5EAC" w14:textId="77777777">
      <w:pPr>
        <w:pStyle w:val="broodtekst"/>
        <w:rPr>
          <w:rFonts w:eastAsiaTheme="minorHAnsi" w:cstheme="minorBidi"/>
          <w:lang w:eastAsia="en-US"/>
        </w:rPr>
      </w:pPr>
      <w:r w:rsidRPr="008D122E">
        <w:rPr>
          <w:rFonts w:eastAsiaTheme="minorHAnsi" w:cstheme="minorBidi"/>
          <w:lang w:eastAsia="en-US"/>
        </w:rPr>
        <w:t xml:space="preserve"> </w:t>
      </w:r>
    </w:p>
    <w:p w:rsidRPr="008D122E" w:rsidR="002E53B0" w:rsidP="002E53B0" w:rsidRDefault="002E53B0" w14:paraId="4778BC48" w14:textId="77777777">
      <w:pPr>
        <w:rPr>
          <w:rFonts w:eastAsiaTheme="minorHAnsi" w:cstheme="minorBidi"/>
          <w:szCs w:val="18"/>
          <w:lang w:eastAsia="en-US"/>
        </w:rPr>
      </w:pPr>
      <w:r w:rsidRPr="008D122E">
        <w:rPr>
          <w:rFonts w:eastAsiaTheme="minorHAnsi" w:cstheme="minorBidi"/>
          <w:szCs w:val="18"/>
          <w:lang w:eastAsia="en-US"/>
        </w:rPr>
        <w:t xml:space="preserve">Het programma kent een viertal sporen: </w:t>
      </w:r>
    </w:p>
    <w:p w:rsidRPr="008D122E" w:rsidR="002E53B0" w:rsidP="00B10AE1" w:rsidRDefault="002E53B0" w14:paraId="7DDC0127" w14:textId="77777777">
      <w:pPr>
        <w:pStyle w:val="Lijstalinea"/>
        <w:numPr>
          <w:ilvl w:val="0"/>
          <w:numId w:val="35"/>
        </w:numPr>
        <w:ind w:left="426" w:hanging="284"/>
        <w:rPr>
          <w:rFonts w:eastAsiaTheme="minorHAnsi" w:cstheme="minorBidi"/>
          <w:szCs w:val="18"/>
          <w:lang w:eastAsia="en-US"/>
        </w:rPr>
      </w:pPr>
      <w:r w:rsidRPr="008D122E">
        <w:rPr>
          <w:rFonts w:eastAsiaTheme="minorHAnsi" w:cstheme="minorBidi"/>
          <w:szCs w:val="18"/>
          <w:lang w:eastAsia="en-US"/>
        </w:rPr>
        <w:t xml:space="preserve">innovatiespoor (paragraaf 2.4) </w:t>
      </w:r>
    </w:p>
    <w:p w:rsidRPr="008D122E" w:rsidR="002E53B0" w:rsidP="00B10AE1" w:rsidRDefault="002E53B0" w14:paraId="7C251DB1" w14:textId="77777777">
      <w:pPr>
        <w:pStyle w:val="Lijstalinea"/>
        <w:numPr>
          <w:ilvl w:val="0"/>
          <w:numId w:val="35"/>
        </w:numPr>
        <w:ind w:left="426" w:hanging="284"/>
        <w:rPr>
          <w:rFonts w:eastAsiaTheme="minorHAnsi" w:cstheme="minorBidi"/>
          <w:szCs w:val="18"/>
          <w:lang w:eastAsia="en-US"/>
        </w:rPr>
      </w:pPr>
      <w:r w:rsidRPr="008D122E">
        <w:rPr>
          <w:rFonts w:eastAsiaTheme="minorHAnsi" w:cstheme="minorBidi"/>
          <w:szCs w:val="18"/>
          <w:lang w:eastAsia="en-US"/>
        </w:rPr>
        <w:t xml:space="preserve">vaststellingsspoor (paragraaf 2.2) </w:t>
      </w:r>
    </w:p>
    <w:p w:rsidRPr="008D122E" w:rsidR="002E53B0" w:rsidP="00B10AE1" w:rsidRDefault="002E53B0" w14:paraId="36F0F820" w14:textId="77777777">
      <w:pPr>
        <w:pStyle w:val="Lijstalinea"/>
        <w:numPr>
          <w:ilvl w:val="0"/>
          <w:numId w:val="35"/>
        </w:numPr>
        <w:ind w:left="426" w:hanging="284"/>
        <w:rPr>
          <w:rFonts w:eastAsiaTheme="minorHAnsi" w:cstheme="minorBidi"/>
          <w:szCs w:val="18"/>
          <w:lang w:eastAsia="en-US"/>
        </w:rPr>
      </w:pPr>
      <w:r w:rsidRPr="008D122E">
        <w:rPr>
          <w:rFonts w:eastAsiaTheme="minorHAnsi" w:cstheme="minorBidi"/>
          <w:szCs w:val="18"/>
          <w:lang w:eastAsia="en-US"/>
        </w:rPr>
        <w:t>aanvullingsspoor (paragraaf 2.3)</w:t>
      </w:r>
    </w:p>
    <w:p w:rsidRPr="008D122E" w:rsidR="002E53B0" w:rsidP="00B10AE1" w:rsidRDefault="002E53B0" w14:paraId="556BC1F5" w14:textId="77777777">
      <w:pPr>
        <w:pStyle w:val="Lijstalinea"/>
        <w:numPr>
          <w:ilvl w:val="0"/>
          <w:numId w:val="35"/>
        </w:numPr>
        <w:ind w:left="426" w:hanging="284"/>
        <w:rPr>
          <w:rFonts w:eastAsiaTheme="minorHAnsi" w:cstheme="minorBidi"/>
          <w:szCs w:val="18"/>
          <w:lang w:eastAsia="en-US"/>
        </w:rPr>
      </w:pPr>
      <w:r w:rsidRPr="008D122E">
        <w:rPr>
          <w:rFonts w:eastAsiaTheme="minorHAnsi" w:cstheme="minorBidi"/>
          <w:szCs w:val="18"/>
          <w:lang w:eastAsia="en-US"/>
        </w:rPr>
        <w:t xml:space="preserve">invoeringsspoor (paragraaf 2.5) </w:t>
      </w:r>
    </w:p>
    <w:p w:rsidRPr="008D122E" w:rsidR="002E53B0" w:rsidP="002E53B0" w:rsidRDefault="002E53B0" w14:paraId="21FCC825" w14:textId="77777777">
      <w:pPr>
        <w:rPr>
          <w:rFonts w:eastAsiaTheme="minorHAnsi" w:cstheme="minorBidi"/>
          <w:szCs w:val="18"/>
          <w:lang w:eastAsia="en-US"/>
        </w:rPr>
      </w:pPr>
    </w:p>
    <w:p w:rsidRPr="008D122E" w:rsidR="002E53B0" w:rsidP="002E53B0" w:rsidRDefault="002E53B0" w14:paraId="7996FBBE" w14:textId="77777777">
      <w:pPr>
        <w:rPr>
          <w:rFonts w:eastAsiaTheme="minorHAnsi" w:cstheme="minorBidi"/>
          <w:szCs w:val="18"/>
          <w:lang w:eastAsia="en-US"/>
        </w:rPr>
      </w:pPr>
      <w:r w:rsidRPr="008D122E">
        <w:rPr>
          <w:rFonts w:eastAsiaTheme="minorHAnsi" w:cstheme="minorBidi"/>
          <w:szCs w:val="18"/>
          <w:lang w:eastAsia="en-US"/>
        </w:rPr>
        <w:t>De wetsvoorstellen binnen deze sporen vormen uiteindelijk samen het nieuwe Wetboek van Strafvordering:</w:t>
      </w:r>
    </w:p>
    <w:p w:rsidRPr="008D122E" w:rsidR="002E53B0" w:rsidP="002E53B0" w:rsidRDefault="002E53B0" w14:paraId="3044B317" w14:textId="77777777">
      <w:pPr>
        <w:rPr>
          <w:rFonts w:eastAsiaTheme="minorHAnsi" w:cstheme="minorBidi"/>
          <w:szCs w:val="18"/>
          <w:lang w:eastAsia="en-US"/>
        </w:rPr>
      </w:pPr>
    </w:p>
    <w:p w:rsidRPr="008D122E" w:rsidR="002E53B0" w:rsidP="002E53B0" w:rsidRDefault="002E53B0" w14:paraId="569757FD" w14:textId="77777777">
      <w:pPr>
        <w:rPr>
          <w:rFonts w:eastAsiaTheme="minorHAnsi" w:cstheme="minorBidi"/>
          <w:szCs w:val="18"/>
          <w:lang w:eastAsia="en-US"/>
        </w:rPr>
      </w:pPr>
      <w:r w:rsidRPr="008D122E">
        <w:rPr>
          <w:noProof/>
        </w:rPr>
        <w:lastRenderedPageBreak/>
        <w:drawing>
          <wp:inline distT="0" distB="0" distL="0" distR="0" wp14:anchorId="52DBCCE0" wp14:editId="554F7E5F">
            <wp:extent cx="4848225" cy="3201496"/>
            <wp:effectExtent l="0" t="0" r="0" b="0"/>
            <wp:docPr id="74710085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57105" cy="3207360"/>
                    </a:xfrm>
                    <a:prstGeom prst="rect">
                      <a:avLst/>
                    </a:prstGeom>
                    <a:noFill/>
                    <a:ln>
                      <a:noFill/>
                    </a:ln>
                  </pic:spPr>
                </pic:pic>
              </a:graphicData>
            </a:graphic>
          </wp:inline>
        </w:drawing>
      </w:r>
    </w:p>
    <w:p w:rsidRPr="008D122E" w:rsidR="002E53B0" w:rsidP="002E53B0" w:rsidRDefault="002E53B0" w14:paraId="07176E90" w14:textId="77777777">
      <w:pPr>
        <w:rPr>
          <w:rFonts w:eastAsiaTheme="minorHAnsi" w:cstheme="minorBidi"/>
          <w:szCs w:val="18"/>
          <w:lang w:eastAsia="en-US"/>
        </w:rPr>
      </w:pPr>
    </w:p>
    <w:p w:rsidRPr="008D122E" w:rsidR="002E53B0" w:rsidP="002E53B0" w:rsidRDefault="002E53B0" w14:paraId="28F94223" w14:textId="77777777">
      <w:pPr>
        <w:rPr>
          <w:rFonts w:eastAsiaTheme="minorHAnsi" w:cstheme="minorBidi"/>
          <w:szCs w:val="18"/>
          <w:lang w:eastAsia="en-US"/>
        </w:rPr>
      </w:pPr>
      <w:bookmarkStart w:name="_Hlk212530926" w:id="1"/>
      <w:r w:rsidRPr="008D122E">
        <w:rPr>
          <w:rFonts w:eastAsiaTheme="minorHAnsi" w:cstheme="minorBidi"/>
          <w:szCs w:val="18"/>
          <w:lang w:eastAsia="en-US"/>
        </w:rPr>
        <w:t>Elk wetsvoorstel doorloopt de wetgevingsprocedure en wordt na consultatie en advisering door de Afdeling advisering van de Raad van State behandeld in de Tweede Kamer. Na aanvaarding in de Tweede en Eerste Kamer en bekrachtiging door de Koning, wordt het voorstel in het Staatsblad gepubliceerd. Na een implementatieperiode volgt op één moment de inwerkingtreding van alle wetten die samen het nieuwe Wetboek van Strafvordering vormen (zie over die implementatie meer in paragraaf 4).</w:t>
      </w:r>
    </w:p>
    <w:bookmarkEnd w:id="1"/>
    <w:p w:rsidRPr="008D122E" w:rsidR="002E53B0" w:rsidP="002E53B0" w:rsidRDefault="002E53B0" w14:paraId="7D6AF88D" w14:textId="77777777">
      <w:pPr>
        <w:rPr>
          <w:rFonts w:eastAsiaTheme="minorHAnsi" w:cstheme="minorBidi"/>
          <w:szCs w:val="18"/>
          <w:lang w:eastAsia="en-US"/>
        </w:rPr>
      </w:pPr>
    </w:p>
    <w:p w:rsidRPr="008D122E" w:rsidR="002E53B0" w:rsidP="002E53B0" w:rsidRDefault="002E53B0" w14:paraId="0BCE3023" w14:textId="77777777">
      <w:pPr>
        <w:rPr>
          <w:rFonts w:eastAsiaTheme="minorHAnsi" w:cstheme="minorBidi"/>
          <w:i/>
          <w:iCs/>
          <w:szCs w:val="18"/>
          <w:lang w:eastAsia="en-US"/>
        </w:rPr>
      </w:pPr>
      <w:r w:rsidRPr="008D122E">
        <w:rPr>
          <w:rFonts w:eastAsiaTheme="minorHAnsi" w:cstheme="minorBidi"/>
          <w:i/>
          <w:iCs/>
          <w:szCs w:val="18"/>
          <w:lang w:eastAsia="en-US"/>
        </w:rPr>
        <w:t>Vaststellingsspoor (oranje) en aanvullingsspoor (groen)</w:t>
      </w:r>
    </w:p>
    <w:p w:rsidRPr="008D122E" w:rsidR="002E53B0" w:rsidP="002E53B0" w:rsidRDefault="002E53B0" w14:paraId="00196C63" w14:textId="77777777">
      <w:pPr>
        <w:rPr>
          <w:rFonts w:eastAsiaTheme="minorHAnsi" w:cstheme="minorBidi"/>
          <w:szCs w:val="18"/>
          <w:lang w:eastAsia="en-US"/>
        </w:rPr>
      </w:pPr>
      <w:r w:rsidRPr="008D122E">
        <w:rPr>
          <w:rFonts w:eastAsiaTheme="minorHAnsi" w:cstheme="minorBidi"/>
          <w:szCs w:val="18"/>
          <w:lang w:eastAsia="en-US"/>
        </w:rPr>
        <w:t xml:space="preserve">De twee vaststellingswetten uit het vaststellingsspoor, die inmiddels in de wetgevingsprocedure gelijk zijn gaan oplopen en beide sinds 1 april 2025 aanhangig zijn in de Eerste Kamer, vormen samen het nieuwe wetboek (zie paragraaf 2.2). In de twee groene aanvullingswetten worden aanvullende onderwerpen en wijzigingsvoorstellen van het nieuwe wetboek opgenomen, die deel gaan uitmaken van het nieuwe wetboek (zie paragraaf 2.3). </w:t>
      </w:r>
    </w:p>
    <w:p w:rsidRPr="008D122E" w:rsidR="002E53B0" w:rsidP="002E53B0" w:rsidRDefault="002E53B0" w14:paraId="6A5FB1E2" w14:textId="77777777">
      <w:pPr>
        <w:rPr>
          <w:rFonts w:eastAsiaTheme="minorHAnsi" w:cstheme="minorBidi"/>
          <w:i/>
          <w:iCs/>
          <w:szCs w:val="18"/>
          <w:lang w:eastAsia="en-US"/>
        </w:rPr>
      </w:pPr>
    </w:p>
    <w:p w:rsidRPr="008D122E" w:rsidR="002E53B0" w:rsidP="002E53B0" w:rsidRDefault="002E53B0" w14:paraId="7438137A" w14:textId="77777777">
      <w:pPr>
        <w:rPr>
          <w:rFonts w:eastAsiaTheme="minorHAnsi" w:cstheme="minorBidi"/>
          <w:i/>
          <w:iCs/>
          <w:szCs w:val="18"/>
          <w:lang w:eastAsia="en-US"/>
        </w:rPr>
      </w:pPr>
      <w:r w:rsidRPr="008D122E">
        <w:rPr>
          <w:rFonts w:eastAsiaTheme="minorHAnsi" w:cstheme="minorBidi"/>
          <w:i/>
          <w:iCs/>
          <w:szCs w:val="18"/>
          <w:lang w:eastAsia="en-US"/>
        </w:rPr>
        <w:t>Innovatiespoor (roze)</w:t>
      </w:r>
    </w:p>
    <w:p w:rsidRPr="008D122E" w:rsidR="002E53B0" w:rsidP="002E53B0" w:rsidRDefault="002E53B0" w14:paraId="265017C6" w14:textId="1E273646">
      <w:pPr>
        <w:rPr>
          <w:rFonts w:eastAsiaTheme="minorHAnsi" w:cstheme="minorBidi"/>
          <w:szCs w:val="18"/>
          <w:lang w:eastAsia="en-US"/>
        </w:rPr>
      </w:pPr>
      <w:r w:rsidRPr="008D122E">
        <w:rPr>
          <w:rFonts w:eastAsiaTheme="minorHAnsi" w:cstheme="minorBidi"/>
          <w:szCs w:val="18"/>
          <w:lang w:eastAsia="en-US"/>
        </w:rPr>
        <w:t xml:space="preserve">Op de afbeelding is ook het innovatiespoor met de Innovatiewet Strafvordering te zien. Deze wet liep vooruit op het nieuwe wetboek met als doel </w:t>
      </w:r>
      <w:r w:rsidRPr="008D122E">
        <w:rPr>
          <w:szCs w:val="18"/>
        </w:rPr>
        <w:t xml:space="preserve">ervaring op te doen met enkele nieuwe onderdelen uit het nieuwe wetboek in de vorm van vijf pilots. Inmiddels zijn de pilots geëvalueerd en zijn de evaluatierapporten in oktober 2024 aan de Eerste en Tweede Kamer verstuurd. In juli 2025 is een wetsvoorstel tot verlenging van de Innovatiewet Strafvordering ingediend bij de Tweede Kamer. </w:t>
      </w:r>
      <w:r w:rsidRPr="008D122E" w:rsidR="005C52C3">
        <w:rPr>
          <w:rFonts w:eastAsiaTheme="minorHAnsi" w:cstheme="minorBidi"/>
          <w:szCs w:val="18"/>
          <w:lang w:eastAsia="en-US"/>
        </w:rPr>
        <w:t xml:space="preserve">De Tweede Kamer heeft die verlengingswet op 29 januari 2026 als hamerstuk aanvaard. </w:t>
      </w:r>
      <w:r w:rsidRPr="008D122E">
        <w:rPr>
          <w:rFonts w:eastAsiaTheme="minorHAnsi" w:cstheme="minorBidi"/>
          <w:szCs w:val="18"/>
          <w:lang w:eastAsia="en-US"/>
        </w:rPr>
        <w:t>In paragraaf 2.4 wordt nader ingegaan op de Innovatiewet en het voorstel tot verlenging van die wet.</w:t>
      </w:r>
    </w:p>
    <w:p w:rsidRPr="008D122E" w:rsidR="002E53B0" w:rsidP="002E53B0" w:rsidRDefault="002E53B0" w14:paraId="69ACC27F" w14:textId="77777777">
      <w:pPr>
        <w:rPr>
          <w:rFonts w:eastAsiaTheme="minorHAnsi" w:cstheme="minorBidi"/>
          <w:szCs w:val="18"/>
          <w:lang w:eastAsia="en-US"/>
        </w:rPr>
      </w:pPr>
      <w:r w:rsidRPr="008D122E">
        <w:rPr>
          <w:rFonts w:eastAsiaTheme="minorHAnsi" w:cstheme="minorBidi"/>
          <w:szCs w:val="18"/>
          <w:lang w:eastAsia="en-US"/>
        </w:rPr>
        <w:t xml:space="preserve"> </w:t>
      </w:r>
    </w:p>
    <w:p w:rsidRPr="008D122E" w:rsidR="002E53B0" w:rsidP="002E53B0" w:rsidRDefault="002E53B0" w14:paraId="23AE6B7D" w14:textId="77777777">
      <w:pPr>
        <w:autoSpaceDN w:val="0"/>
        <w:spacing w:line="240" w:lineRule="auto"/>
        <w:textAlignment w:val="baseline"/>
        <w:rPr>
          <w:rFonts w:eastAsiaTheme="minorHAnsi" w:cstheme="minorBidi"/>
          <w:szCs w:val="18"/>
          <w:lang w:eastAsia="en-US"/>
        </w:rPr>
      </w:pPr>
      <w:r w:rsidRPr="008D122E">
        <w:rPr>
          <w:rFonts w:eastAsiaTheme="minorHAnsi" w:cstheme="minorBidi"/>
          <w:szCs w:val="18"/>
          <w:lang w:eastAsia="en-US"/>
        </w:rPr>
        <w:br w:type="page"/>
      </w:r>
    </w:p>
    <w:p w:rsidRPr="008D122E" w:rsidR="002E53B0" w:rsidP="002E53B0" w:rsidRDefault="002E53B0" w14:paraId="755E5CB8" w14:textId="77777777">
      <w:pPr>
        <w:rPr>
          <w:rFonts w:eastAsiaTheme="minorHAnsi" w:cstheme="minorBidi"/>
          <w:i/>
          <w:iCs/>
          <w:szCs w:val="18"/>
          <w:lang w:eastAsia="en-US"/>
        </w:rPr>
      </w:pPr>
      <w:r w:rsidRPr="008D122E">
        <w:rPr>
          <w:rFonts w:eastAsiaTheme="minorHAnsi" w:cstheme="minorBidi"/>
          <w:i/>
          <w:iCs/>
          <w:szCs w:val="18"/>
          <w:lang w:eastAsia="en-US"/>
        </w:rPr>
        <w:lastRenderedPageBreak/>
        <w:t>Invoeringsspoor (blauw)</w:t>
      </w:r>
    </w:p>
    <w:p w:rsidRPr="008D122E" w:rsidR="002E53B0" w:rsidP="002E53B0" w:rsidRDefault="002E53B0" w14:paraId="4017F588" w14:textId="77777777">
      <w:pPr>
        <w:rPr>
          <w:rFonts w:eastAsiaTheme="minorHAnsi" w:cstheme="minorBidi"/>
          <w:szCs w:val="18"/>
          <w:lang w:eastAsia="en-US"/>
        </w:rPr>
      </w:pPr>
      <w:r w:rsidRPr="008D122E">
        <w:rPr>
          <w:rFonts w:eastAsiaTheme="minorHAnsi" w:cstheme="minorBidi"/>
          <w:szCs w:val="18"/>
          <w:lang w:eastAsia="en-US"/>
        </w:rPr>
        <w:t xml:space="preserve">Tot slot bevat de afbeelding de twee invoeringswetten uit het invoeringsspoor, waarin het overgangsrecht en de aanpassing van andere wetgeving is opgenomen (zie paragraaf 2.5). In de laatste paragraaf 2.7 wordt aandacht besteed aan de algemene maatregelen van bestuur (AMvB)onder het nieuwe Wetboek van Strafvordering. </w:t>
      </w:r>
    </w:p>
    <w:p w:rsidRPr="008D122E" w:rsidR="002E53B0" w:rsidP="002E53B0" w:rsidRDefault="002E53B0" w14:paraId="72333174" w14:textId="77777777">
      <w:pPr>
        <w:rPr>
          <w:rFonts w:eastAsiaTheme="minorHAnsi" w:cstheme="minorBidi"/>
          <w:i/>
          <w:iCs/>
          <w:szCs w:val="18"/>
          <w:lang w:eastAsia="en-US"/>
        </w:rPr>
      </w:pPr>
    </w:p>
    <w:p w:rsidRPr="008D122E" w:rsidR="002E53B0" w:rsidP="002E53B0" w:rsidRDefault="002E53B0" w14:paraId="30FD212F" w14:textId="77777777">
      <w:pPr>
        <w:rPr>
          <w:rFonts w:eastAsiaTheme="minorHAnsi" w:cstheme="minorBidi"/>
          <w:i/>
          <w:iCs/>
          <w:szCs w:val="18"/>
          <w:lang w:eastAsia="en-US"/>
        </w:rPr>
      </w:pPr>
      <w:r w:rsidRPr="008D122E">
        <w:rPr>
          <w:rFonts w:eastAsiaTheme="minorHAnsi" w:cstheme="minorBidi"/>
          <w:i/>
          <w:iCs/>
          <w:szCs w:val="18"/>
          <w:lang w:eastAsia="en-US"/>
        </w:rPr>
        <w:t>2.2 Vaststellingswetgeving</w:t>
      </w:r>
    </w:p>
    <w:p w:rsidRPr="008D122E" w:rsidR="002E53B0" w:rsidP="002E53B0" w:rsidRDefault="002E53B0" w14:paraId="79EECD3B" w14:textId="77777777">
      <w:pPr>
        <w:rPr>
          <w:rFonts w:eastAsiaTheme="minorHAnsi" w:cstheme="minorBidi"/>
          <w:szCs w:val="18"/>
          <w:lang w:eastAsia="en-US"/>
        </w:rPr>
      </w:pPr>
      <w:r w:rsidRPr="008D122E">
        <w:rPr>
          <w:rFonts w:eastAsiaTheme="minorHAnsi" w:cstheme="minorBidi"/>
          <w:szCs w:val="18"/>
          <w:lang w:eastAsia="en-US"/>
        </w:rPr>
        <w:t>De vaststellingswetgeving vormt de kern van het wetgevingsprogramma. De andere sporen zijn daaraan dienstbaar. Het nieuwe Wetboek van Strafvordering bestaat, evenals het huidige wetboek, uit een eerste boek over strafvordering in het algemeen, en boeken over de verschillende fasen van het strafproces regelen (opsporing, vervolging, berechting, rechtsmiddelen en enkele bijzondere regelingen).</w:t>
      </w:r>
    </w:p>
    <w:p w:rsidRPr="008D122E" w:rsidR="002E53B0" w:rsidP="002E53B0" w:rsidRDefault="002E53B0" w14:paraId="5944435F" w14:textId="77777777">
      <w:pPr>
        <w:rPr>
          <w:rFonts w:eastAsiaTheme="minorHAnsi" w:cstheme="minorBidi"/>
          <w:szCs w:val="18"/>
          <w:lang w:eastAsia="en-US"/>
        </w:rPr>
      </w:pPr>
      <w:r w:rsidRPr="008D122E">
        <w:rPr>
          <w:rFonts w:eastAsiaTheme="minorHAnsi" w:cstheme="minorBidi"/>
          <w:szCs w:val="18"/>
          <w:lang w:eastAsia="en-US"/>
        </w:rPr>
        <w:t xml:space="preserve"> </w:t>
      </w:r>
    </w:p>
    <w:p w:rsidRPr="008D122E" w:rsidR="002E53B0" w:rsidP="002E53B0" w:rsidRDefault="002E53B0" w14:paraId="2AD985EE" w14:textId="77777777">
      <w:pPr>
        <w:rPr>
          <w:rFonts w:eastAsiaTheme="minorHAnsi" w:cstheme="minorBidi"/>
          <w:szCs w:val="18"/>
          <w:lang w:eastAsia="en-US"/>
        </w:rPr>
      </w:pPr>
      <w:r w:rsidRPr="008D122E">
        <w:rPr>
          <w:rFonts w:eastAsiaTheme="minorHAnsi" w:cstheme="minorBidi"/>
          <w:szCs w:val="18"/>
          <w:lang w:eastAsia="en-US"/>
        </w:rPr>
        <w:t xml:space="preserve">De nieuwe Boeken 1 tot en met 6 zijn opgenomen in de </w:t>
      </w:r>
      <w:r w:rsidRPr="008D122E">
        <w:rPr>
          <w:rFonts w:eastAsiaTheme="minorHAnsi" w:cstheme="minorBidi"/>
          <w:b/>
          <w:bCs/>
          <w:szCs w:val="18"/>
          <w:lang w:eastAsia="en-US"/>
        </w:rPr>
        <w:t xml:space="preserve">eerste vaststellingswet </w:t>
      </w:r>
      <w:r w:rsidRPr="008D122E">
        <w:rPr>
          <w:rFonts w:eastAsiaTheme="minorHAnsi" w:cstheme="minorBidi"/>
          <w:szCs w:val="18"/>
          <w:lang w:eastAsia="en-US"/>
        </w:rPr>
        <w:t>(Kamerstukken 36327).</w:t>
      </w:r>
    </w:p>
    <w:p w:rsidRPr="008D122E" w:rsidR="002E53B0" w:rsidP="002E53B0" w:rsidRDefault="002E53B0" w14:paraId="75F3BCF2" w14:textId="77777777">
      <w:pPr>
        <w:rPr>
          <w:rFonts w:eastAsiaTheme="minorHAnsi" w:cstheme="minorBidi"/>
          <w:szCs w:val="18"/>
          <w:lang w:eastAsia="en-US"/>
        </w:rPr>
      </w:pPr>
    </w:p>
    <w:p w:rsidRPr="008D122E" w:rsidR="002E53B0" w:rsidP="002E53B0" w:rsidRDefault="002E53B0" w14:paraId="22A486AD" w14:textId="77777777">
      <w:pPr>
        <w:rPr>
          <w:rFonts w:eastAsiaTheme="minorHAnsi" w:cstheme="minorBidi"/>
          <w:b/>
          <w:bCs/>
          <w:i/>
          <w:iCs/>
          <w:szCs w:val="18"/>
          <w:lang w:eastAsia="en-US"/>
        </w:rPr>
      </w:pPr>
      <w:r w:rsidRPr="008D122E">
        <w:rPr>
          <w:noProof/>
        </w:rPr>
        <w:drawing>
          <wp:inline distT="0" distB="0" distL="0" distR="0" wp14:anchorId="65AFE9E9" wp14:editId="28AD82F6">
            <wp:extent cx="5038725" cy="3562714"/>
            <wp:effectExtent l="0" t="0" r="0" b="0"/>
            <wp:docPr id="110853005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44114" cy="3566524"/>
                    </a:xfrm>
                    <a:prstGeom prst="rect">
                      <a:avLst/>
                    </a:prstGeom>
                    <a:noFill/>
                    <a:ln>
                      <a:noFill/>
                    </a:ln>
                  </pic:spPr>
                </pic:pic>
              </a:graphicData>
            </a:graphic>
          </wp:inline>
        </w:drawing>
      </w:r>
    </w:p>
    <w:p w:rsidRPr="008D122E" w:rsidR="002E53B0" w:rsidP="002E53B0" w:rsidRDefault="002E53B0" w14:paraId="1CCF70F1" w14:textId="77777777">
      <w:pPr>
        <w:rPr>
          <w:rFonts w:eastAsiaTheme="minorHAnsi" w:cstheme="minorBidi"/>
          <w:szCs w:val="18"/>
          <w:lang w:eastAsia="en-US"/>
        </w:rPr>
      </w:pPr>
    </w:p>
    <w:p w:rsidRPr="008D122E" w:rsidR="002E53B0" w:rsidP="002E53B0" w:rsidRDefault="002E53B0" w14:paraId="5D2C9C13" w14:textId="77777777">
      <w:pPr>
        <w:autoSpaceDN w:val="0"/>
        <w:spacing w:line="240" w:lineRule="auto"/>
        <w:textAlignment w:val="baseline"/>
        <w:rPr>
          <w:rFonts w:eastAsiaTheme="minorHAnsi" w:cstheme="minorBidi"/>
          <w:szCs w:val="18"/>
          <w:lang w:eastAsia="en-US"/>
        </w:rPr>
      </w:pPr>
      <w:r w:rsidRPr="008D122E">
        <w:rPr>
          <w:rFonts w:eastAsiaTheme="minorHAnsi" w:cstheme="minorBidi"/>
          <w:szCs w:val="18"/>
          <w:lang w:eastAsia="en-US"/>
        </w:rPr>
        <w:br w:type="page"/>
      </w:r>
    </w:p>
    <w:p w:rsidRPr="008D122E" w:rsidR="002E53B0" w:rsidP="002E53B0" w:rsidRDefault="002E53B0" w14:paraId="136C6C88" w14:textId="58342AA7">
      <w:pPr>
        <w:rPr>
          <w:szCs w:val="18"/>
        </w:rPr>
      </w:pPr>
      <w:r w:rsidRPr="008D122E">
        <w:rPr>
          <w:rFonts w:eastAsiaTheme="minorHAnsi" w:cstheme="minorBidi"/>
          <w:szCs w:val="18"/>
          <w:lang w:eastAsia="en-US"/>
        </w:rPr>
        <w:lastRenderedPageBreak/>
        <w:t xml:space="preserve">De schriftelijke behandeling van dit wetsvoorstel in de periode 2023-2024 werd afgesloten met de </w:t>
      </w:r>
      <w:r w:rsidRPr="008D122E">
        <w:rPr>
          <w:szCs w:val="18"/>
        </w:rPr>
        <w:t>nota naar aanleiding van de verslagen, die op 1 juli 2024 is ingediend bij de Tweede Kamer.</w:t>
      </w:r>
      <w:r w:rsidRPr="008D122E">
        <w:rPr>
          <w:rStyle w:val="Voetnootmarkering"/>
          <w:szCs w:val="18"/>
        </w:rPr>
        <w:footnoteReference w:id="4"/>
      </w:r>
      <w:r w:rsidRPr="008D122E">
        <w:rPr>
          <w:szCs w:val="18"/>
        </w:rPr>
        <w:t xml:space="preserve"> In de maanden daarna werd de mondelinge behandeling van de eerste vaststellingswet voorbereid. Ook werd in die periode gewerkt aan de beantwoording van het verslag van de Vaste Commissie van Justitie en Veiligheid over de tweede vaststellingswet.</w:t>
      </w:r>
    </w:p>
    <w:p w:rsidRPr="008D122E" w:rsidR="002E53B0" w:rsidP="002E53B0" w:rsidRDefault="002E53B0" w14:paraId="418C58E6" w14:textId="77777777">
      <w:pPr>
        <w:rPr>
          <w:szCs w:val="18"/>
        </w:rPr>
      </w:pPr>
    </w:p>
    <w:p w:rsidRPr="008D122E" w:rsidR="002E53B0" w:rsidP="002E53B0" w:rsidRDefault="002E53B0" w14:paraId="403B51F0" w14:textId="77777777">
      <w:r w:rsidRPr="008D122E">
        <w:rPr>
          <w:szCs w:val="18"/>
        </w:rPr>
        <w:t xml:space="preserve">De </w:t>
      </w:r>
      <w:r w:rsidRPr="008D122E">
        <w:rPr>
          <w:b/>
          <w:bCs/>
          <w:szCs w:val="18"/>
        </w:rPr>
        <w:t>tweede vaststellingswet</w:t>
      </w:r>
      <w:r w:rsidRPr="008D122E">
        <w:rPr>
          <w:szCs w:val="18"/>
        </w:rPr>
        <w:t xml:space="preserve"> (Kamerstukken 36636) bevat de nieuwe Boeken 7 en 8. </w:t>
      </w:r>
    </w:p>
    <w:p w:rsidRPr="008D122E" w:rsidR="002E53B0" w:rsidP="00B10AE1" w:rsidRDefault="002E53B0" w14:paraId="3EC32A9F" w14:textId="77777777">
      <w:pPr>
        <w:pStyle w:val="Lijstalinea"/>
        <w:numPr>
          <w:ilvl w:val="0"/>
          <w:numId w:val="36"/>
        </w:numPr>
        <w:ind w:hanging="218"/>
      </w:pPr>
      <w:r w:rsidRPr="008D122E">
        <w:t>Het huidige Boek 5 Internationale en Europese strafrechtelijke samenwerking wordt in de toekomst Boek 8.</w:t>
      </w:r>
    </w:p>
    <w:p w:rsidRPr="008D122E" w:rsidR="002E53B0" w:rsidP="00B10AE1" w:rsidRDefault="002E53B0" w14:paraId="6046E5B5" w14:textId="77777777">
      <w:pPr>
        <w:pStyle w:val="Lijstalinea"/>
        <w:numPr>
          <w:ilvl w:val="0"/>
          <w:numId w:val="36"/>
        </w:numPr>
        <w:ind w:hanging="218"/>
      </w:pPr>
      <w:r w:rsidRPr="008D122E">
        <w:t>Het huidige boek 6 Tenuitvoerlegging wordt in de toekomst Boek 7.</w:t>
      </w:r>
    </w:p>
    <w:p w:rsidRPr="008D122E" w:rsidR="002E53B0" w:rsidP="002E53B0" w:rsidRDefault="002E53B0" w14:paraId="1AE749B1" w14:textId="77777777">
      <w:r w:rsidRPr="008D122E">
        <w:t>Deze huidige boeken zijn in 2017 herzien en zijn nu technisch omgezet naar het nieuwe wetboek.</w:t>
      </w:r>
    </w:p>
    <w:p w:rsidRPr="008D122E" w:rsidR="002E53B0" w:rsidP="002E53B0" w:rsidRDefault="002E53B0" w14:paraId="3602C539" w14:textId="77777777"/>
    <w:p w:rsidRPr="008D122E" w:rsidR="002E53B0" w:rsidP="002E53B0" w:rsidRDefault="002E53B0" w14:paraId="2354DED8" w14:textId="77777777">
      <w:r w:rsidRPr="008D122E">
        <w:t>In de tijd volgde de tweede vaststellingswet in eerste instantie de eerste vaststellingswet (zoals onderstaande afbeelding ook te zien is aan de data van de verschillende stappen in het wetgevingsproces). De Tweede Kamer besloot eind 2024 echter om, na afronding van de schriftelijke behandeling, de mondelinge behandeling van de tweede vaststellingswet mee te nemen bij de plenaire behandeling van de eerste vaststellingswet in het voorjaar van 2025.</w:t>
      </w:r>
    </w:p>
    <w:p w:rsidRPr="008D122E" w:rsidR="002E53B0" w:rsidP="002E53B0" w:rsidRDefault="002E53B0" w14:paraId="09F5D4B8" w14:textId="77777777">
      <w:pPr>
        <w:rPr>
          <w:szCs w:val="18"/>
        </w:rPr>
      </w:pPr>
    </w:p>
    <w:p w:rsidRPr="008D122E" w:rsidR="002E53B0" w:rsidP="002E53B0" w:rsidRDefault="002E53B0" w14:paraId="36EE5EED" w14:textId="77777777">
      <w:pPr>
        <w:rPr>
          <w:rFonts w:eastAsiaTheme="minorHAnsi" w:cstheme="minorBidi"/>
          <w:b/>
          <w:bCs/>
          <w:i/>
          <w:iCs/>
          <w:szCs w:val="18"/>
          <w:lang w:eastAsia="en-US"/>
        </w:rPr>
      </w:pPr>
      <w:r w:rsidRPr="008D122E">
        <w:rPr>
          <w:noProof/>
        </w:rPr>
        <w:drawing>
          <wp:inline distT="0" distB="0" distL="0" distR="0" wp14:anchorId="2385DFC0" wp14:editId="61E58E0F">
            <wp:extent cx="5038725" cy="3562714"/>
            <wp:effectExtent l="0" t="0" r="0" b="0"/>
            <wp:docPr id="139505635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3830" cy="3566323"/>
                    </a:xfrm>
                    <a:prstGeom prst="rect">
                      <a:avLst/>
                    </a:prstGeom>
                    <a:noFill/>
                    <a:ln>
                      <a:noFill/>
                    </a:ln>
                  </pic:spPr>
                </pic:pic>
              </a:graphicData>
            </a:graphic>
          </wp:inline>
        </w:drawing>
      </w:r>
    </w:p>
    <w:p w:rsidRPr="008D122E" w:rsidR="002E53B0" w:rsidP="002E53B0" w:rsidRDefault="002E53B0" w14:paraId="71BC79E5" w14:textId="77777777">
      <w:pPr>
        <w:rPr>
          <w:rFonts w:eastAsiaTheme="minorHAnsi" w:cstheme="minorBidi"/>
          <w:b/>
          <w:bCs/>
          <w:i/>
          <w:iCs/>
          <w:szCs w:val="18"/>
          <w:lang w:eastAsia="en-US"/>
        </w:rPr>
      </w:pPr>
    </w:p>
    <w:p w:rsidRPr="008D122E" w:rsidR="002E53B0" w:rsidP="002E53B0" w:rsidRDefault="002E53B0" w14:paraId="669D3130" w14:textId="254A9EA4">
      <w:pPr>
        <w:rPr>
          <w:rFonts w:eastAsiaTheme="minorHAnsi" w:cstheme="minorBidi"/>
          <w:szCs w:val="18"/>
          <w:lang w:eastAsia="en-US"/>
        </w:rPr>
      </w:pPr>
      <w:r w:rsidRPr="008D122E">
        <w:rPr>
          <w:rFonts w:eastAsiaTheme="minorHAnsi" w:cstheme="minorBidi"/>
          <w:szCs w:val="18"/>
          <w:lang w:eastAsia="en-US"/>
        </w:rPr>
        <w:t>Het jaar 2024 werd afgesloten met een technische briefing in de Tweede Kamer over het nieuwe wetboek, verzorgd door</w:t>
      </w:r>
      <w:r w:rsidRPr="008D122E">
        <w:rPr>
          <w:rFonts w:eastAsiaTheme="minorHAnsi"/>
          <w:szCs w:val="18"/>
          <w:lang w:eastAsia="en-US"/>
        </w:rPr>
        <w:t xml:space="preserve"> het </w:t>
      </w:r>
      <w:r w:rsidRPr="008D122E" w:rsidR="00B10AE1">
        <w:rPr>
          <w:rFonts w:eastAsiaTheme="minorHAnsi"/>
          <w:szCs w:val="18"/>
          <w:lang w:eastAsia="en-US"/>
        </w:rPr>
        <w:t>m</w:t>
      </w:r>
      <w:r w:rsidRPr="008D122E">
        <w:rPr>
          <w:rFonts w:eastAsiaTheme="minorHAnsi"/>
          <w:szCs w:val="18"/>
          <w:lang w:eastAsia="en-US"/>
        </w:rPr>
        <w:t xml:space="preserve">inisterie van Justitie en Veiligheid (10 december 2024). Die briefing ging over het proces en de verhouding van de </w:t>
      </w:r>
      <w:r w:rsidRPr="008D122E">
        <w:rPr>
          <w:rFonts w:eastAsiaTheme="minorHAnsi"/>
          <w:szCs w:val="18"/>
          <w:lang w:eastAsia="en-US"/>
        </w:rPr>
        <w:lastRenderedPageBreak/>
        <w:t>wetsvoorstellen tot elkaar, en diende ter voorbereiding van de plenaire behandeling in de Tweede Kamer.</w:t>
      </w:r>
    </w:p>
    <w:p w:rsidRPr="008D122E" w:rsidR="002E53B0" w:rsidP="002E53B0" w:rsidRDefault="002E53B0" w14:paraId="3774E6F7" w14:textId="77777777">
      <w:pPr>
        <w:rPr>
          <w:rFonts w:eastAsiaTheme="minorHAnsi" w:cstheme="minorBidi"/>
          <w:szCs w:val="18"/>
          <w:lang w:eastAsia="en-US"/>
        </w:rPr>
      </w:pPr>
    </w:p>
    <w:p w:rsidRPr="008D122E" w:rsidR="002E53B0" w:rsidP="002E53B0" w:rsidRDefault="002E53B0" w14:paraId="1ACD541F" w14:textId="77777777">
      <w:pPr>
        <w:rPr>
          <w:rFonts w:eastAsiaTheme="minorHAnsi" w:cstheme="minorBidi"/>
          <w:i/>
          <w:iCs/>
          <w:szCs w:val="18"/>
          <w:lang w:eastAsia="en-US"/>
        </w:rPr>
      </w:pPr>
      <w:r w:rsidRPr="008D122E">
        <w:rPr>
          <w:rFonts w:eastAsiaTheme="minorHAnsi" w:cstheme="minorBidi"/>
          <w:i/>
          <w:iCs/>
          <w:szCs w:val="18"/>
          <w:lang w:eastAsia="en-US"/>
        </w:rPr>
        <w:t xml:space="preserve">Chronologisch in 2025 (data cursief) </w:t>
      </w:r>
    </w:p>
    <w:p w:rsidRPr="008D122E" w:rsidR="002E53B0" w:rsidP="002E53B0" w:rsidRDefault="002E53B0" w14:paraId="5220DA30" w14:textId="77777777">
      <w:pPr>
        <w:rPr>
          <w:rFonts w:eastAsiaTheme="minorHAnsi" w:cstheme="minorBidi"/>
          <w:szCs w:val="18"/>
          <w:lang w:eastAsia="en-US"/>
        </w:rPr>
      </w:pPr>
      <w:r w:rsidRPr="008D122E">
        <w:rPr>
          <w:rFonts w:eastAsiaTheme="minorHAnsi" w:cstheme="minorBidi"/>
          <w:szCs w:val="18"/>
          <w:lang w:eastAsia="en-US"/>
        </w:rPr>
        <w:t xml:space="preserve">In het </w:t>
      </w:r>
      <w:r w:rsidRPr="008D122E">
        <w:rPr>
          <w:rFonts w:eastAsiaTheme="minorHAnsi" w:cstheme="minorBidi"/>
          <w:i/>
          <w:iCs/>
          <w:szCs w:val="18"/>
          <w:lang w:eastAsia="en-US"/>
        </w:rPr>
        <w:t>eerste kwartaal van 2025</w:t>
      </w:r>
      <w:r w:rsidRPr="008D122E">
        <w:rPr>
          <w:rFonts w:eastAsiaTheme="minorHAnsi" w:cstheme="minorBidi"/>
          <w:szCs w:val="18"/>
          <w:lang w:eastAsia="en-US"/>
        </w:rPr>
        <w:t xml:space="preserve"> vond de plenaire behandeling van beide vaststellingswetten (en daarmee van de inhoud van het gehele nieuwe wetboek) plaats in de Tweede Kamer. Onze ambtsvoorgangers werden daarbij ondersteund door regeringscommissaris prof. mr. Geert Knigge. </w:t>
      </w:r>
    </w:p>
    <w:p w:rsidRPr="008D122E" w:rsidR="002E53B0" w:rsidP="002E53B0" w:rsidRDefault="002E53B0" w14:paraId="515F54BA" w14:textId="77777777">
      <w:pPr>
        <w:rPr>
          <w:rFonts w:eastAsiaTheme="minorHAnsi" w:cstheme="minorBidi"/>
          <w:szCs w:val="18"/>
          <w:lang w:eastAsia="en-US"/>
        </w:rPr>
      </w:pPr>
    </w:p>
    <w:p w:rsidRPr="008D122E" w:rsidR="002E53B0" w:rsidP="002E53B0" w:rsidRDefault="002E53B0" w14:paraId="514255FC" w14:textId="77777777">
      <w:pPr>
        <w:rPr>
          <w:rFonts w:eastAsiaTheme="minorHAnsi" w:cstheme="minorBidi"/>
          <w:szCs w:val="18"/>
          <w:lang w:eastAsia="en-US"/>
        </w:rPr>
      </w:pPr>
      <w:r w:rsidRPr="008D122E">
        <w:rPr>
          <w:rFonts w:eastAsiaTheme="minorHAnsi" w:cstheme="minorBidi"/>
          <w:szCs w:val="18"/>
          <w:lang w:eastAsia="en-US"/>
        </w:rPr>
        <w:t xml:space="preserve">In </w:t>
      </w:r>
      <w:r w:rsidRPr="008D122E">
        <w:rPr>
          <w:rFonts w:eastAsiaTheme="minorHAnsi" w:cstheme="minorBidi"/>
          <w:i/>
          <w:iCs/>
          <w:szCs w:val="18"/>
          <w:lang w:eastAsia="en-US"/>
        </w:rPr>
        <w:t>januari, februari en maart</w:t>
      </w:r>
      <w:r w:rsidRPr="008D122E">
        <w:rPr>
          <w:rFonts w:eastAsiaTheme="minorHAnsi" w:cstheme="minorBidi"/>
          <w:szCs w:val="18"/>
          <w:lang w:eastAsia="en-US"/>
        </w:rPr>
        <w:t xml:space="preserve"> vonden vijf </w:t>
      </w:r>
      <w:proofErr w:type="spellStart"/>
      <w:r w:rsidRPr="008D122E">
        <w:rPr>
          <w:rFonts w:eastAsiaTheme="minorHAnsi" w:cstheme="minorBidi"/>
          <w:szCs w:val="18"/>
          <w:lang w:eastAsia="en-US"/>
        </w:rPr>
        <w:t>wetgevingsoverleggen</w:t>
      </w:r>
      <w:proofErr w:type="spellEnd"/>
      <w:r w:rsidRPr="008D122E">
        <w:rPr>
          <w:rFonts w:eastAsiaTheme="minorHAnsi" w:cstheme="minorBidi"/>
          <w:szCs w:val="18"/>
          <w:lang w:eastAsia="en-US"/>
        </w:rPr>
        <w:t xml:space="preserve"> plaats (</w:t>
      </w:r>
      <w:proofErr w:type="spellStart"/>
      <w:r w:rsidRPr="008D122E">
        <w:rPr>
          <w:rFonts w:eastAsiaTheme="minorHAnsi" w:cstheme="minorBidi"/>
          <w:szCs w:val="18"/>
          <w:lang w:eastAsia="en-US"/>
        </w:rPr>
        <w:t>WGO’s</w:t>
      </w:r>
      <w:proofErr w:type="spellEnd"/>
      <w:r w:rsidRPr="008D122E">
        <w:rPr>
          <w:rFonts w:eastAsiaTheme="minorHAnsi" w:cstheme="minorBidi"/>
          <w:szCs w:val="18"/>
          <w:lang w:eastAsia="en-US"/>
        </w:rPr>
        <w:t xml:space="preserve">), waarbij de boeken afzonderlijk werden behandeld. Er was uitgebreid aandacht voor vijf centrale thema’s: </w:t>
      </w:r>
    </w:p>
    <w:p w:rsidRPr="008D122E" w:rsidR="002E53B0" w:rsidP="002E53B0" w:rsidRDefault="002E53B0" w14:paraId="78E98C65" w14:textId="77777777">
      <w:r w:rsidRPr="008D122E">
        <w:rPr>
          <w:rFonts w:eastAsiaTheme="minorHAnsi" w:cstheme="minorBidi"/>
          <w:szCs w:val="18"/>
          <w:lang w:eastAsia="en-US"/>
        </w:rPr>
        <w:t>(1)</w:t>
      </w:r>
      <w:r w:rsidRPr="008D122E">
        <w:t xml:space="preserve"> beginselen en verhouding met lagere regelgeving, </w:t>
      </w:r>
    </w:p>
    <w:p w:rsidRPr="008D122E" w:rsidR="002E53B0" w:rsidP="002E53B0" w:rsidRDefault="002E53B0" w14:paraId="32BBF574" w14:textId="77777777">
      <w:r w:rsidRPr="008D122E">
        <w:t xml:space="preserve">(2) het slachtoffer, </w:t>
      </w:r>
    </w:p>
    <w:p w:rsidRPr="008D122E" w:rsidR="002E53B0" w:rsidP="002E53B0" w:rsidRDefault="002E53B0" w14:paraId="6FC4393B" w14:textId="77777777">
      <w:r w:rsidRPr="008D122E">
        <w:t xml:space="preserve">(3) de beweging naar voren, </w:t>
      </w:r>
    </w:p>
    <w:p w:rsidRPr="008D122E" w:rsidR="002E53B0" w:rsidP="002E53B0" w:rsidRDefault="002E53B0" w14:paraId="55D48152" w14:textId="77777777">
      <w:r w:rsidRPr="008D122E">
        <w:t xml:space="preserve">(4) rechtsbijstand en </w:t>
      </w:r>
    </w:p>
    <w:p w:rsidRPr="008D122E" w:rsidR="002E53B0" w:rsidP="002E53B0" w:rsidRDefault="002E53B0" w14:paraId="54720E6A" w14:textId="77777777">
      <w:pPr>
        <w:rPr>
          <w:rFonts w:eastAsiaTheme="minorHAnsi" w:cstheme="minorBidi"/>
          <w:szCs w:val="18"/>
          <w:lang w:eastAsia="en-US"/>
        </w:rPr>
      </w:pPr>
      <w:r w:rsidRPr="008D122E">
        <w:t>(5) het digitaal strafproces</w:t>
      </w:r>
      <w:r w:rsidRPr="008D122E">
        <w:rPr>
          <w:rFonts w:eastAsiaTheme="minorHAnsi" w:cstheme="minorBidi"/>
          <w:szCs w:val="18"/>
          <w:lang w:eastAsia="en-US"/>
        </w:rPr>
        <w:t xml:space="preserve">. </w:t>
      </w:r>
    </w:p>
    <w:p w:rsidRPr="008D122E" w:rsidR="00B10AE1" w:rsidP="002E53B0" w:rsidRDefault="00B10AE1" w14:paraId="7F838C5B" w14:textId="77777777">
      <w:pPr>
        <w:rPr>
          <w:rFonts w:eastAsiaTheme="minorHAnsi" w:cstheme="minorBidi"/>
          <w:szCs w:val="18"/>
          <w:lang w:eastAsia="en-US"/>
        </w:rPr>
      </w:pPr>
    </w:p>
    <w:p w:rsidRPr="008D122E" w:rsidR="002E53B0" w:rsidP="002E53B0" w:rsidRDefault="002E53B0" w14:paraId="369FDA5D" w14:textId="54C75E90">
      <w:pPr>
        <w:rPr>
          <w:rFonts w:eastAsiaTheme="minorHAnsi" w:cstheme="minorBidi"/>
          <w:szCs w:val="18"/>
          <w:lang w:eastAsia="en-US"/>
        </w:rPr>
      </w:pPr>
      <w:r w:rsidRPr="008D122E">
        <w:rPr>
          <w:rFonts w:eastAsiaTheme="minorHAnsi" w:cstheme="minorBidi"/>
          <w:szCs w:val="18"/>
          <w:lang w:eastAsia="en-US"/>
        </w:rPr>
        <w:t xml:space="preserve">De mondelinge behandeling werd afgesloten met een plenair debat. </w:t>
      </w:r>
    </w:p>
    <w:p w:rsidRPr="008D122E" w:rsidR="002E53B0" w:rsidP="002E53B0" w:rsidRDefault="002E53B0" w14:paraId="2D89042B" w14:textId="77777777">
      <w:pPr>
        <w:rPr>
          <w:rFonts w:eastAsiaTheme="minorHAnsi" w:cstheme="minorBidi"/>
          <w:szCs w:val="18"/>
          <w:lang w:eastAsia="en-US"/>
        </w:rPr>
      </w:pPr>
      <w:r w:rsidRPr="008D122E">
        <w:rPr>
          <w:rFonts w:eastAsiaTheme="minorHAnsi" w:cstheme="minorBidi"/>
          <w:szCs w:val="18"/>
          <w:lang w:eastAsia="en-US"/>
        </w:rPr>
        <w:t xml:space="preserve">Op </w:t>
      </w:r>
      <w:r w:rsidRPr="008D122E">
        <w:rPr>
          <w:rFonts w:eastAsiaTheme="minorHAnsi" w:cstheme="minorBidi"/>
          <w:i/>
          <w:iCs/>
          <w:szCs w:val="18"/>
          <w:lang w:eastAsia="en-US"/>
        </w:rPr>
        <w:t>25 maart 2025</w:t>
      </w:r>
      <w:r w:rsidRPr="008D122E">
        <w:rPr>
          <w:rFonts w:eastAsiaTheme="minorHAnsi" w:cstheme="minorBidi"/>
          <w:szCs w:val="18"/>
          <w:lang w:eastAsia="en-US"/>
        </w:rPr>
        <w:t xml:space="preserve"> werd gestemd over 25 amendementen bij de eerste en tweede vaststellingswet. Van de ingediende amendementen zijn er 16 aangenomen. Een week later werd over beide vaststellingswetten gestemd. </w:t>
      </w:r>
    </w:p>
    <w:p w:rsidRPr="008D122E" w:rsidR="002E53B0" w:rsidP="002E53B0" w:rsidRDefault="002E53B0" w14:paraId="7C71AC0D" w14:textId="77777777">
      <w:pPr>
        <w:rPr>
          <w:rFonts w:eastAsiaTheme="minorHAnsi" w:cstheme="minorBidi"/>
          <w:szCs w:val="18"/>
          <w:lang w:eastAsia="en-US"/>
        </w:rPr>
      </w:pPr>
      <w:r w:rsidRPr="008D122E">
        <w:rPr>
          <w:rFonts w:eastAsiaTheme="minorHAnsi" w:cstheme="minorBidi"/>
          <w:szCs w:val="18"/>
          <w:lang w:eastAsia="en-US"/>
        </w:rPr>
        <w:t xml:space="preserve">Beide vaststellingswetten zijn op </w:t>
      </w:r>
      <w:r w:rsidRPr="008D122E">
        <w:rPr>
          <w:rFonts w:eastAsiaTheme="minorHAnsi" w:cstheme="minorBidi"/>
          <w:i/>
          <w:iCs/>
          <w:szCs w:val="18"/>
          <w:lang w:eastAsia="en-US"/>
        </w:rPr>
        <w:t>1 april 2025</w:t>
      </w:r>
      <w:r w:rsidRPr="008D122E">
        <w:rPr>
          <w:rFonts w:eastAsiaTheme="minorHAnsi" w:cstheme="minorBidi"/>
          <w:szCs w:val="18"/>
          <w:lang w:eastAsia="en-US"/>
        </w:rPr>
        <w:t xml:space="preserve"> met een ruime meerderheid aangenomen door de Tweede Kamer. </w:t>
      </w:r>
    </w:p>
    <w:p w:rsidRPr="008D122E" w:rsidR="002E53B0" w:rsidP="002E53B0" w:rsidRDefault="002E53B0" w14:paraId="2FE26509" w14:textId="77777777">
      <w:pPr>
        <w:rPr>
          <w:rFonts w:eastAsiaTheme="minorHAnsi" w:cstheme="minorBidi"/>
          <w:szCs w:val="18"/>
          <w:lang w:eastAsia="en-US"/>
        </w:rPr>
      </w:pPr>
    </w:p>
    <w:p w:rsidRPr="008D122E" w:rsidR="002E53B0" w:rsidP="002E53B0" w:rsidRDefault="002E53B0" w14:paraId="1B4ADCEB" w14:textId="77777777">
      <w:pPr>
        <w:rPr>
          <w:rFonts w:eastAsiaTheme="minorHAnsi" w:cstheme="minorBidi"/>
          <w:szCs w:val="18"/>
          <w:lang w:eastAsia="en-US"/>
        </w:rPr>
      </w:pPr>
      <w:r w:rsidRPr="008D122E">
        <w:rPr>
          <w:rFonts w:eastAsiaTheme="minorHAnsi" w:cstheme="minorBidi"/>
          <w:szCs w:val="18"/>
          <w:lang w:eastAsia="en-US"/>
        </w:rPr>
        <w:t>Beide wetsvoorstellen voor de vaststelling van het nieuwe wetboek zijn sindsdien aanhangig bij de Eerste Kamer.</w:t>
      </w:r>
      <w:r w:rsidRPr="008D122E">
        <w:rPr>
          <w:rStyle w:val="Voetnootmarkering"/>
          <w:rFonts w:eastAsiaTheme="minorHAnsi" w:cstheme="minorBidi"/>
          <w:szCs w:val="18"/>
          <w:lang w:eastAsia="en-US"/>
        </w:rPr>
        <w:footnoteReference w:id="5"/>
      </w:r>
      <w:r w:rsidRPr="008D122E">
        <w:rPr>
          <w:rFonts w:eastAsiaTheme="minorHAnsi" w:cstheme="minorBidi"/>
          <w:szCs w:val="18"/>
          <w:lang w:eastAsia="en-US"/>
        </w:rPr>
        <w:t xml:space="preserve"> De Eerste Kamer is in 2023 al begonnen met de voorbereidingen op de behandeling. </w:t>
      </w:r>
    </w:p>
    <w:p w:rsidRPr="008D122E" w:rsidR="002E53B0" w:rsidP="002E53B0" w:rsidRDefault="002E53B0" w14:paraId="2209E443" w14:textId="77777777">
      <w:pPr>
        <w:rPr>
          <w:rFonts w:eastAsiaTheme="minorHAnsi" w:cstheme="minorBidi"/>
          <w:szCs w:val="18"/>
          <w:lang w:eastAsia="en-US"/>
        </w:rPr>
      </w:pPr>
      <w:r w:rsidRPr="008D122E">
        <w:rPr>
          <w:rFonts w:eastAsiaTheme="minorHAnsi" w:cstheme="minorBidi"/>
          <w:szCs w:val="18"/>
          <w:lang w:eastAsia="en-US"/>
        </w:rPr>
        <w:t xml:space="preserve">Op </w:t>
      </w:r>
      <w:r w:rsidRPr="008D122E">
        <w:rPr>
          <w:rFonts w:eastAsiaTheme="minorHAnsi" w:cstheme="minorBidi"/>
          <w:i/>
          <w:iCs/>
          <w:szCs w:val="18"/>
          <w:lang w:eastAsia="en-US"/>
        </w:rPr>
        <w:t>19 december 2023</w:t>
      </w:r>
      <w:r w:rsidRPr="008D122E">
        <w:rPr>
          <w:rFonts w:eastAsiaTheme="minorHAnsi" w:cstheme="minorBidi"/>
          <w:szCs w:val="18"/>
          <w:lang w:eastAsia="en-US"/>
        </w:rPr>
        <w:t xml:space="preserve"> is door de commissie Justitie en Veiligheid van de Eerste Kamer gesproken over de behandeling. Er is toen een voorbereidingsgroep ingesteld. </w:t>
      </w:r>
    </w:p>
    <w:p w:rsidRPr="008D122E" w:rsidR="002E53B0" w:rsidP="002E53B0" w:rsidRDefault="002E53B0" w14:paraId="70869D5A" w14:textId="77777777">
      <w:pPr>
        <w:rPr>
          <w:rFonts w:eastAsiaTheme="minorHAnsi" w:cstheme="minorBidi"/>
          <w:szCs w:val="18"/>
          <w:lang w:eastAsia="en-US"/>
        </w:rPr>
      </w:pPr>
      <w:r w:rsidRPr="008D122E">
        <w:rPr>
          <w:rFonts w:eastAsiaTheme="minorHAnsi" w:cstheme="minorBidi"/>
          <w:szCs w:val="18"/>
          <w:lang w:eastAsia="en-US"/>
        </w:rPr>
        <w:t xml:space="preserve">Op </w:t>
      </w:r>
      <w:r w:rsidRPr="008D122E">
        <w:rPr>
          <w:rFonts w:eastAsiaTheme="minorHAnsi" w:cstheme="minorBidi"/>
          <w:i/>
          <w:iCs/>
          <w:szCs w:val="18"/>
          <w:lang w:eastAsia="en-US"/>
        </w:rPr>
        <w:t>11 februari 2025</w:t>
      </w:r>
      <w:r w:rsidRPr="008D122E">
        <w:rPr>
          <w:rFonts w:eastAsiaTheme="minorHAnsi" w:cstheme="minorBidi"/>
          <w:szCs w:val="18"/>
          <w:lang w:eastAsia="en-US"/>
        </w:rPr>
        <w:t xml:space="preserve"> vond in de Eerste Kamer een technische briefing van het Ministerie van Justitie en Veiligheid plaats, gevolgd door voorlichting over het nieuwe wetboek van wetenschappers van de Universiteit Leiden.</w:t>
      </w:r>
    </w:p>
    <w:p w:rsidRPr="008D122E" w:rsidR="002E53B0" w:rsidP="002E53B0" w:rsidRDefault="002E53B0" w14:paraId="774F7CAE" w14:textId="77777777">
      <w:pPr>
        <w:rPr>
          <w:rFonts w:eastAsiaTheme="minorHAnsi" w:cstheme="minorBidi"/>
          <w:szCs w:val="18"/>
          <w:lang w:eastAsia="en-US"/>
        </w:rPr>
      </w:pPr>
      <w:r w:rsidRPr="008D122E">
        <w:rPr>
          <w:rFonts w:eastAsiaTheme="minorHAnsi" w:cstheme="minorBidi"/>
          <w:szCs w:val="18"/>
          <w:lang w:eastAsia="en-US"/>
        </w:rPr>
        <w:t xml:space="preserve">De commissie Justitie en Veiligheid van de Eerste Kamer organiseerde in september 2025 nog twee bijeenkomsten. </w:t>
      </w:r>
    </w:p>
    <w:p w:rsidRPr="008D122E" w:rsidR="002E53B0" w:rsidP="002E53B0" w:rsidRDefault="002E53B0" w14:paraId="3F6F0A22" w14:textId="77777777">
      <w:pPr>
        <w:rPr>
          <w:rFonts w:eastAsiaTheme="minorHAnsi" w:cstheme="minorBidi"/>
          <w:szCs w:val="18"/>
          <w:lang w:eastAsia="en-US"/>
        </w:rPr>
      </w:pPr>
      <w:r w:rsidRPr="008D122E">
        <w:rPr>
          <w:rFonts w:eastAsiaTheme="minorHAnsi" w:cstheme="minorBidi"/>
          <w:szCs w:val="18"/>
          <w:lang w:eastAsia="en-US"/>
        </w:rPr>
        <w:t xml:space="preserve">Op </w:t>
      </w:r>
      <w:r w:rsidRPr="008D122E">
        <w:rPr>
          <w:rFonts w:eastAsiaTheme="minorHAnsi" w:cstheme="minorBidi"/>
          <w:i/>
          <w:iCs/>
          <w:szCs w:val="18"/>
          <w:lang w:eastAsia="en-US"/>
        </w:rPr>
        <w:t>9 september 2025</w:t>
      </w:r>
      <w:r w:rsidRPr="008D122E">
        <w:rPr>
          <w:rFonts w:eastAsiaTheme="minorHAnsi" w:cstheme="minorBidi"/>
          <w:szCs w:val="18"/>
          <w:lang w:eastAsia="en-US"/>
        </w:rPr>
        <w:t xml:space="preserve"> informeerden vertegenwoordigers van de Raad voor de rechtspraak de Eerste Kamer over de rol van de rechter-commissaris in het nieuwe Wetboek van Strafvordering. </w:t>
      </w:r>
    </w:p>
    <w:p w:rsidRPr="008D122E" w:rsidR="002E53B0" w:rsidP="002E53B0" w:rsidRDefault="002E53B0" w14:paraId="21E49BFC" w14:textId="77777777">
      <w:pPr>
        <w:rPr>
          <w:rFonts w:eastAsiaTheme="minorHAnsi" w:cstheme="minorBidi"/>
          <w:szCs w:val="18"/>
          <w:lang w:eastAsia="en-US"/>
        </w:rPr>
      </w:pPr>
      <w:r w:rsidRPr="008D122E">
        <w:rPr>
          <w:rFonts w:eastAsiaTheme="minorHAnsi" w:cstheme="minorBidi"/>
          <w:szCs w:val="18"/>
          <w:lang w:eastAsia="en-US"/>
        </w:rPr>
        <w:t xml:space="preserve">Op </w:t>
      </w:r>
      <w:r w:rsidRPr="008D122E">
        <w:rPr>
          <w:rFonts w:eastAsiaTheme="minorHAnsi" w:cstheme="minorBidi"/>
          <w:i/>
          <w:iCs/>
          <w:szCs w:val="18"/>
          <w:lang w:eastAsia="en-US"/>
        </w:rPr>
        <w:t>23 september 2025</w:t>
      </w:r>
      <w:r w:rsidRPr="008D122E">
        <w:rPr>
          <w:rFonts w:eastAsiaTheme="minorHAnsi" w:cstheme="minorBidi"/>
          <w:szCs w:val="18"/>
          <w:lang w:eastAsia="en-US"/>
        </w:rPr>
        <w:t xml:space="preserve"> vond vervolgens een deskundigenbijeenkomst plaats met vertegenwoordigers vanuit het openbaar ministerie, de politie en de Raad voor de rechtspraak, over de impactanalyses en de voorbereiding van diverse ICT-systemen op de implementatie van het nieuwe Wetboek van Strafvordering.</w:t>
      </w:r>
    </w:p>
    <w:p w:rsidRPr="008D122E" w:rsidR="002E53B0" w:rsidP="002E53B0" w:rsidRDefault="002E53B0" w14:paraId="5A40E005" w14:textId="77777777">
      <w:pPr>
        <w:rPr>
          <w:rFonts w:eastAsiaTheme="minorHAnsi" w:cstheme="minorBidi"/>
          <w:szCs w:val="18"/>
          <w:lang w:eastAsia="en-US"/>
        </w:rPr>
      </w:pPr>
    </w:p>
    <w:p w:rsidRPr="008D122E" w:rsidR="002E53B0" w:rsidP="002E53B0" w:rsidRDefault="002E53B0" w14:paraId="05DF18FB" w14:textId="77777777">
      <w:pPr>
        <w:rPr>
          <w:rFonts w:eastAsiaTheme="minorHAnsi" w:cstheme="minorBidi"/>
          <w:i/>
          <w:iCs/>
          <w:szCs w:val="18"/>
          <w:lang w:eastAsia="en-US"/>
        </w:rPr>
      </w:pPr>
      <w:r w:rsidRPr="008D122E">
        <w:rPr>
          <w:rFonts w:eastAsiaTheme="minorHAnsi" w:cstheme="minorBidi"/>
          <w:szCs w:val="18"/>
          <w:lang w:eastAsia="en-US"/>
        </w:rPr>
        <w:t xml:space="preserve">Het verslag van de Eerste Kamer, met daarin de schriftelijke vragen over de beide vaststellingswetten, is op </w:t>
      </w:r>
      <w:r w:rsidRPr="008D122E">
        <w:rPr>
          <w:rFonts w:eastAsiaTheme="minorHAnsi" w:cstheme="minorBidi"/>
          <w:i/>
          <w:iCs/>
          <w:szCs w:val="18"/>
          <w:lang w:eastAsia="en-US"/>
        </w:rPr>
        <w:t>11 november 2025</w:t>
      </w:r>
      <w:r w:rsidRPr="008D122E">
        <w:rPr>
          <w:rFonts w:eastAsiaTheme="minorHAnsi" w:cstheme="minorBidi"/>
          <w:szCs w:val="18"/>
          <w:lang w:eastAsia="en-US"/>
        </w:rPr>
        <w:t xml:space="preserve"> vastgesteld.</w:t>
      </w:r>
      <w:r w:rsidRPr="008D122E">
        <w:rPr>
          <w:rStyle w:val="Voetnootmarkering"/>
          <w:rFonts w:eastAsiaTheme="minorHAnsi" w:cstheme="minorBidi"/>
          <w:szCs w:val="18"/>
          <w:lang w:eastAsia="en-US"/>
        </w:rPr>
        <w:footnoteReference w:id="6"/>
      </w:r>
      <w:r w:rsidRPr="008D122E">
        <w:rPr>
          <w:rFonts w:eastAsiaTheme="minorHAnsi" w:cstheme="minorBidi"/>
          <w:szCs w:val="18"/>
          <w:lang w:eastAsia="en-US"/>
        </w:rPr>
        <w:t xml:space="preserve"> De nota naar aanleiding van het verslag is vervolgens </w:t>
      </w:r>
      <w:r w:rsidRPr="008D122E">
        <w:rPr>
          <w:rFonts w:eastAsiaTheme="minorHAnsi" w:cstheme="minorBidi"/>
          <w:i/>
          <w:iCs/>
          <w:szCs w:val="18"/>
          <w:lang w:eastAsia="en-US"/>
        </w:rPr>
        <w:t>op 8 december 2025</w:t>
      </w:r>
      <w:r w:rsidRPr="008D122E">
        <w:rPr>
          <w:rFonts w:eastAsiaTheme="minorHAnsi" w:cstheme="minorBidi"/>
          <w:szCs w:val="18"/>
          <w:lang w:eastAsia="en-US"/>
        </w:rPr>
        <w:t xml:space="preserve"> aan de Eerste Kamer gestuurd.</w:t>
      </w:r>
      <w:r w:rsidRPr="008D122E">
        <w:rPr>
          <w:rStyle w:val="Voetnootmarkering"/>
          <w:rFonts w:eastAsiaTheme="minorHAnsi" w:cstheme="minorBidi"/>
          <w:szCs w:val="18"/>
          <w:lang w:eastAsia="en-US"/>
        </w:rPr>
        <w:footnoteReference w:id="7"/>
      </w:r>
      <w:r w:rsidRPr="008D122E">
        <w:rPr>
          <w:rFonts w:eastAsiaTheme="minorHAnsi" w:cstheme="minorBidi"/>
          <w:szCs w:val="18"/>
          <w:lang w:eastAsia="en-US"/>
        </w:rPr>
        <w:t xml:space="preserve"> </w:t>
      </w:r>
      <w:r w:rsidRPr="008D122E">
        <w:rPr>
          <w:bCs/>
          <w:szCs w:val="18"/>
        </w:rPr>
        <w:t xml:space="preserve">We kijken ernaar uit om de komende tijd de mondelinge </w:t>
      </w:r>
      <w:r w:rsidRPr="008D122E">
        <w:rPr>
          <w:bCs/>
          <w:szCs w:val="18"/>
        </w:rPr>
        <w:lastRenderedPageBreak/>
        <w:t xml:space="preserve">behandeling van het nieuwe wetboek met de leden van de Eerste Kamer voort te zetten. De plenaire behandeling vindt plaats op </w:t>
      </w:r>
      <w:r w:rsidRPr="008D122E">
        <w:rPr>
          <w:bCs/>
          <w:i/>
          <w:iCs/>
          <w:szCs w:val="18"/>
        </w:rPr>
        <w:t>10 februari 2026</w:t>
      </w:r>
      <w:r w:rsidRPr="008D122E">
        <w:rPr>
          <w:bCs/>
          <w:szCs w:val="18"/>
        </w:rPr>
        <w:t>.</w:t>
      </w:r>
    </w:p>
    <w:p w:rsidRPr="008D122E" w:rsidR="002E53B0" w:rsidP="002E53B0" w:rsidRDefault="002E53B0" w14:paraId="5ACDFDA5" w14:textId="77777777">
      <w:pPr>
        <w:rPr>
          <w:rFonts w:eastAsiaTheme="minorHAnsi" w:cstheme="minorBidi"/>
          <w:i/>
          <w:iCs/>
          <w:szCs w:val="18"/>
          <w:lang w:eastAsia="en-US"/>
        </w:rPr>
      </w:pPr>
    </w:p>
    <w:p w:rsidRPr="008D122E" w:rsidR="002E53B0" w:rsidP="002E53B0" w:rsidRDefault="002E53B0" w14:paraId="2B888014" w14:textId="77777777">
      <w:pPr>
        <w:rPr>
          <w:rFonts w:eastAsiaTheme="minorHAnsi" w:cstheme="minorBidi"/>
          <w:i/>
          <w:iCs/>
          <w:szCs w:val="18"/>
          <w:lang w:eastAsia="en-US"/>
        </w:rPr>
      </w:pPr>
      <w:r w:rsidRPr="008D122E">
        <w:rPr>
          <w:rFonts w:eastAsiaTheme="minorHAnsi" w:cstheme="minorBidi"/>
          <w:i/>
          <w:iCs/>
          <w:szCs w:val="18"/>
          <w:lang w:eastAsia="en-US"/>
        </w:rPr>
        <w:t>2.3 Aanvullingswetgeving</w:t>
      </w:r>
    </w:p>
    <w:p w:rsidRPr="008D122E" w:rsidR="002E53B0" w:rsidP="002E53B0" w:rsidRDefault="002E53B0" w14:paraId="2EA650A4" w14:textId="77777777">
      <w:pPr>
        <w:pStyle w:val="broodtekst"/>
      </w:pPr>
      <w:r w:rsidRPr="008D122E">
        <w:t>Het aanvullingsspoor van dit wetgevingsprogramma bestaat uit aanvullingswetten. De functie van aanvullingswetten is dat nog in inhoudelijke aanvullingen en wijzigingen in het nieuwe wetboek kan worden voorzien zonder dat de voortgang van de behandeling van de twee vaststellingswetten vertraging oploopt.</w:t>
      </w:r>
    </w:p>
    <w:p w:rsidRPr="008D122E" w:rsidR="002E53B0" w:rsidP="002E53B0" w:rsidRDefault="002E53B0" w14:paraId="3D706118" w14:textId="77777777">
      <w:pPr>
        <w:pStyle w:val="broodtekst"/>
      </w:pPr>
    </w:p>
    <w:p w:rsidRPr="008D122E" w:rsidR="002E53B0" w:rsidP="002E53B0" w:rsidRDefault="002E53B0" w14:paraId="1B49B46E" w14:textId="77777777">
      <w:pPr>
        <w:pStyle w:val="broodtekst"/>
      </w:pPr>
      <w:r w:rsidRPr="008D122E">
        <w:t>Benodigde wijzigingen en aanvullingen in het nieuwe wetboek worden via het aanvullingsspoor in aparte wetsvoorstellen in procedure gebracht. Het gaat om wetsvoorstellen waarvan de inhoud op het moment van de inwerkingtreding in het nieuwe wetboek wordt verwerkt. Het nieuwe wetboek is dan up-to-date</w:t>
      </w:r>
      <w:r w:rsidRPr="008D122E">
        <w:rPr>
          <w:i/>
          <w:iCs/>
        </w:rPr>
        <w:t xml:space="preserve"> </w:t>
      </w:r>
      <w:r w:rsidRPr="008D122E">
        <w:t xml:space="preserve">bij inwerkingtreding. Een aanvullingswetsvoorstel volgt de reguliere wetgevingsprocedure en wordt derhalve na consultatie en advisering door de Afdeling advisering van de Raad van State door de Tweede en Eerste Kamer behandeld. </w:t>
      </w:r>
    </w:p>
    <w:p w:rsidRPr="008D122E" w:rsidR="002E53B0" w:rsidP="002E53B0" w:rsidRDefault="002E53B0" w14:paraId="759BAA36" w14:textId="77777777">
      <w:pPr>
        <w:pStyle w:val="broodtekst"/>
      </w:pPr>
    </w:p>
    <w:p w:rsidRPr="008D122E" w:rsidR="002E53B0" w:rsidP="002E53B0" w:rsidRDefault="002E53B0" w14:paraId="6FDDDA0B" w14:textId="77777777">
      <w:pPr>
        <w:pStyle w:val="broodtekst"/>
      </w:pPr>
      <w:r w:rsidRPr="008D122E">
        <w:t>De gedachte is dat de parlementaire behandeling van de vaststellingswetten, die de hoofdstructuur en systematische samenhang in het nieuwe wetboek bevatten, voortvarend kan plaatsvinden. Hierdoor leiden aanpassingen in (afgezet tegen het geheel) betrekking hebben op een beperkt onderdeel, niet tot vertraging in de parlementaire behandeling van de vaststellingswetgeving als geheel te leiden.</w:t>
      </w:r>
    </w:p>
    <w:p w:rsidRPr="008D122E" w:rsidR="002E53B0" w:rsidP="002E53B0" w:rsidRDefault="002E53B0" w14:paraId="2D02BEB9" w14:textId="77777777">
      <w:pPr>
        <w:pStyle w:val="broodtekst"/>
      </w:pPr>
    </w:p>
    <w:p w:rsidRPr="008D122E" w:rsidR="002E53B0" w:rsidP="002E53B0" w:rsidRDefault="002E53B0" w14:paraId="5D5B9A3E" w14:textId="77777777">
      <w:pPr>
        <w:pStyle w:val="broodtekst"/>
      </w:pPr>
      <w:r w:rsidRPr="008D122E">
        <w:t xml:space="preserve">Er kunnen meerdere aanleidingen zijn om een onderwerp mee te nemen in het aanvullingsspoor: </w:t>
      </w:r>
    </w:p>
    <w:p w:rsidRPr="008D122E" w:rsidR="002E53B0" w:rsidP="00B10AE1" w:rsidRDefault="002E53B0" w14:paraId="1E3930F7" w14:textId="7C318C6F">
      <w:pPr>
        <w:pStyle w:val="broodtekst"/>
        <w:numPr>
          <w:ilvl w:val="0"/>
          <w:numId w:val="37"/>
        </w:numPr>
        <w:ind w:left="426" w:hanging="284"/>
      </w:pPr>
      <w:r w:rsidRPr="008D122E">
        <w:t>‘Gereserveerde onderdelen’ in de eerste vaststellingswet kunnen worden ingevuld. Bijvoorbeeld omdat uitkomsten van WODC-onderzoek bekend zijn en worden verwerkt. Dat is bijvoorbeeld het geval bij de regeling van strafvordering op zee en in de lucht.</w:t>
      </w:r>
    </w:p>
    <w:p w:rsidRPr="008D122E" w:rsidR="002E53B0" w:rsidP="00B10AE1" w:rsidRDefault="002E53B0" w14:paraId="1318318D" w14:textId="77777777">
      <w:pPr>
        <w:pStyle w:val="broodtekst"/>
        <w:numPr>
          <w:ilvl w:val="0"/>
          <w:numId w:val="37"/>
        </w:numPr>
        <w:ind w:left="426" w:hanging="284"/>
      </w:pPr>
      <w:r w:rsidRPr="008D122E">
        <w:t xml:space="preserve">In een aanvullingswet kan rekening worden gehouden met wensen vanuit de Tweede Kamer. Zo hebben schriftelijke vragen van de Tweede Kamer in de verslagen over de eerste vaststellingswet geleid tot wijzigingsvoorstellen in het voorstel voor de eerste aanvullingswet. </w:t>
      </w:r>
    </w:p>
    <w:p w:rsidRPr="008D122E" w:rsidR="002E53B0" w:rsidP="00B10AE1" w:rsidRDefault="002E53B0" w14:paraId="22319C15" w14:textId="77777777">
      <w:pPr>
        <w:pStyle w:val="broodtekst"/>
        <w:numPr>
          <w:ilvl w:val="0"/>
          <w:numId w:val="37"/>
        </w:numPr>
        <w:ind w:left="426" w:hanging="284"/>
      </w:pPr>
      <w:r w:rsidRPr="008D122E">
        <w:t xml:space="preserve">Ook de wetgevingsoverleggen en de plenaire behandeling van de twee vaststellingswetten in de Tweede Kamer hebben geleid tot voorstellen tot aanpassing. Deze komen later in de tweede aanvullingswet. </w:t>
      </w:r>
    </w:p>
    <w:p w:rsidRPr="008D122E" w:rsidR="002E53B0" w:rsidP="00B10AE1" w:rsidRDefault="002E53B0" w14:paraId="643D8B66" w14:textId="77777777">
      <w:pPr>
        <w:pStyle w:val="broodtekst"/>
        <w:numPr>
          <w:ilvl w:val="0"/>
          <w:numId w:val="37"/>
        </w:numPr>
        <w:ind w:left="426" w:hanging="284"/>
      </w:pPr>
      <w:r w:rsidRPr="008D122E">
        <w:t>De aanvullingswetgeving wordt daarnaast benut om recente (Europese) rechtspraak en recent aanvaarde wetgeving in het nieuwe wetboek te verwerken.</w:t>
      </w:r>
    </w:p>
    <w:p w:rsidRPr="008D122E" w:rsidR="002E53B0" w:rsidP="002E53B0" w:rsidRDefault="002E53B0" w14:paraId="2819A39E" w14:textId="77777777">
      <w:pPr>
        <w:pStyle w:val="broodtekst"/>
      </w:pPr>
    </w:p>
    <w:p w:rsidRPr="008D122E" w:rsidR="002E53B0" w:rsidP="002E53B0" w:rsidRDefault="002E53B0" w14:paraId="7AA6BCE3" w14:textId="77777777">
      <w:pPr>
        <w:autoSpaceDN w:val="0"/>
        <w:spacing w:line="240" w:lineRule="auto"/>
        <w:textAlignment w:val="baseline"/>
        <w:rPr>
          <w:b/>
          <w:bCs/>
          <w:szCs w:val="18"/>
        </w:rPr>
      </w:pPr>
      <w:r w:rsidRPr="008D122E">
        <w:rPr>
          <w:b/>
          <w:bCs/>
        </w:rPr>
        <w:br w:type="page"/>
      </w:r>
    </w:p>
    <w:p w:rsidRPr="008D122E" w:rsidR="002E53B0" w:rsidP="002E53B0" w:rsidRDefault="002E53B0" w14:paraId="69A93E28" w14:textId="77777777">
      <w:pPr>
        <w:pStyle w:val="broodtekst"/>
        <w:rPr>
          <w:b/>
          <w:bCs/>
        </w:rPr>
      </w:pPr>
      <w:r w:rsidRPr="008D122E">
        <w:rPr>
          <w:b/>
          <w:bCs/>
        </w:rPr>
        <w:lastRenderedPageBreak/>
        <w:t>Eerste aanvullingswet</w:t>
      </w:r>
    </w:p>
    <w:p w:rsidRPr="008D122E" w:rsidR="002E53B0" w:rsidP="002E53B0" w:rsidRDefault="002E53B0" w14:paraId="1CC281BD" w14:textId="77777777">
      <w:pPr>
        <w:pStyle w:val="broodtekst"/>
      </w:pPr>
    </w:p>
    <w:p w:rsidRPr="008D122E" w:rsidR="002E53B0" w:rsidP="002E53B0" w:rsidRDefault="002E53B0" w14:paraId="6CF7F724" w14:textId="77777777">
      <w:pPr>
        <w:rPr>
          <w:rFonts w:eastAsiaTheme="minorHAnsi" w:cstheme="minorBidi"/>
          <w:b/>
          <w:bCs/>
          <w:i/>
          <w:iCs/>
          <w:szCs w:val="18"/>
          <w:lang w:eastAsia="en-US"/>
        </w:rPr>
      </w:pPr>
      <w:r w:rsidRPr="008D122E">
        <w:rPr>
          <w:noProof/>
        </w:rPr>
        <w:drawing>
          <wp:inline distT="0" distB="0" distL="0" distR="0" wp14:anchorId="3E87AFF7" wp14:editId="113EC62B">
            <wp:extent cx="4505325" cy="3174153"/>
            <wp:effectExtent l="0" t="0" r="0" b="7620"/>
            <wp:docPr id="390150825"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12095" cy="3178923"/>
                    </a:xfrm>
                    <a:prstGeom prst="rect">
                      <a:avLst/>
                    </a:prstGeom>
                    <a:noFill/>
                    <a:ln>
                      <a:noFill/>
                    </a:ln>
                  </pic:spPr>
                </pic:pic>
              </a:graphicData>
            </a:graphic>
          </wp:inline>
        </w:drawing>
      </w:r>
    </w:p>
    <w:p w:rsidRPr="008D122E" w:rsidR="00B10AE1" w:rsidP="002E53B0" w:rsidRDefault="00B10AE1" w14:paraId="3D286598" w14:textId="77777777">
      <w:pPr>
        <w:rPr>
          <w:rFonts w:eastAsiaTheme="minorHAnsi" w:cstheme="minorBidi"/>
          <w:b/>
          <w:bCs/>
          <w:i/>
          <w:iCs/>
          <w:szCs w:val="18"/>
          <w:lang w:eastAsia="en-US"/>
        </w:rPr>
      </w:pPr>
    </w:p>
    <w:p w:rsidRPr="008D122E" w:rsidR="002E53B0" w:rsidP="002E53B0" w:rsidRDefault="002E53B0" w14:paraId="7FD104DA" w14:textId="77777777">
      <w:pPr>
        <w:pStyle w:val="broodtekst"/>
      </w:pPr>
      <w:r w:rsidRPr="008D122E">
        <w:t>De eerste aanvullingswet is een omvangrijk wetsvoorstel met een achttal relatief grote onderwerpen:</w:t>
      </w:r>
    </w:p>
    <w:p w:rsidRPr="008D122E" w:rsidR="002E53B0" w:rsidP="002E53B0" w:rsidRDefault="002E53B0" w14:paraId="10B42B3D" w14:textId="77777777">
      <w:pPr>
        <w:pStyle w:val="broodtekst"/>
        <w:numPr>
          <w:ilvl w:val="0"/>
          <w:numId w:val="31"/>
        </w:numPr>
        <w:tabs>
          <w:tab w:val="clear" w:pos="227"/>
          <w:tab w:val="clear" w:pos="454"/>
          <w:tab w:val="clear" w:pos="680"/>
        </w:tabs>
        <w:ind w:left="284" w:hanging="284"/>
      </w:pPr>
      <w:r w:rsidRPr="008D122E">
        <w:t>Regeling van procesafspraken</w:t>
      </w:r>
    </w:p>
    <w:p w:rsidRPr="008D122E" w:rsidR="002E53B0" w:rsidP="002E53B0" w:rsidRDefault="002E53B0" w14:paraId="6AEB895E" w14:textId="77777777">
      <w:pPr>
        <w:pStyle w:val="broodtekst"/>
        <w:numPr>
          <w:ilvl w:val="0"/>
          <w:numId w:val="31"/>
        </w:numPr>
        <w:tabs>
          <w:tab w:val="clear" w:pos="227"/>
          <w:tab w:val="clear" w:pos="454"/>
          <w:tab w:val="clear" w:pos="680"/>
        </w:tabs>
        <w:ind w:left="284" w:hanging="284"/>
      </w:pPr>
      <w:r w:rsidRPr="008D122E">
        <w:t>Strafvorderlijke gegevensverwerking</w:t>
      </w:r>
    </w:p>
    <w:p w:rsidRPr="008D122E" w:rsidR="002E53B0" w:rsidP="002E53B0" w:rsidRDefault="002E53B0" w14:paraId="6901BC8E" w14:textId="77777777">
      <w:pPr>
        <w:pStyle w:val="broodtekst"/>
        <w:numPr>
          <w:ilvl w:val="0"/>
          <w:numId w:val="31"/>
        </w:numPr>
        <w:tabs>
          <w:tab w:val="clear" w:pos="227"/>
          <w:tab w:val="clear" w:pos="454"/>
          <w:tab w:val="clear" w:pos="680"/>
        </w:tabs>
        <w:ind w:left="284" w:hanging="284"/>
      </w:pPr>
      <w:r w:rsidRPr="008D122E">
        <w:t>Aanpassingen van bepalingen over het onderzoek met betrekking tot het lichaam</w:t>
      </w:r>
    </w:p>
    <w:p w:rsidRPr="008D122E" w:rsidR="002E53B0" w:rsidP="002E53B0" w:rsidRDefault="002E53B0" w14:paraId="02AB7286" w14:textId="77777777">
      <w:pPr>
        <w:pStyle w:val="broodtekst"/>
        <w:numPr>
          <w:ilvl w:val="0"/>
          <w:numId w:val="31"/>
        </w:numPr>
        <w:tabs>
          <w:tab w:val="clear" w:pos="227"/>
          <w:tab w:val="clear" w:pos="454"/>
          <w:tab w:val="clear" w:pos="680"/>
        </w:tabs>
        <w:ind w:left="284" w:hanging="284"/>
      </w:pPr>
      <w:r w:rsidRPr="008D122E">
        <w:t>Verbetering van de regeling van de buitengerechtelijke afdoening</w:t>
      </w:r>
    </w:p>
    <w:p w:rsidRPr="008D122E" w:rsidR="002E53B0" w:rsidP="002E53B0" w:rsidRDefault="002E53B0" w14:paraId="0655377B" w14:textId="77777777">
      <w:pPr>
        <w:pStyle w:val="broodtekst"/>
        <w:numPr>
          <w:ilvl w:val="0"/>
          <w:numId w:val="31"/>
        </w:numPr>
        <w:tabs>
          <w:tab w:val="clear" w:pos="227"/>
          <w:tab w:val="clear" w:pos="454"/>
          <w:tab w:val="clear" w:pos="680"/>
        </w:tabs>
        <w:ind w:left="284" w:hanging="284"/>
      </w:pPr>
      <w:r w:rsidRPr="008D122E">
        <w:t>Aanpassing van enkele onderdelen van de deskundigenregeling</w:t>
      </w:r>
    </w:p>
    <w:p w:rsidRPr="008D122E" w:rsidR="002E53B0" w:rsidP="002E53B0" w:rsidRDefault="002E53B0" w14:paraId="0E3E1107" w14:textId="77777777">
      <w:pPr>
        <w:pStyle w:val="broodtekst"/>
        <w:numPr>
          <w:ilvl w:val="0"/>
          <w:numId w:val="31"/>
        </w:numPr>
        <w:tabs>
          <w:tab w:val="clear" w:pos="227"/>
          <w:tab w:val="clear" w:pos="454"/>
          <w:tab w:val="clear" w:pos="680"/>
        </w:tabs>
        <w:ind w:left="284" w:hanging="284"/>
      </w:pPr>
      <w:r w:rsidRPr="008D122E">
        <w:t>Strafvordering op zee en in de lucht</w:t>
      </w:r>
    </w:p>
    <w:p w:rsidRPr="008D122E" w:rsidR="002E53B0" w:rsidP="002E53B0" w:rsidRDefault="002E53B0" w14:paraId="7E1FEB82" w14:textId="77777777">
      <w:pPr>
        <w:pStyle w:val="broodtekst"/>
        <w:numPr>
          <w:ilvl w:val="0"/>
          <w:numId w:val="31"/>
        </w:numPr>
        <w:tabs>
          <w:tab w:val="clear" w:pos="227"/>
          <w:tab w:val="clear" w:pos="454"/>
          <w:tab w:val="clear" w:pos="680"/>
        </w:tabs>
        <w:ind w:left="284" w:hanging="284"/>
      </w:pPr>
      <w:r w:rsidRPr="008D122E">
        <w:t>Herstructurering van (bijzondere) voorwaarden en het toezicht op de naleving daarvan</w:t>
      </w:r>
    </w:p>
    <w:p w:rsidRPr="008D122E" w:rsidR="002E53B0" w:rsidP="002E53B0" w:rsidRDefault="002E53B0" w14:paraId="299AD11A" w14:textId="77777777">
      <w:pPr>
        <w:pStyle w:val="broodtekst"/>
        <w:numPr>
          <w:ilvl w:val="0"/>
          <w:numId w:val="31"/>
        </w:numPr>
        <w:tabs>
          <w:tab w:val="clear" w:pos="227"/>
          <w:tab w:val="clear" w:pos="454"/>
          <w:tab w:val="clear" w:pos="680"/>
        </w:tabs>
        <w:ind w:left="284" w:hanging="284"/>
      </w:pPr>
      <w:r w:rsidRPr="008D122E">
        <w:t>Vormgeving van het vernietigen van gegevens als strafrechtelijke maatregel.</w:t>
      </w:r>
    </w:p>
    <w:p w:rsidRPr="008D122E" w:rsidR="002E53B0" w:rsidP="002E53B0" w:rsidRDefault="002E53B0" w14:paraId="33549FD9" w14:textId="77777777">
      <w:pPr>
        <w:pStyle w:val="broodtekst"/>
      </w:pPr>
    </w:p>
    <w:p w:rsidRPr="008D122E" w:rsidR="002E53B0" w:rsidP="002E53B0" w:rsidRDefault="002E53B0" w14:paraId="508513A9" w14:textId="77777777">
      <w:pPr>
        <w:pStyle w:val="broodtekst"/>
      </w:pPr>
      <w:r w:rsidRPr="008D122E">
        <w:t>Daarnaast bevat de eerste aanvullingswet ook een viertal kleinere, meer technische onderwerpen:</w:t>
      </w:r>
    </w:p>
    <w:p w:rsidRPr="008D122E" w:rsidR="002E53B0" w:rsidP="002E53B0" w:rsidRDefault="002E53B0" w14:paraId="1C500D58" w14:textId="77777777">
      <w:pPr>
        <w:pStyle w:val="broodtekst"/>
        <w:numPr>
          <w:ilvl w:val="0"/>
          <w:numId w:val="32"/>
        </w:numPr>
        <w:tabs>
          <w:tab w:val="clear" w:pos="227"/>
          <w:tab w:val="clear" w:pos="454"/>
          <w:tab w:val="clear" w:pos="680"/>
        </w:tabs>
        <w:ind w:left="284" w:hanging="284"/>
      </w:pPr>
      <w:r w:rsidRPr="008D122E">
        <w:t>Aanpassing van artikel 1.1.1 in verband met de doorwerking van het internationaal recht</w:t>
      </w:r>
    </w:p>
    <w:p w:rsidRPr="008D122E" w:rsidR="002E53B0" w:rsidP="002E53B0" w:rsidRDefault="002E53B0" w14:paraId="461C9F5E" w14:textId="77777777">
      <w:pPr>
        <w:pStyle w:val="broodtekst"/>
        <w:numPr>
          <w:ilvl w:val="0"/>
          <w:numId w:val="32"/>
        </w:numPr>
        <w:tabs>
          <w:tab w:val="clear" w:pos="227"/>
          <w:tab w:val="clear" w:pos="454"/>
          <w:tab w:val="clear" w:pos="680"/>
          <w:tab w:val="left" w:pos="284"/>
        </w:tabs>
        <w:ind w:left="284" w:hanging="284"/>
      </w:pPr>
      <w:r w:rsidRPr="008D122E">
        <w:t>Aanpassing van de regels met betrekking tot het bewaren van sporendragers</w:t>
      </w:r>
    </w:p>
    <w:p w:rsidRPr="008D122E" w:rsidR="002E53B0" w:rsidP="002E53B0" w:rsidRDefault="002E53B0" w14:paraId="531AAE0B" w14:textId="77777777">
      <w:pPr>
        <w:pStyle w:val="broodtekst"/>
        <w:numPr>
          <w:ilvl w:val="0"/>
          <w:numId w:val="32"/>
        </w:numPr>
        <w:tabs>
          <w:tab w:val="clear" w:pos="227"/>
          <w:tab w:val="clear" w:pos="454"/>
          <w:tab w:val="clear" w:pos="680"/>
          <w:tab w:val="left" w:pos="284"/>
        </w:tabs>
        <w:ind w:left="284" w:hanging="284"/>
      </w:pPr>
      <w:r w:rsidRPr="008D122E">
        <w:t>Introductie van een heimelijke bevoegdheid tot het inloggen met rechtmatig verkregen gegevens op een elders aanwezig geautomatiseerd werk</w:t>
      </w:r>
    </w:p>
    <w:p w:rsidRPr="008D122E" w:rsidR="002E53B0" w:rsidP="002E53B0" w:rsidRDefault="002E53B0" w14:paraId="4193AE1E" w14:textId="77777777">
      <w:pPr>
        <w:pStyle w:val="broodtekst"/>
        <w:numPr>
          <w:ilvl w:val="0"/>
          <w:numId w:val="32"/>
        </w:numPr>
        <w:tabs>
          <w:tab w:val="clear" w:pos="227"/>
          <w:tab w:val="clear" w:pos="454"/>
          <w:tab w:val="clear" w:pos="680"/>
          <w:tab w:val="left" w:pos="284"/>
        </w:tabs>
        <w:ind w:left="284" w:hanging="284"/>
      </w:pPr>
      <w:r w:rsidRPr="008D122E">
        <w:t xml:space="preserve">Regels over het verstrekken van niet-strafbare gegevens na inbeslagneming. </w:t>
      </w:r>
    </w:p>
    <w:p w:rsidRPr="008D122E" w:rsidR="002E53B0" w:rsidP="002E53B0" w:rsidRDefault="002E53B0" w14:paraId="598B91BC" w14:textId="77777777">
      <w:pPr>
        <w:pStyle w:val="broodtekst"/>
      </w:pPr>
    </w:p>
    <w:p w:rsidRPr="008D122E" w:rsidR="002E53B0" w:rsidP="002E53B0" w:rsidRDefault="002E53B0" w14:paraId="5A62B528" w14:textId="77777777">
      <w:pPr>
        <w:pStyle w:val="broodtekst"/>
      </w:pPr>
      <w:r w:rsidRPr="008D122E">
        <w:t>Ook worden in de eerste aanvullingswet omissies uit de twee vaststellingswetten hersteld en worden recente wijzigingen in het huidige Wetboek van Strafvordering doorgevoerd in het nieuwe wetboek.</w:t>
      </w:r>
    </w:p>
    <w:p w:rsidRPr="008D122E" w:rsidR="002E53B0" w:rsidP="002E53B0" w:rsidRDefault="002E53B0" w14:paraId="17CCB3E6" w14:textId="77777777">
      <w:pPr>
        <w:pStyle w:val="broodtekst"/>
      </w:pPr>
    </w:p>
    <w:p w:rsidRPr="008D122E" w:rsidR="002E53B0" w:rsidP="002E53B0" w:rsidRDefault="002E53B0" w14:paraId="231E3567" w14:textId="31CBD6B1">
      <w:pPr>
        <w:pStyle w:val="broodtekst"/>
      </w:pPr>
      <w:r w:rsidRPr="008D122E">
        <w:t xml:space="preserve">Ten tijde van de vorige voortgangsrapportage in december 2024 werd nog gewerkt aan de verwerking van de ontvangen consultatieadviezen over de eerste </w:t>
      </w:r>
      <w:r w:rsidRPr="008D122E">
        <w:lastRenderedPageBreak/>
        <w:t xml:space="preserve">aanvullingswet. In 2025 zijn met de eerste aanvullingswet belangrijke stappen gezet. Nadat de consultatieadviezen zijn verwerkt in het voorstel en de memorie van toelichting is het wetsvoorstel </w:t>
      </w:r>
      <w:r w:rsidRPr="008D122E">
        <w:rPr>
          <w:i/>
          <w:iCs/>
        </w:rPr>
        <w:t>op 28 mei</w:t>
      </w:r>
      <w:r w:rsidRPr="008D122E">
        <w:t xml:space="preserve"> voor advies voorgelegd aan de Afdeling advisering van de Raad van State. Het advies van de Raad van State is vervolgens op </w:t>
      </w:r>
      <w:r w:rsidRPr="008D122E">
        <w:rPr>
          <w:i/>
          <w:iCs/>
        </w:rPr>
        <w:t>13 november</w:t>
      </w:r>
      <w:r w:rsidRPr="008D122E">
        <w:t xml:space="preserve"> vastgesteld (met een positief dictum B). Wij streven ernaar om het wetsvoorstel in </w:t>
      </w:r>
      <w:r w:rsidRPr="008D122E" w:rsidR="00897730">
        <w:t>februari</w:t>
      </w:r>
      <w:r w:rsidRPr="008D122E">
        <w:t xml:space="preserve"> 2026 in te dienen bij de Tweede Kamer.</w:t>
      </w:r>
    </w:p>
    <w:p w:rsidRPr="008D122E" w:rsidR="002E53B0" w:rsidP="002E53B0" w:rsidRDefault="002E53B0" w14:paraId="58F388C2" w14:textId="77777777">
      <w:pPr>
        <w:pStyle w:val="broodtekst"/>
      </w:pPr>
    </w:p>
    <w:p w:rsidRPr="008D122E" w:rsidR="002E53B0" w:rsidP="002E53B0" w:rsidRDefault="002E53B0" w14:paraId="11D25A3D" w14:textId="77777777">
      <w:pPr>
        <w:pStyle w:val="broodtekst"/>
        <w:rPr>
          <w:b/>
          <w:bCs/>
        </w:rPr>
      </w:pPr>
      <w:r w:rsidRPr="008D122E">
        <w:rPr>
          <w:b/>
          <w:bCs/>
        </w:rPr>
        <w:t>Tweede aanvullingswet</w:t>
      </w:r>
    </w:p>
    <w:p w:rsidRPr="008D122E" w:rsidR="002E53B0" w:rsidP="002E53B0" w:rsidRDefault="002E53B0" w14:paraId="4DDC8EE1" w14:textId="77777777">
      <w:pPr>
        <w:pStyle w:val="broodtekst"/>
      </w:pPr>
      <w:r w:rsidRPr="008D122E">
        <w:t xml:space="preserve">Na het voorleggen van de eerste aanvullingswet aan de Raad van State zijn de ambtelijke voorbereidingen van de tweede aanvullingswet gestart. Dit voorstel wordt ten eerste gebruikt voor de verwerking van de uitkomsten van de evaluatie van de Innovatiewet Strafvordering in het nieuwe wetboek (zie nader in paragraaf 2.4). </w:t>
      </w:r>
    </w:p>
    <w:p w:rsidRPr="008D122E" w:rsidR="002E53B0" w:rsidP="002E53B0" w:rsidRDefault="002E53B0" w14:paraId="21623AD6" w14:textId="77777777">
      <w:pPr>
        <w:pStyle w:val="broodtekst"/>
      </w:pPr>
    </w:p>
    <w:p w:rsidRPr="008D122E" w:rsidR="002E53B0" w:rsidP="002E53B0" w:rsidRDefault="002E53B0" w14:paraId="5077E933" w14:textId="77777777">
      <w:pPr>
        <w:pStyle w:val="broodtekst"/>
      </w:pPr>
      <w:r w:rsidRPr="008D122E">
        <w:t>Daarnaast wordt richtinggevende jurisprudentie over enkele belangrijke strafvorderlijke onderwerpen verwerkt in het nieuwe wetboek. Zo hebben het Hof van Justitie van de EU en de Hoge Raad uitspraken gedaan over het onderzoek in geautomatiseerde werken en digitale-gegevensdragers.</w:t>
      </w:r>
      <w:r w:rsidRPr="008D122E">
        <w:rPr>
          <w:rStyle w:val="Voetnootmarkering"/>
        </w:rPr>
        <w:footnoteReference w:id="8"/>
      </w:r>
      <w:r w:rsidRPr="008D122E">
        <w:t xml:space="preserve"> In deze zogeheten “Landeck-jurisprudentie” worden nadere regels gegeven over de voorafgaande rechterlijke toets van de rechter-commissaris voor het onderzoek in bijvoorbeeld smartphones. Deze jurisprudentie wordt door middel van de tweede aanvullingswet verwerkt in het nieuwe wetboek. Een ander onderwerp is het functioneel verschoningsrecht, waarover de Hoge Raad in maart 2024 een belangrijke beslissing heeft genomen.</w:t>
      </w:r>
      <w:r w:rsidRPr="008D122E">
        <w:rPr>
          <w:rStyle w:val="Voetnootmarkering"/>
        </w:rPr>
        <w:footnoteReference w:id="9"/>
      </w:r>
      <w:r w:rsidRPr="008D122E">
        <w:t xml:space="preserve"> Ook deze jurisprudentie, waarnaar de rechtspraktijk sindsdien al handelt, zal via de tweede aanvullingswet worden verwerkt in het nieuwe wetboek.</w:t>
      </w:r>
    </w:p>
    <w:p w:rsidRPr="008D122E" w:rsidR="002E53B0" w:rsidP="002E53B0" w:rsidRDefault="002E53B0" w14:paraId="233A31FB" w14:textId="77777777">
      <w:pPr>
        <w:pStyle w:val="broodtekst"/>
      </w:pPr>
    </w:p>
    <w:p w:rsidRPr="008D122E" w:rsidR="002E53B0" w:rsidP="002E53B0" w:rsidRDefault="002E53B0" w14:paraId="0A9C259B" w14:textId="77777777">
      <w:pPr>
        <w:pStyle w:val="broodtekst"/>
      </w:pPr>
      <w:r w:rsidRPr="008D122E">
        <w:t>Ook zal door middel van de tweede aanvullingswet recent aangenomen wetgeving die het huidige Wetboek van Strafvordering wijzigt, worden verwerkt in het nieuwe wetboek en worden nog enkele omissies in de vaststellingswetgeving hersteld.</w:t>
      </w:r>
    </w:p>
    <w:p w:rsidRPr="008D122E" w:rsidR="002E53B0" w:rsidP="002E53B0" w:rsidRDefault="002E53B0" w14:paraId="235B605C" w14:textId="77777777">
      <w:pPr>
        <w:pStyle w:val="broodtekst"/>
      </w:pPr>
    </w:p>
    <w:p w:rsidRPr="008D122E" w:rsidR="002E53B0" w:rsidP="002E53B0" w:rsidRDefault="002E53B0" w14:paraId="038C73FB" w14:textId="7D868978">
      <w:pPr>
        <w:pStyle w:val="broodtekst"/>
      </w:pPr>
      <w:r w:rsidRPr="008D122E">
        <w:t xml:space="preserve">Tot slot vormen aangenomen moties tijdens de plenaire behandeling van de vaststellingswetgeving van het nieuwe Wetboek van Strafvordering (zie over die behandeling deelparagraaf 2.2) aanleiding tot het doorvoeren van wijzigingen in dit wetboek door middel van de tweede aanvullingswet. Dit betreft bijvoorbeeld de  motie van lid </w:t>
      </w:r>
      <w:proofErr w:type="spellStart"/>
      <w:r w:rsidRPr="008D122E">
        <w:t>Ellian</w:t>
      </w:r>
      <w:proofErr w:type="spellEnd"/>
      <w:r w:rsidRPr="008D122E">
        <w:t xml:space="preserve"> over de afdwingbaarheid van slachtofferrechten</w:t>
      </w:r>
      <w:r w:rsidRPr="008D122E" w:rsidR="00B10AE1">
        <w:rPr>
          <w:rStyle w:val="Voetnootmarkering"/>
        </w:rPr>
        <w:footnoteReference w:id="10"/>
      </w:r>
      <w:r w:rsidRPr="008D122E">
        <w:t xml:space="preserve">  en de motie van de leden </w:t>
      </w:r>
      <w:proofErr w:type="spellStart"/>
      <w:r w:rsidRPr="008D122E">
        <w:t>Ellian</w:t>
      </w:r>
      <w:proofErr w:type="spellEnd"/>
      <w:r w:rsidRPr="008D122E">
        <w:t xml:space="preserve"> en Sneller over de duidelijkere verankering van de beweging naar voren in het nieuwe wetboek.</w:t>
      </w:r>
      <w:r w:rsidRPr="008D122E" w:rsidR="00B10AE1">
        <w:rPr>
          <w:rStyle w:val="Voetnootmarkering"/>
        </w:rPr>
        <w:footnoteReference w:id="11"/>
      </w:r>
    </w:p>
    <w:p w:rsidRPr="008D122E" w:rsidR="002E53B0" w:rsidP="002E53B0" w:rsidRDefault="002E53B0" w14:paraId="3E4A0D65" w14:textId="77777777">
      <w:pPr>
        <w:pStyle w:val="broodtekst"/>
      </w:pPr>
    </w:p>
    <w:p w:rsidRPr="008D122E" w:rsidR="002E53B0" w:rsidP="002E53B0" w:rsidRDefault="002E53B0" w14:paraId="39F0B1C9" w14:textId="77777777">
      <w:pPr>
        <w:pStyle w:val="broodtekst"/>
      </w:pPr>
      <w:r w:rsidRPr="008D122E">
        <w:t>Wij streven ernaar om de tweede aanvullingswet in het eerste kwartaal van 2026 in formele consultatie te geven.</w:t>
      </w:r>
    </w:p>
    <w:p w:rsidRPr="008D122E" w:rsidR="002E53B0" w:rsidP="002E53B0" w:rsidRDefault="002E53B0" w14:paraId="61E13A8B" w14:textId="77777777">
      <w:pPr>
        <w:pStyle w:val="broodtekst"/>
      </w:pPr>
    </w:p>
    <w:p w:rsidRPr="008D122E" w:rsidR="00B10AE1" w:rsidP="002E53B0" w:rsidRDefault="00B10AE1" w14:paraId="294D5273" w14:textId="77777777">
      <w:pPr>
        <w:pStyle w:val="broodtekst"/>
      </w:pPr>
    </w:p>
    <w:p w:rsidRPr="008D122E" w:rsidR="00405D9E" w:rsidRDefault="00405D9E" w14:paraId="058CB26E" w14:textId="232EA848">
      <w:pPr>
        <w:autoSpaceDN w:val="0"/>
        <w:spacing w:line="240" w:lineRule="auto"/>
        <w:textAlignment w:val="baseline"/>
        <w:rPr>
          <w:szCs w:val="18"/>
        </w:rPr>
      </w:pPr>
      <w:r w:rsidRPr="008D122E">
        <w:br w:type="page"/>
      </w:r>
    </w:p>
    <w:p w:rsidRPr="008D122E" w:rsidR="002E53B0" w:rsidP="002E53B0" w:rsidRDefault="002E53B0" w14:paraId="188FCE20" w14:textId="77777777">
      <w:pPr>
        <w:pStyle w:val="broodtekst"/>
        <w:rPr>
          <w:i/>
          <w:iCs/>
        </w:rPr>
      </w:pPr>
      <w:bookmarkStart w:name="_Hlk221104374" w:id="2"/>
      <w:r w:rsidRPr="008D122E">
        <w:rPr>
          <w:i/>
          <w:iCs/>
        </w:rPr>
        <w:lastRenderedPageBreak/>
        <w:t>2.4 Innovatiewet en Verlengingswet</w:t>
      </w:r>
    </w:p>
    <w:p w:rsidRPr="008D122E" w:rsidR="002E53B0" w:rsidP="002E53B0" w:rsidRDefault="002E53B0" w14:paraId="5FE35D1E" w14:textId="77777777">
      <w:pPr>
        <w:rPr>
          <w:szCs w:val="18"/>
        </w:rPr>
      </w:pPr>
      <w:r w:rsidRPr="008D122E">
        <w:rPr>
          <w:szCs w:val="18"/>
        </w:rPr>
        <w:t xml:space="preserve">Op 1 oktober 2022 trad de Innovatiewet Strafvordering in werking. Deze wet bood de mogelijkheid om een vijftal nieuwe onderwerpen alvast te beproeven in de praktijk. Het gaat daarbij om mediation na aanvang van de berechting, de prejudiciële procedure in strafzaken, uitbreiding van de bevoegdheden van de hulpofficier van justitie, een aantal nieuwe digitale bevoegdheden na inbeslagneming van een digitale gegevensdrager of geautomatiseerd werk, en ten slotte het gebruik van audiovisuele registraties als alternatief voor een volledig proces-verbaal (AVR). Deze mogelijkheden uit de Innovatiewet zijn opgenomen in Titel X van het Vierde Boek van het </w:t>
      </w:r>
      <w:r w:rsidRPr="008D122E">
        <w:rPr>
          <w:i/>
          <w:iCs/>
          <w:szCs w:val="18"/>
        </w:rPr>
        <w:t>huidige</w:t>
      </w:r>
      <w:r w:rsidRPr="008D122E">
        <w:rPr>
          <w:szCs w:val="18"/>
        </w:rPr>
        <w:t xml:space="preserve"> Wetboek van Strafvordering (artikelen 553 t/m 574). Voor het merendeel van de onderwerpen uit de Innovatiewet geldt dat zij ook al zijn opgenomen in de eerste vaststellingswet.</w:t>
      </w:r>
    </w:p>
    <w:p w:rsidRPr="008D122E" w:rsidR="002E53B0" w:rsidP="002E53B0" w:rsidRDefault="002E53B0" w14:paraId="30782A48" w14:textId="77777777">
      <w:pPr>
        <w:rPr>
          <w:szCs w:val="18"/>
        </w:rPr>
      </w:pPr>
    </w:p>
    <w:p w:rsidRPr="008D122E" w:rsidR="002E53B0" w:rsidP="002E53B0" w:rsidRDefault="002E53B0" w14:paraId="0CFAD298" w14:textId="77777777">
      <w:pPr>
        <w:rPr>
          <w:i/>
          <w:iCs/>
          <w:szCs w:val="18"/>
        </w:rPr>
      </w:pPr>
      <w:r w:rsidRPr="008D122E">
        <w:rPr>
          <w:i/>
          <w:iCs/>
          <w:szCs w:val="18"/>
        </w:rPr>
        <w:t xml:space="preserve">Chronologisch (data cursief) </w:t>
      </w:r>
    </w:p>
    <w:p w:rsidRPr="008D122E" w:rsidR="002E53B0" w:rsidP="002E53B0" w:rsidRDefault="002E53B0" w14:paraId="0D6DBACF" w14:textId="77777777">
      <w:pPr>
        <w:rPr>
          <w:szCs w:val="18"/>
        </w:rPr>
      </w:pPr>
      <w:r w:rsidRPr="008D122E">
        <w:rPr>
          <w:szCs w:val="18"/>
        </w:rPr>
        <w:t xml:space="preserve">De Innovatiewet zou eindigen op </w:t>
      </w:r>
      <w:r w:rsidRPr="008D122E">
        <w:rPr>
          <w:i/>
          <w:iCs/>
          <w:szCs w:val="18"/>
        </w:rPr>
        <w:t>30 september 2025</w:t>
      </w:r>
      <w:r w:rsidRPr="008D122E">
        <w:rPr>
          <w:szCs w:val="18"/>
        </w:rPr>
        <w:t xml:space="preserve">. Er werd echter al rekening gehouden met een mogelijke wens tot verlenging. De zogeheten horizonbepaling (Artikel IV) in de Innovatiewet bepaalt dat de werkingsduur van de wet kan worden verlengd en stelt daarvoor als noodzakelijke voorwaarde dat een wetsvoorstel daartoe uiterlijk 30 september 2025 bij de Tweede Kamer moet zijn ingediend. Met de verlenging kunnen de wettelijke bepalingen die de Innovatiewet heeft geïntroduceerd worden gecontinueerd tot de inwerkingtreding van (de corresponderende regelingen in) het nieuwe Wetboek van Strafvordering. </w:t>
      </w:r>
    </w:p>
    <w:p w:rsidRPr="008D122E" w:rsidR="002E53B0" w:rsidP="002E53B0" w:rsidRDefault="002E53B0" w14:paraId="45A44368" w14:textId="77777777">
      <w:pPr>
        <w:rPr>
          <w:szCs w:val="18"/>
        </w:rPr>
      </w:pPr>
      <w:r w:rsidRPr="008D122E">
        <w:rPr>
          <w:szCs w:val="18"/>
        </w:rPr>
        <w:t xml:space="preserve">Op </w:t>
      </w:r>
      <w:r w:rsidRPr="008D122E">
        <w:rPr>
          <w:i/>
          <w:iCs/>
          <w:szCs w:val="18"/>
        </w:rPr>
        <w:t>3 oktober 2024</w:t>
      </w:r>
      <w:r w:rsidRPr="008D122E">
        <w:rPr>
          <w:szCs w:val="18"/>
        </w:rPr>
        <w:t xml:space="preserve"> is de evaluatie van de Innovatiewet Strafvordering aan uw Kamer aangeboden. De evaluatie heeft plaatsgevonden in twee deelonderzoeken.</w:t>
      </w:r>
      <w:r w:rsidRPr="008D122E">
        <w:rPr>
          <w:rStyle w:val="Voetnootmarkering"/>
          <w:szCs w:val="18"/>
        </w:rPr>
        <w:footnoteReference w:id="12"/>
      </w:r>
      <w:r w:rsidRPr="008D122E">
        <w:rPr>
          <w:szCs w:val="18"/>
        </w:rPr>
        <w:t xml:space="preserve"> Een voorstel zou worden ingediend om bij wet de werkingsduur van het merendeel van de bepalingen te verlengen tot aan de inwerkingtreding van het nieuwe wetboek. In de afgelopen periode is dit voorstel eerst in formele consultatie gegeven en daarna voor advies voorgelegd aan de Afdeling advisering van de Raad van State. </w:t>
      </w:r>
    </w:p>
    <w:p w:rsidRPr="008D122E" w:rsidR="002E53B0" w:rsidP="002E53B0" w:rsidRDefault="002E53B0" w14:paraId="49BACD10" w14:textId="77777777">
      <w:pPr>
        <w:rPr>
          <w:szCs w:val="18"/>
        </w:rPr>
      </w:pPr>
      <w:r w:rsidRPr="008D122E">
        <w:rPr>
          <w:szCs w:val="18"/>
        </w:rPr>
        <w:t xml:space="preserve">Vergezeld van het nader rapport en het bijbehorende advies van de Raad van State is vervolgens het wetsvoorstel tot verlenging van de Innovatiewet op </w:t>
      </w:r>
      <w:r w:rsidRPr="008D122E">
        <w:rPr>
          <w:i/>
          <w:iCs/>
          <w:szCs w:val="18"/>
        </w:rPr>
        <w:t>7 juli 2025</w:t>
      </w:r>
      <w:r w:rsidRPr="008D122E">
        <w:rPr>
          <w:szCs w:val="18"/>
        </w:rPr>
        <w:t xml:space="preserve"> ingediend bij de Tweede Kamer (36784). Daarmee is aan de hierboven genoemde noodzakelijke voorwaarde voor behoud van de bepalingen voldaan en kunnen deze hun werking tot aan de inwerkingtreding van het nieuwe wetboek behouden. </w:t>
      </w:r>
    </w:p>
    <w:p w:rsidRPr="008D122E" w:rsidR="002E53B0" w:rsidP="002E53B0" w:rsidRDefault="002E53B0" w14:paraId="1E59C850" w14:textId="40025D1B">
      <w:pPr>
        <w:rPr>
          <w:szCs w:val="18"/>
        </w:rPr>
      </w:pPr>
      <w:r w:rsidRPr="008D122E">
        <w:rPr>
          <w:szCs w:val="18"/>
        </w:rPr>
        <w:t xml:space="preserve">Op </w:t>
      </w:r>
      <w:r w:rsidRPr="008D122E">
        <w:rPr>
          <w:i/>
          <w:iCs/>
          <w:szCs w:val="18"/>
        </w:rPr>
        <w:t>26 september 2025</w:t>
      </w:r>
      <w:r w:rsidRPr="008D122E">
        <w:rPr>
          <w:szCs w:val="18"/>
        </w:rPr>
        <w:t xml:space="preserve"> heeft de Tweede Kamer het verslag over de verlengingswet vastgesteld. De nota naar aanleiding van het verslag is op </w:t>
      </w:r>
      <w:r w:rsidRPr="008D122E">
        <w:rPr>
          <w:i/>
          <w:iCs/>
          <w:szCs w:val="18"/>
        </w:rPr>
        <w:t>15 december 2025</w:t>
      </w:r>
      <w:r w:rsidRPr="008D122E">
        <w:rPr>
          <w:szCs w:val="18"/>
        </w:rPr>
        <w:t xml:space="preserve"> nog naar de Tweede Kamer gestuurd.</w:t>
      </w:r>
      <w:r w:rsidRPr="008D122E">
        <w:rPr>
          <w:rStyle w:val="Voetnootmarkering"/>
          <w:szCs w:val="18"/>
        </w:rPr>
        <w:footnoteReference w:id="13"/>
      </w:r>
      <w:r w:rsidRPr="008D122E" w:rsidR="00626C8C">
        <w:rPr>
          <w:szCs w:val="18"/>
        </w:rPr>
        <w:t xml:space="preserve"> </w:t>
      </w:r>
      <w:r w:rsidRPr="008D122E" w:rsidR="006105FE">
        <w:rPr>
          <w:szCs w:val="18"/>
        </w:rPr>
        <w:t xml:space="preserve">Op </w:t>
      </w:r>
      <w:r w:rsidRPr="008D122E" w:rsidR="006105FE">
        <w:rPr>
          <w:i/>
          <w:iCs/>
          <w:szCs w:val="18"/>
        </w:rPr>
        <w:t xml:space="preserve">29 januari 2026 </w:t>
      </w:r>
      <w:r w:rsidRPr="008D122E" w:rsidR="006105FE">
        <w:rPr>
          <w:szCs w:val="18"/>
        </w:rPr>
        <w:t>heeft de Tweede Kamer de Verlengingswet als hamerstuk aanvaard.</w:t>
      </w:r>
    </w:p>
    <w:bookmarkEnd w:id="2"/>
    <w:p w:rsidRPr="008D122E" w:rsidR="002E53B0" w:rsidP="002E53B0" w:rsidRDefault="002E53B0" w14:paraId="7566754F" w14:textId="77777777">
      <w:pPr>
        <w:rPr>
          <w:szCs w:val="18"/>
        </w:rPr>
      </w:pPr>
    </w:p>
    <w:p w:rsidRPr="008D122E" w:rsidR="002E53B0" w:rsidP="002E53B0" w:rsidRDefault="002E53B0" w14:paraId="76AF4624" w14:textId="77777777">
      <w:pPr>
        <w:rPr>
          <w:rFonts w:eastAsiaTheme="minorHAnsi" w:cstheme="minorBidi"/>
          <w:i/>
          <w:iCs/>
          <w:szCs w:val="18"/>
          <w:lang w:eastAsia="en-US"/>
        </w:rPr>
      </w:pPr>
      <w:bookmarkStart w:name="_Hlk221104382" w:id="3"/>
      <w:r w:rsidRPr="008D122E">
        <w:rPr>
          <w:rFonts w:eastAsiaTheme="minorHAnsi" w:cstheme="minorBidi"/>
          <w:i/>
          <w:iCs/>
          <w:szCs w:val="18"/>
          <w:lang w:eastAsia="en-US"/>
        </w:rPr>
        <w:t>2.5 Invoeringswetten</w:t>
      </w:r>
    </w:p>
    <w:p w:rsidRPr="008D122E" w:rsidR="002E53B0" w:rsidP="002E53B0" w:rsidRDefault="002E53B0" w14:paraId="3D22C964" w14:textId="77777777">
      <w:pPr>
        <w:pStyle w:val="broodtekst"/>
      </w:pPr>
      <w:r w:rsidRPr="008D122E">
        <w:t xml:space="preserve">Het invoeringsspoor van het nieuwe Wetboek van Strafvordering wordt gevormd door de invoeringswet en de invoeringsrijkswet. De invoeringswetgeving bestaat uit verschillende onderdelen. Een belangrijk onderdeel wordt gevormd door het overgangsrecht. Het antwoord op de vraag welk recht na inwerkingtreding van het nieuwe wetboek toepasselijk is op een concrete proceshandeling of processituatie in lopende strafzaken – het nieuwe of het oude recht – wordt bepaald door de </w:t>
      </w:r>
      <w:r w:rsidRPr="008D122E">
        <w:lastRenderedPageBreak/>
        <w:t xml:space="preserve">regels van het overgangsrecht. Doordat het nieuwe wetboek in één keer wordt ingevoerd, wordt de duur van het overgangsrecht zo kort mogelijk gehouden. </w:t>
      </w:r>
      <w:bookmarkStart w:name="_Hlk211498462" w:id="4"/>
      <w:r w:rsidRPr="008D122E">
        <w:t>De in de invoeringswet op te nemen conceptbepalingen voor het overgangsrecht van de Boeken 1 tot en met 8 zijn reeds met de betrokken ketenpartners besproken. De invoeringswet regelt uiteindelijk het complete overgangsrecht voor alle boeken van het nieuwe wetboek die zijn opgenomen in de vaststellingswetten. Ook de aanvullingen en wijzigingen in het overgangsrecht die voortvloeien uit de eerste aanvullingswet worden in de invoeringswet opgenomen.</w:t>
      </w:r>
      <w:bookmarkEnd w:id="4"/>
    </w:p>
    <w:p w:rsidRPr="008D122E" w:rsidR="002E53B0" w:rsidP="002E53B0" w:rsidRDefault="002E53B0" w14:paraId="7A94D3F9" w14:textId="77777777">
      <w:pPr>
        <w:pStyle w:val="Geenafstand"/>
        <w:spacing w:line="240" w:lineRule="atLeast"/>
        <w:rPr>
          <w:rFonts w:ascii="Verdana" w:hAnsi="Verdana"/>
          <w:sz w:val="18"/>
          <w:szCs w:val="18"/>
        </w:rPr>
      </w:pPr>
    </w:p>
    <w:p w:rsidRPr="008D122E" w:rsidR="002E53B0" w:rsidP="002E53B0" w:rsidRDefault="002E53B0" w14:paraId="3A94DEB5" w14:textId="77777777">
      <w:pPr>
        <w:pStyle w:val="broodtekst"/>
      </w:pPr>
      <w:r w:rsidRPr="008D122E">
        <w:t xml:space="preserve">Een tweede onderdeel van de invoeringswetgeving betreft de aanpassing van andere wetten aan het nieuwe Wetboek van Strafvordering (aanpassingswetgeving). Het gaat om circa 130 andere wetten die worden gewijzigd, waaronder het Wetboek van Strafrecht, de Wet wapens en munitie, de Wegenverkeerswet 1994 en de Opiumwet. In een aparte invoeringsrijkswet worden de diverse wijzigingen in de rijkswetten doorgevoerd. </w:t>
      </w:r>
    </w:p>
    <w:p w:rsidRPr="008D122E" w:rsidR="002E53B0" w:rsidP="002E53B0" w:rsidRDefault="002E53B0" w14:paraId="7C30AB47" w14:textId="77777777">
      <w:pPr>
        <w:pStyle w:val="broodtekst"/>
      </w:pPr>
    </w:p>
    <w:p w:rsidRPr="008D122E" w:rsidR="002E53B0" w:rsidP="002E53B0" w:rsidRDefault="002E53B0" w14:paraId="7227C7B7" w14:textId="7937C10E">
      <w:pPr>
        <w:pStyle w:val="broodtekst"/>
        <w:rPr>
          <w:rFonts w:eastAsiaTheme="minorHAnsi" w:cstheme="minorBidi"/>
          <w:i/>
          <w:iCs/>
          <w:lang w:eastAsia="en-US"/>
        </w:rPr>
      </w:pPr>
      <w:r w:rsidRPr="008D122E">
        <w:t>We streven ernaar de invoeringswet in het eerste kwartaal van 2026 in formele consultatie te geven. De keuze om ook het overgangsrecht en de aanpassingswetgeving van de eerste aanvullingswet op te nemen in de invoeringswet heeft ertoe geleid dat de formele consultatie niet al in 2025 van start kon gaan.</w:t>
      </w:r>
      <w:r w:rsidRPr="008D122E" w:rsidR="00626C8C">
        <w:t xml:space="preserve"> De formele consultatie van de invoeringsrijkswet volgt later.</w:t>
      </w:r>
      <w:bookmarkEnd w:id="3"/>
    </w:p>
    <w:p w:rsidRPr="008D122E" w:rsidR="002E53B0" w:rsidP="002E53B0" w:rsidRDefault="002E53B0" w14:paraId="7B259A4F" w14:textId="77777777">
      <w:pPr>
        <w:autoSpaceDN w:val="0"/>
        <w:spacing w:line="240" w:lineRule="auto"/>
        <w:textAlignment w:val="baseline"/>
        <w:rPr>
          <w:rFonts w:eastAsiaTheme="minorHAnsi" w:cstheme="minorBidi"/>
          <w:i/>
          <w:iCs/>
          <w:szCs w:val="18"/>
          <w:lang w:eastAsia="en-US"/>
        </w:rPr>
      </w:pPr>
      <w:r w:rsidRPr="008D122E">
        <w:rPr>
          <w:rFonts w:eastAsiaTheme="minorHAnsi" w:cstheme="minorBidi"/>
          <w:i/>
          <w:iCs/>
          <w:szCs w:val="18"/>
          <w:lang w:eastAsia="en-US"/>
        </w:rPr>
        <w:br w:type="page"/>
      </w:r>
    </w:p>
    <w:p w:rsidRPr="008D122E" w:rsidR="002E53B0" w:rsidP="002E53B0" w:rsidRDefault="002E53B0" w14:paraId="6C9DB904" w14:textId="77777777">
      <w:pPr>
        <w:rPr>
          <w:rFonts w:eastAsiaTheme="minorHAnsi" w:cstheme="minorBidi"/>
          <w:i/>
          <w:iCs/>
          <w:szCs w:val="18"/>
          <w:lang w:eastAsia="en-US"/>
        </w:rPr>
      </w:pPr>
      <w:bookmarkStart w:name="_Hlk221104392" w:id="5"/>
      <w:r w:rsidRPr="008D122E">
        <w:rPr>
          <w:rFonts w:eastAsiaTheme="minorHAnsi" w:cstheme="minorBidi"/>
          <w:i/>
          <w:iCs/>
          <w:szCs w:val="18"/>
          <w:lang w:eastAsia="en-US"/>
        </w:rPr>
        <w:lastRenderedPageBreak/>
        <w:t>2.6 Planning wetgevingssporen</w:t>
      </w:r>
    </w:p>
    <w:p w:rsidRPr="008D122E" w:rsidR="002E53B0" w:rsidP="002E53B0" w:rsidRDefault="002E53B0" w14:paraId="79CFB314" w14:textId="77777777">
      <w:pPr>
        <w:pStyle w:val="broodtekst"/>
      </w:pPr>
    </w:p>
    <w:tbl>
      <w:tblPr>
        <w:tblStyle w:val="Tabelraster1"/>
        <w:tblW w:w="7508" w:type="dxa"/>
        <w:tblLayout w:type="fixed"/>
        <w:tblLook w:val="04A0" w:firstRow="1" w:lastRow="0" w:firstColumn="1" w:lastColumn="0" w:noHBand="0" w:noVBand="1"/>
      </w:tblPr>
      <w:tblGrid>
        <w:gridCol w:w="1696"/>
        <w:gridCol w:w="2127"/>
        <w:gridCol w:w="2126"/>
        <w:gridCol w:w="1559"/>
      </w:tblGrid>
      <w:tr w:rsidRPr="008D122E" w:rsidR="002E53B0" w:rsidTr="00E95BEF" w14:paraId="539EA09D" w14:textId="77777777">
        <w:trPr>
          <w:trHeight w:val="20"/>
        </w:trPr>
        <w:tc>
          <w:tcPr>
            <w:tcW w:w="1696" w:type="dxa"/>
            <w:tcBorders>
              <w:top w:val="single" w:color="auto" w:sz="4" w:space="0"/>
              <w:left w:val="single" w:color="auto" w:sz="4" w:space="0"/>
              <w:bottom w:val="single" w:color="auto" w:sz="4" w:space="0"/>
              <w:right w:val="single" w:color="auto" w:sz="4" w:space="0"/>
            </w:tcBorders>
            <w:shd w:val="clear" w:color="auto" w:fill="A6A6A6" w:themeFill="background1" w:themeFillShade="A6"/>
            <w:vAlign w:val="center"/>
            <w:hideMark/>
          </w:tcPr>
          <w:p w:rsidRPr="008D122E" w:rsidR="002E53B0" w:rsidP="00E95BEF" w:rsidRDefault="002E53B0" w14:paraId="3016045F" w14:textId="77777777">
            <w:pPr>
              <w:rPr>
                <w:rFonts w:eastAsiaTheme="minorHAnsi"/>
                <w:b/>
                <w:bCs/>
                <w:iCs/>
                <w:sz w:val="16"/>
                <w:szCs w:val="16"/>
                <w:lang w:val="nl-NL"/>
              </w:rPr>
            </w:pPr>
            <w:r w:rsidRPr="008D122E">
              <w:rPr>
                <w:rFonts w:eastAsiaTheme="minorHAnsi"/>
                <w:b/>
                <w:bCs/>
                <w:iCs/>
                <w:sz w:val="16"/>
                <w:szCs w:val="16"/>
              </w:rPr>
              <w:t>Spoor</w:t>
            </w:r>
          </w:p>
        </w:tc>
        <w:tc>
          <w:tcPr>
            <w:tcW w:w="2127" w:type="dxa"/>
            <w:tcBorders>
              <w:top w:val="single" w:color="auto" w:sz="4" w:space="0"/>
              <w:left w:val="single" w:color="auto" w:sz="4" w:space="0"/>
              <w:bottom w:val="single" w:color="auto" w:sz="4" w:space="0"/>
              <w:right w:val="single" w:color="auto" w:sz="4" w:space="0"/>
            </w:tcBorders>
            <w:shd w:val="clear" w:color="auto" w:fill="A6A6A6" w:themeFill="background1" w:themeFillShade="A6"/>
            <w:vAlign w:val="center"/>
            <w:hideMark/>
          </w:tcPr>
          <w:p w:rsidRPr="008D122E" w:rsidR="002E53B0" w:rsidP="00E95BEF" w:rsidRDefault="002E53B0" w14:paraId="57B27EF6" w14:textId="77777777">
            <w:pPr>
              <w:rPr>
                <w:rFonts w:eastAsiaTheme="minorHAnsi"/>
                <w:b/>
                <w:bCs/>
                <w:iCs/>
                <w:sz w:val="16"/>
                <w:szCs w:val="16"/>
                <w:lang w:val="nl-NL"/>
              </w:rPr>
            </w:pPr>
            <w:r w:rsidRPr="008D122E">
              <w:rPr>
                <w:rFonts w:eastAsiaTheme="minorHAnsi"/>
                <w:b/>
                <w:bCs/>
                <w:iCs/>
                <w:sz w:val="16"/>
                <w:szCs w:val="16"/>
              </w:rPr>
              <w:t>Wetgeving</w:t>
            </w:r>
          </w:p>
        </w:tc>
        <w:tc>
          <w:tcPr>
            <w:tcW w:w="2126" w:type="dxa"/>
            <w:tcBorders>
              <w:top w:val="single" w:color="auto" w:sz="4" w:space="0"/>
              <w:left w:val="single" w:color="auto" w:sz="4" w:space="0"/>
              <w:bottom w:val="single" w:color="auto" w:sz="4" w:space="0"/>
              <w:right w:val="single" w:color="auto" w:sz="4" w:space="0"/>
            </w:tcBorders>
            <w:shd w:val="clear" w:color="auto" w:fill="A6A6A6" w:themeFill="background1" w:themeFillShade="A6"/>
            <w:vAlign w:val="center"/>
            <w:hideMark/>
          </w:tcPr>
          <w:p w:rsidRPr="008D122E" w:rsidR="002E53B0" w:rsidP="00E95BEF" w:rsidRDefault="002E53B0" w14:paraId="75BD8406" w14:textId="77777777">
            <w:pPr>
              <w:rPr>
                <w:rFonts w:eastAsiaTheme="minorHAnsi"/>
                <w:b/>
                <w:bCs/>
                <w:iCs/>
                <w:sz w:val="16"/>
                <w:szCs w:val="16"/>
                <w:lang w:val="nl-NL"/>
              </w:rPr>
            </w:pPr>
            <w:r w:rsidRPr="008D122E">
              <w:rPr>
                <w:rFonts w:eastAsiaTheme="minorHAnsi"/>
                <w:b/>
                <w:bCs/>
                <w:iCs/>
                <w:sz w:val="16"/>
                <w:szCs w:val="16"/>
              </w:rPr>
              <w:t xml:space="preserve">Stand van </w:t>
            </w:r>
            <w:proofErr w:type="spellStart"/>
            <w:r w:rsidRPr="008D122E">
              <w:rPr>
                <w:rFonts w:eastAsiaTheme="minorHAnsi"/>
                <w:b/>
                <w:bCs/>
                <w:iCs/>
                <w:sz w:val="16"/>
                <w:szCs w:val="16"/>
              </w:rPr>
              <w:t>zaken</w:t>
            </w:r>
            <w:proofErr w:type="spellEnd"/>
          </w:p>
        </w:tc>
        <w:tc>
          <w:tcPr>
            <w:tcW w:w="1559" w:type="dxa"/>
            <w:tcBorders>
              <w:top w:val="single" w:color="auto" w:sz="4" w:space="0"/>
              <w:left w:val="single" w:color="auto" w:sz="4" w:space="0"/>
              <w:bottom w:val="single" w:color="auto" w:sz="4" w:space="0"/>
              <w:right w:val="single" w:color="auto" w:sz="4" w:space="0"/>
            </w:tcBorders>
            <w:shd w:val="clear" w:color="auto" w:fill="A6A6A6" w:themeFill="background1" w:themeFillShade="A6"/>
            <w:vAlign w:val="center"/>
            <w:hideMark/>
          </w:tcPr>
          <w:p w:rsidRPr="008D122E" w:rsidR="002E53B0" w:rsidP="00E95BEF" w:rsidRDefault="002E53B0" w14:paraId="027EC029" w14:textId="77777777">
            <w:pPr>
              <w:rPr>
                <w:rFonts w:eastAsiaTheme="minorHAnsi"/>
                <w:b/>
                <w:bCs/>
                <w:iCs/>
                <w:sz w:val="16"/>
                <w:szCs w:val="16"/>
                <w:lang w:val="nl-NL"/>
              </w:rPr>
            </w:pPr>
            <w:proofErr w:type="spellStart"/>
            <w:r w:rsidRPr="008D122E">
              <w:rPr>
                <w:rFonts w:eastAsiaTheme="minorHAnsi"/>
                <w:b/>
                <w:bCs/>
                <w:iCs/>
                <w:sz w:val="16"/>
                <w:szCs w:val="16"/>
              </w:rPr>
              <w:t>Volgende</w:t>
            </w:r>
            <w:proofErr w:type="spellEnd"/>
            <w:r w:rsidRPr="008D122E">
              <w:rPr>
                <w:rFonts w:eastAsiaTheme="minorHAnsi"/>
                <w:b/>
                <w:bCs/>
                <w:iCs/>
                <w:sz w:val="16"/>
                <w:szCs w:val="16"/>
              </w:rPr>
              <w:t xml:space="preserve"> </w:t>
            </w:r>
            <w:proofErr w:type="spellStart"/>
            <w:r w:rsidRPr="008D122E">
              <w:rPr>
                <w:rFonts w:eastAsiaTheme="minorHAnsi"/>
                <w:b/>
                <w:bCs/>
                <w:iCs/>
                <w:sz w:val="16"/>
                <w:szCs w:val="16"/>
              </w:rPr>
              <w:t>stap</w:t>
            </w:r>
            <w:proofErr w:type="spellEnd"/>
          </w:p>
        </w:tc>
      </w:tr>
      <w:tr w:rsidRPr="008D122E" w:rsidR="002E53B0" w:rsidTr="00E95BEF" w14:paraId="7F1E96C7" w14:textId="77777777">
        <w:trPr>
          <w:trHeight w:val="20"/>
        </w:trPr>
        <w:tc>
          <w:tcPr>
            <w:tcW w:w="1696" w:type="dxa"/>
            <w:vMerge w:val="restart"/>
            <w:tcBorders>
              <w:top w:val="single" w:color="auto" w:sz="4" w:space="0"/>
              <w:left w:val="single" w:color="auto" w:sz="4" w:space="0"/>
              <w:right w:val="single" w:color="auto" w:sz="4" w:space="0"/>
            </w:tcBorders>
            <w:shd w:val="clear" w:color="auto" w:fill="F09EC4"/>
            <w:vAlign w:val="center"/>
            <w:hideMark/>
          </w:tcPr>
          <w:p w:rsidRPr="008D122E" w:rsidR="002E53B0" w:rsidP="00E95BEF" w:rsidRDefault="002E53B0" w14:paraId="078477F7" w14:textId="77777777">
            <w:pPr>
              <w:rPr>
                <w:rFonts w:eastAsiaTheme="minorHAnsi"/>
                <w:iCs/>
                <w:sz w:val="16"/>
                <w:szCs w:val="16"/>
                <w:lang w:val="nl-NL"/>
              </w:rPr>
            </w:pPr>
            <w:r w:rsidRPr="008D122E">
              <w:rPr>
                <w:rFonts w:eastAsiaTheme="minorHAnsi"/>
                <w:iCs/>
                <w:sz w:val="16"/>
                <w:szCs w:val="16"/>
                <w:lang w:val="nl-NL"/>
              </w:rPr>
              <w:t>Innovatiespoor</w:t>
            </w:r>
          </w:p>
        </w:tc>
        <w:tc>
          <w:tcPr>
            <w:tcW w:w="2127" w:type="dxa"/>
            <w:tcBorders>
              <w:top w:val="single" w:color="auto" w:sz="4" w:space="0"/>
              <w:left w:val="single" w:color="auto" w:sz="4" w:space="0"/>
              <w:bottom w:val="single" w:color="auto" w:sz="4" w:space="0"/>
              <w:right w:val="single" w:color="auto" w:sz="4" w:space="0"/>
            </w:tcBorders>
            <w:shd w:val="clear" w:color="auto" w:fill="F09EC4"/>
            <w:vAlign w:val="center"/>
            <w:hideMark/>
          </w:tcPr>
          <w:p w:rsidRPr="008D122E" w:rsidR="002E53B0" w:rsidP="00E95BEF" w:rsidRDefault="002E53B0" w14:paraId="7FFAE970" w14:textId="77777777">
            <w:pPr>
              <w:rPr>
                <w:rFonts w:eastAsiaTheme="minorHAnsi"/>
                <w:iCs/>
                <w:sz w:val="16"/>
                <w:szCs w:val="16"/>
                <w:lang w:val="nl-NL"/>
              </w:rPr>
            </w:pPr>
            <w:r w:rsidRPr="008D122E">
              <w:rPr>
                <w:rFonts w:eastAsiaTheme="minorHAnsi"/>
                <w:iCs/>
                <w:sz w:val="16"/>
                <w:szCs w:val="16"/>
                <w:lang w:val="nl-NL"/>
              </w:rPr>
              <w:t>Innovatiewet Strafvordering (Kamerstukken 35869)</w:t>
            </w:r>
          </w:p>
        </w:tc>
        <w:tc>
          <w:tcPr>
            <w:tcW w:w="2126" w:type="dxa"/>
            <w:tcBorders>
              <w:top w:val="single" w:color="auto" w:sz="4" w:space="0"/>
              <w:left w:val="single" w:color="auto" w:sz="4" w:space="0"/>
              <w:bottom w:val="single" w:color="auto" w:sz="4" w:space="0"/>
              <w:right w:val="single" w:color="auto" w:sz="4" w:space="0"/>
            </w:tcBorders>
            <w:shd w:val="clear" w:color="auto" w:fill="F09EC4"/>
            <w:vAlign w:val="center"/>
          </w:tcPr>
          <w:p w:rsidRPr="008D122E" w:rsidR="002E53B0" w:rsidP="00E95BEF" w:rsidRDefault="002E53B0" w14:paraId="57DA5C0E" w14:textId="77777777">
            <w:pPr>
              <w:rPr>
                <w:rFonts w:eastAsiaTheme="minorHAnsi"/>
                <w:iCs/>
                <w:sz w:val="16"/>
                <w:szCs w:val="16"/>
                <w:lang w:val="nl-NL"/>
              </w:rPr>
            </w:pPr>
            <w:r w:rsidRPr="008D122E">
              <w:rPr>
                <w:rFonts w:eastAsiaTheme="minorHAnsi"/>
                <w:iCs/>
                <w:sz w:val="16"/>
                <w:szCs w:val="16"/>
                <w:lang w:val="nl-NL"/>
              </w:rPr>
              <w:t>In werking getreden op 1 oktober 2022 (Stb. 2022, 276)</w:t>
            </w:r>
          </w:p>
        </w:tc>
        <w:tc>
          <w:tcPr>
            <w:tcW w:w="1559" w:type="dxa"/>
            <w:tcBorders>
              <w:top w:val="single" w:color="auto" w:sz="4" w:space="0"/>
              <w:left w:val="single" w:color="auto" w:sz="4" w:space="0"/>
              <w:bottom w:val="single" w:color="auto" w:sz="4" w:space="0"/>
              <w:right w:val="single" w:color="auto" w:sz="4" w:space="0"/>
            </w:tcBorders>
            <w:shd w:val="clear" w:color="auto" w:fill="F09EC4"/>
            <w:vAlign w:val="center"/>
          </w:tcPr>
          <w:p w:rsidRPr="008D122E" w:rsidR="002E53B0" w:rsidP="00E95BEF" w:rsidRDefault="002E53B0" w14:paraId="6F0A745A" w14:textId="77777777">
            <w:pPr>
              <w:rPr>
                <w:rFonts w:eastAsiaTheme="minorHAnsi"/>
                <w:iCs/>
                <w:sz w:val="16"/>
                <w:szCs w:val="16"/>
                <w:lang w:val="nl-NL"/>
              </w:rPr>
            </w:pPr>
            <w:r w:rsidRPr="008D122E">
              <w:rPr>
                <w:rFonts w:eastAsiaTheme="minorHAnsi"/>
                <w:iCs/>
                <w:sz w:val="16"/>
                <w:szCs w:val="16"/>
                <w:lang w:val="nl-NL"/>
              </w:rPr>
              <w:t>Uitkomsten evaluatie verwerken in tweede aanvullingswet</w:t>
            </w:r>
          </w:p>
        </w:tc>
      </w:tr>
      <w:tr w:rsidRPr="008D122E" w:rsidR="002E53B0" w:rsidTr="00E95BEF" w14:paraId="2292D9C5" w14:textId="77777777">
        <w:trPr>
          <w:trHeight w:val="20"/>
        </w:trPr>
        <w:tc>
          <w:tcPr>
            <w:tcW w:w="1696" w:type="dxa"/>
            <w:vMerge/>
            <w:tcBorders>
              <w:left w:val="single" w:color="auto" w:sz="4" w:space="0"/>
              <w:bottom w:val="single" w:color="auto" w:sz="4" w:space="0"/>
              <w:right w:val="single" w:color="auto" w:sz="4" w:space="0"/>
            </w:tcBorders>
            <w:shd w:val="clear" w:color="auto" w:fill="F09EC4"/>
            <w:vAlign w:val="center"/>
          </w:tcPr>
          <w:p w:rsidRPr="008D122E" w:rsidR="002E53B0" w:rsidP="00E95BEF" w:rsidRDefault="002E53B0" w14:paraId="538B5AAF" w14:textId="77777777">
            <w:pPr>
              <w:rPr>
                <w:rFonts w:eastAsiaTheme="minorHAnsi"/>
                <w:iCs/>
                <w:sz w:val="16"/>
                <w:szCs w:val="16"/>
                <w:lang w:val="nl-NL"/>
              </w:rPr>
            </w:pPr>
          </w:p>
        </w:tc>
        <w:tc>
          <w:tcPr>
            <w:tcW w:w="2127" w:type="dxa"/>
            <w:tcBorders>
              <w:top w:val="single" w:color="auto" w:sz="4" w:space="0"/>
              <w:left w:val="single" w:color="auto" w:sz="4" w:space="0"/>
              <w:bottom w:val="single" w:color="auto" w:sz="4" w:space="0"/>
              <w:right w:val="single" w:color="auto" w:sz="4" w:space="0"/>
            </w:tcBorders>
            <w:shd w:val="clear" w:color="auto" w:fill="F09EC4"/>
            <w:vAlign w:val="center"/>
          </w:tcPr>
          <w:p w:rsidRPr="008D122E" w:rsidR="002E53B0" w:rsidP="00E95BEF" w:rsidRDefault="002E53B0" w14:paraId="2422D84C" w14:textId="77777777">
            <w:pPr>
              <w:rPr>
                <w:rFonts w:eastAsiaTheme="minorHAnsi"/>
                <w:iCs/>
                <w:sz w:val="16"/>
                <w:szCs w:val="16"/>
                <w:lang w:val="nl-NL"/>
              </w:rPr>
            </w:pPr>
            <w:r w:rsidRPr="008D122E">
              <w:rPr>
                <w:rFonts w:eastAsiaTheme="minorHAnsi"/>
                <w:iCs/>
                <w:sz w:val="16"/>
                <w:szCs w:val="16"/>
                <w:lang w:val="nl-NL"/>
              </w:rPr>
              <w:t>Wetvoorstel tot verlenging van de Innovatiewet (Kamerstukken 36784)</w:t>
            </w:r>
          </w:p>
        </w:tc>
        <w:tc>
          <w:tcPr>
            <w:tcW w:w="2126" w:type="dxa"/>
            <w:tcBorders>
              <w:top w:val="single" w:color="auto" w:sz="4" w:space="0"/>
              <w:left w:val="single" w:color="auto" w:sz="4" w:space="0"/>
              <w:bottom w:val="single" w:color="auto" w:sz="4" w:space="0"/>
              <w:right w:val="single" w:color="auto" w:sz="4" w:space="0"/>
            </w:tcBorders>
            <w:shd w:val="clear" w:color="auto" w:fill="F09EC4"/>
            <w:vAlign w:val="center"/>
          </w:tcPr>
          <w:p w:rsidRPr="008D122E" w:rsidR="002E53B0" w:rsidP="00E95BEF" w:rsidRDefault="006105FE" w14:paraId="67D0A496" w14:textId="10695638">
            <w:pPr>
              <w:rPr>
                <w:rFonts w:eastAsiaTheme="minorHAnsi"/>
                <w:iCs/>
                <w:sz w:val="16"/>
                <w:szCs w:val="16"/>
                <w:lang w:val="nl-NL"/>
              </w:rPr>
            </w:pPr>
            <w:r w:rsidRPr="008D122E">
              <w:rPr>
                <w:rFonts w:eastAsiaTheme="minorHAnsi"/>
                <w:iCs/>
                <w:sz w:val="16"/>
                <w:szCs w:val="16"/>
                <w:lang w:val="nl-NL"/>
              </w:rPr>
              <w:t>Aanvaard als hamerstuk door de Tweede Kamer (29 januari 2026)</w:t>
            </w:r>
          </w:p>
        </w:tc>
        <w:tc>
          <w:tcPr>
            <w:tcW w:w="1559" w:type="dxa"/>
            <w:tcBorders>
              <w:top w:val="single" w:color="auto" w:sz="4" w:space="0"/>
              <w:left w:val="single" w:color="auto" w:sz="4" w:space="0"/>
              <w:bottom w:val="single" w:color="auto" w:sz="4" w:space="0"/>
              <w:right w:val="single" w:color="auto" w:sz="4" w:space="0"/>
            </w:tcBorders>
            <w:shd w:val="clear" w:color="auto" w:fill="F09EC4"/>
            <w:vAlign w:val="center"/>
          </w:tcPr>
          <w:p w:rsidRPr="008D122E" w:rsidR="002E53B0" w:rsidP="00E95BEF" w:rsidRDefault="006105FE" w14:paraId="4A470B8C" w14:textId="02953785">
            <w:pPr>
              <w:rPr>
                <w:rFonts w:eastAsiaTheme="minorHAnsi"/>
                <w:iCs/>
                <w:sz w:val="16"/>
                <w:szCs w:val="16"/>
                <w:lang w:val="nl-NL"/>
              </w:rPr>
            </w:pPr>
            <w:r w:rsidRPr="008D122E">
              <w:rPr>
                <w:rFonts w:eastAsiaTheme="minorHAnsi"/>
                <w:iCs/>
                <w:sz w:val="16"/>
                <w:szCs w:val="16"/>
                <w:lang w:val="nl-NL"/>
              </w:rPr>
              <w:t>Behandeling Eerste Kamer</w:t>
            </w:r>
          </w:p>
        </w:tc>
      </w:tr>
      <w:tr w:rsidRPr="008D122E" w:rsidR="002E53B0" w:rsidTr="00E95BEF" w14:paraId="705391A4" w14:textId="77777777">
        <w:trPr>
          <w:trHeight w:val="20"/>
        </w:trPr>
        <w:tc>
          <w:tcPr>
            <w:tcW w:w="1696" w:type="dxa"/>
            <w:vMerge w:val="restart"/>
            <w:tcBorders>
              <w:top w:val="single" w:color="auto" w:sz="4" w:space="0"/>
              <w:left w:val="single" w:color="auto" w:sz="4" w:space="0"/>
              <w:bottom w:val="single" w:color="auto" w:sz="4" w:space="0"/>
              <w:right w:val="single" w:color="auto" w:sz="4" w:space="0"/>
            </w:tcBorders>
            <w:shd w:val="clear" w:color="auto" w:fill="FAAE00"/>
            <w:vAlign w:val="center"/>
            <w:hideMark/>
          </w:tcPr>
          <w:p w:rsidRPr="008D122E" w:rsidR="002E53B0" w:rsidP="00E95BEF" w:rsidRDefault="002E53B0" w14:paraId="76B92139" w14:textId="77777777">
            <w:pPr>
              <w:rPr>
                <w:rFonts w:eastAsiaTheme="minorHAnsi"/>
                <w:iCs/>
                <w:sz w:val="16"/>
                <w:szCs w:val="16"/>
                <w:lang w:val="nl-NL"/>
              </w:rPr>
            </w:pPr>
            <w:r w:rsidRPr="008D122E">
              <w:rPr>
                <w:rFonts w:eastAsiaTheme="minorHAnsi"/>
                <w:iCs/>
                <w:sz w:val="16"/>
                <w:szCs w:val="16"/>
                <w:lang w:val="nl-NL"/>
              </w:rPr>
              <w:t>Vaststellingsspoor</w:t>
            </w:r>
          </w:p>
        </w:tc>
        <w:tc>
          <w:tcPr>
            <w:tcW w:w="2127" w:type="dxa"/>
            <w:tcBorders>
              <w:top w:val="single" w:color="auto" w:sz="4" w:space="0"/>
              <w:left w:val="single" w:color="auto" w:sz="4" w:space="0"/>
              <w:bottom w:val="single" w:color="auto" w:sz="4" w:space="0"/>
              <w:right w:val="single" w:color="auto" w:sz="4" w:space="0"/>
            </w:tcBorders>
            <w:shd w:val="clear" w:color="auto" w:fill="FAAE00"/>
            <w:vAlign w:val="center"/>
            <w:hideMark/>
          </w:tcPr>
          <w:p w:rsidRPr="008D122E" w:rsidR="002E53B0" w:rsidP="00E95BEF" w:rsidRDefault="002E53B0" w14:paraId="373C6C90" w14:textId="77777777">
            <w:pPr>
              <w:rPr>
                <w:rFonts w:eastAsiaTheme="minorHAnsi"/>
                <w:iCs/>
                <w:sz w:val="16"/>
                <w:szCs w:val="16"/>
                <w:lang w:val="nl-NL"/>
              </w:rPr>
            </w:pPr>
            <w:r w:rsidRPr="008D122E">
              <w:rPr>
                <w:rFonts w:eastAsiaTheme="minorHAnsi"/>
                <w:iCs/>
                <w:sz w:val="16"/>
                <w:szCs w:val="16"/>
                <w:lang w:val="nl-NL"/>
              </w:rPr>
              <w:t>Eerste vaststellingswet</w:t>
            </w:r>
          </w:p>
          <w:p w:rsidRPr="008D122E" w:rsidR="002E53B0" w:rsidP="00E95BEF" w:rsidRDefault="002E53B0" w14:paraId="241D96AC" w14:textId="77777777">
            <w:pPr>
              <w:rPr>
                <w:rFonts w:eastAsiaTheme="minorHAnsi"/>
                <w:iCs/>
                <w:sz w:val="16"/>
                <w:szCs w:val="16"/>
                <w:lang w:val="nl-NL"/>
              </w:rPr>
            </w:pPr>
            <w:r w:rsidRPr="008D122E">
              <w:rPr>
                <w:rFonts w:eastAsiaTheme="minorHAnsi"/>
                <w:iCs/>
                <w:sz w:val="16"/>
                <w:szCs w:val="16"/>
                <w:lang w:val="nl-NL"/>
              </w:rPr>
              <w:t>(Kamerstukken 36327)</w:t>
            </w:r>
          </w:p>
        </w:tc>
        <w:tc>
          <w:tcPr>
            <w:tcW w:w="2126" w:type="dxa"/>
            <w:tcBorders>
              <w:top w:val="single" w:color="auto" w:sz="4" w:space="0"/>
              <w:left w:val="single" w:color="auto" w:sz="4" w:space="0"/>
              <w:bottom w:val="single" w:color="auto" w:sz="4" w:space="0"/>
              <w:right w:val="single" w:color="auto" w:sz="4" w:space="0"/>
            </w:tcBorders>
            <w:shd w:val="clear" w:color="auto" w:fill="FAAE00"/>
            <w:vAlign w:val="center"/>
            <w:hideMark/>
          </w:tcPr>
          <w:p w:rsidRPr="008D122E" w:rsidR="002E53B0" w:rsidP="00E95BEF" w:rsidRDefault="002E53B0" w14:paraId="1E2A0D78" w14:textId="77777777">
            <w:pPr>
              <w:rPr>
                <w:rFonts w:eastAsiaTheme="minorHAnsi"/>
                <w:iCs/>
                <w:sz w:val="16"/>
                <w:szCs w:val="16"/>
                <w:lang w:val="nl-NL"/>
              </w:rPr>
            </w:pPr>
            <w:r w:rsidRPr="008D122E">
              <w:rPr>
                <w:rFonts w:eastAsiaTheme="minorHAnsi"/>
                <w:iCs/>
                <w:sz w:val="16"/>
                <w:szCs w:val="16"/>
                <w:lang w:val="nl-NL"/>
              </w:rPr>
              <w:t>Nota naar aanleiding van het verslag Eerste Kamer (8 december 2025)</w:t>
            </w:r>
          </w:p>
        </w:tc>
        <w:tc>
          <w:tcPr>
            <w:tcW w:w="1559" w:type="dxa"/>
            <w:tcBorders>
              <w:top w:val="single" w:color="auto" w:sz="4" w:space="0"/>
              <w:left w:val="single" w:color="auto" w:sz="4" w:space="0"/>
              <w:bottom w:val="single" w:color="auto" w:sz="4" w:space="0"/>
              <w:right w:val="single" w:color="auto" w:sz="4" w:space="0"/>
            </w:tcBorders>
            <w:shd w:val="clear" w:color="auto" w:fill="FAAE00"/>
            <w:vAlign w:val="center"/>
            <w:hideMark/>
          </w:tcPr>
          <w:p w:rsidRPr="008D122E" w:rsidR="002E53B0" w:rsidP="00E95BEF" w:rsidRDefault="002E53B0" w14:paraId="4E5364EC" w14:textId="77777777">
            <w:pPr>
              <w:rPr>
                <w:rFonts w:eastAsiaTheme="minorHAnsi"/>
                <w:iCs/>
                <w:sz w:val="16"/>
                <w:szCs w:val="16"/>
                <w:lang w:val="nl-NL"/>
              </w:rPr>
            </w:pPr>
            <w:r w:rsidRPr="008D122E">
              <w:rPr>
                <w:rFonts w:eastAsiaTheme="minorHAnsi"/>
                <w:iCs/>
                <w:sz w:val="16"/>
                <w:szCs w:val="16"/>
                <w:lang w:val="nl-NL"/>
              </w:rPr>
              <w:t>Plenaire behandeling Eerste Kamer (10 februari 2026)</w:t>
            </w:r>
          </w:p>
        </w:tc>
      </w:tr>
      <w:tr w:rsidRPr="008D122E" w:rsidR="002E53B0" w:rsidTr="00E95BEF" w14:paraId="51C59BB8" w14:textId="77777777">
        <w:trPr>
          <w:trHeight w:val="20"/>
        </w:trPr>
        <w:tc>
          <w:tcPr>
            <w:tcW w:w="1696" w:type="dxa"/>
            <w:vMerge/>
            <w:tcBorders>
              <w:top w:val="single" w:color="auto" w:sz="4" w:space="0"/>
              <w:left w:val="single" w:color="auto" w:sz="4" w:space="0"/>
              <w:bottom w:val="single" w:color="auto" w:sz="4" w:space="0"/>
              <w:right w:val="single" w:color="auto" w:sz="4" w:space="0"/>
            </w:tcBorders>
            <w:vAlign w:val="center"/>
            <w:hideMark/>
          </w:tcPr>
          <w:p w:rsidRPr="008D122E" w:rsidR="002E53B0" w:rsidP="00E95BEF" w:rsidRDefault="002E53B0" w14:paraId="51072D99" w14:textId="77777777">
            <w:pPr>
              <w:rPr>
                <w:rFonts w:eastAsiaTheme="minorHAnsi"/>
                <w:iCs/>
                <w:sz w:val="16"/>
                <w:szCs w:val="16"/>
                <w:lang w:val="nl-NL"/>
              </w:rPr>
            </w:pPr>
          </w:p>
        </w:tc>
        <w:tc>
          <w:tcPr>
            <w:tcW w:w="2127" w:type="dxa"/>
            <w:tcBorders>
              <w:top w:val="single" w:color="auto" w:sz="4" w:space="0"/>
              <w:left w:val="single" w:color="auto" w:sz="4" w:space="0"/>
              <w:bottom w:val="single" w:color="auto" w:sz="4" w:space="0"/>
              <w:right w:val="single" w:color="auto" w:sz="4" w:space="0"/>
            </w:tcBorders>
            <w:shd w:val="clear" w:color="auto" w:fill="FAAE00"/>
            <w:vAlign w:val="center"/>
            <w:hideMark/>
          </w:tcPr>
          <w:p w:rsidRPr="008D122E" w:rsidR="002E53B0" w:rsidP="00E95BEF" w:rsidRDefault="002E53B0" w14:paraId="1B6D2B83" w14:textId="77777777">
            <w:pPr>
              <w:rPr>
                <w:rFonts w:eastAsiaTheme="minorHAnsi"/>
                <w:iCs/>
                <w:sz w:val="16"/>
                <w:szCs w:val="16"/>
                <w:lang w:val="nl-NL"/>
              </w:rPr>
            </w:pPr>
            <w:r w:rsidRPr="008D122E">
              <w:rPr>
                <w:rFonts w:eastAsiaTheme="minorHAnsi"/>
                <w:iCs/>
                <w:sz w:val="16"/>
                <w:szCs w:val="16"/>
                <w:lang w:val="nl-NL"/>
              </w:rPr>
              <w:t>Tweede vaststellingswet (Kamerstukken 36636)</w:t>
            </w:r>
          </w:p>
        </w:tc>
        <w:tc>
          <w:tcPr>
            <w:tcW w:w="2126" w:type="dxa"/>
            <w:tcBorders>
              <w:top w:val="single" w:color="auto" w:sz="4" w:space="0"/>
              <w:left w:val="single" w:color="auto" w:sz="4" w:space="0"/>
              <w:bottom w:val="single" w:color="auto" w:sz="4" w:space="0"/>
              <w:right w:val="single" w:color="auto" w:sz="4" w:space="0"/>
            </w:tcBorders>
            <w:shd w:val="clear" w:color="auto" w:fill="FAAE00"/>
            <w:vAlign w:val="center"/>
            <w:hideMark/>
          </w:tcPr>
          <w:p w:rsidRPr="008D122E" w:rsidR="002E53B0" w:rsidP="00E95BEF" w:rsidRDefault="002E53B0" w14:paraId="462B0DC4" w14:textId="77777777">
            <w:pPr>
              <w:rPr>
                <w:rFonts w:eastAsiaTheme="minorHAnsi"/>
                <w:iCs/>
                <w:sz w:val="16"/>
                <w:szCs w:val="16"/>
                <w:lang w:val="nl-NL"/>
              </w:rPr>
            </w:pPr>
            <w:r w:rsidRPr="008D122E">
              <w:rPr>
                <w:rFonts w:eastAsiaTheme="minorHAnsi"/>
                <w:iCs/>
                <w:sz w:val="16"/>
                <w:szCs w:val="16"/>
                <w:lang w:val="nl-NL"/>
              </w:rPr>
              <w:t>Nota naar aanleiding van het verslag Eerste Kamer (8 december 2025)</w:t>
            </w:r>
          </w:p>
        </w:tc>
        <w:tc>
          <w:tcPr>
            <w:tcW w:w="1559" w:type="dxa"/>
            <w:tcBorders>
              <w:top w:val="single" w:color="auto" w:sz="4" w:space="0"/>
              <w:left w:val="single" w:color="auto" w:sz="4" w:space="0"/>
              <w:bottom w:val="single" w:color="auto" w:sz="4" w:space="0"/>
              <w:right w:val="single" w:color="auto" w:sz="4" w:space="0"/>
            </w:tcBorders>
            <w:shd w:val="clear" w:color="auto" w:fill="FAAE00"/>
            <w:vAlign w:val="center"/>
            <w:hideMark/>
          </w:tcPr>
          <w:p w:rsidRPr="008D122E" w:rsidR="002E53B0" w:rsidP="00E95BEF" w:rsidRDefault="002E53B0" w14:paraId="7CBBF57C" w14:textId="77777777">
            <w:pPr>
              <w:rPr>
                <w:rFonts w:eastAsiaTheme="minorHAnsi"/>
                <w:iCs/>
                <w:sz w:val="16"/>
                <w:szCs w:val="16"/>
                <w:lang w:val="nl-NL"/>
              </w:rPr>
            </w:pPr>
            <w:r w:rsidRPr="008D122E">
              <w:rPr>
                <w:rFonts w:eastAsiaTheme="minorHAnsi"/>
                <w:iCs/>
                <w:sz w:val="16"/>
                <w:szCs w:val="16"/>
                <w:lang w:val="nl-NL"/>
              </w:rPr>
              <w:t>Plenaire behandeling Eerste Kamer (10 februari 2026)</w:t>
            </w:r>
          </w:p>
        </w:tc>
      </w:tr>
      <w:tr w:rsidRPr="008D122E" w:rsidR="002E53B0" w:rsidTr="00E95BEF" w14:paraId="3048226D" w14:textId="77777777">
        <w:trPr>
          <w:trHeight w:val="20"/>
        </w:trPr>
        <w:tc>
          <w:tcPr>
            <w:tcW w:w="1696" w:type="dxa"/>
            <w:vMerge w:val="restart"/>
            <w:tcBorders>
              <w:top w:val="single" w:color="auto" w:sz="4" w:space="0"/>
              <w:left w:val="single" w:color="auto" w:sz="4" w:space="0"/>
              <w:right w:val="single" w:color="auto" w:sz="4" w:space="0"/>
            </w:tcBorders>
            <w:shd w:val="clear" w:color="auto" w:fill="44AC33"/>
            <w:vAlign w:val="center"/>
          </w:tcPr>
          <w:p w:rsidRPr="008D122E" w:rsidR="002E53B0" w:rsidP="00E95BEF" w:rsidRDefault="002E53B0" w14:paraId="24F3BD7C" w14:textId="77777777">
            <w:pPr>
              <w:rPr>
                <w:rFonts w:eastAsiaTheme="minorHAnsi"/>
                <w:iCs/>
                <w:sz w:val="16"/>
                <w:szCs w:val="16"/>
                <w:lang w:val="nl-NL"/>
              </w:rPr>
            </w:pPr>
            <w:r w:rsidRPr="008D122E">
              <w:rPr>
                <w:rFonts w:eastAsiaTheme="minorHAnsi"/>
                <w:iCs/>
                <w:sz w:val="16"/>
                <w:szCs w:val="16"/>
                <w:lang w:val="nl-NL"/>
              </w:rPr>
              <w:t>Aanvullingsspoor</w:t>
            </w:r>
          </w:p>
        </w:tc>
        <w:tc>
          <w:tcPr>
            <w:tcW w:w="2127" w:type="dxa"/>
            <w:tcBorders>
              <w:top w:val="single" w:color="auto" w:sz="4" w:space="0"/>
              <w:left w:val="single" w:color="auto" w:sz="4" w:space="0"/>
              <w:bottom w:val="single" w:color="auto" w:sz="4" w:space="0"/>
              <w:right w:val="single" w:color="auto" w:sz="4" w:space="0"/>
            </w:tcBorders>
            <w:shd w:val="clear" w:color="auto" w:fill="44AC33"/>
            <w:vAlign w:val="center"/>
          </w:tcPr>
          <w:p w:rsidRPr="008D122E" w:rsidR="002E53B0" w:rsidP="00E95BEF" w:rsidRDefault="002E53B0" w14:paraId="35B8F725" w14:textId="77777777">
            <w:pPr>
              <w:rPr>
                <w:rFonts w:eastAsiaTheme="minorHAnsi"/>
                <w:iCs/>
                <w:sz w:val="16"/>
                <w:szCs w:val="16"/>
                <w:lang w:val="nl-NL"/>
              </w:rPr>
            </w:pPr>
            <w:r w:rsidRPr="008D122E">
              <w:rPr>
                <w:rFonts w:eastAsiaTheme="minorHAnsi"/>
                <w:iCs/>
                <w:sz w:val="16"/>
                <w:szCs w:val="16"/>
                <w:lang w:val="nl-NL"/>
              </w:rPr>
              <w:t>Eerste aanvullingswet</w:t>
            </w:r>
          </w:p>
        </w:tc>
        <w:tc>
          <w:tcPr>
            <w:tcW w:w="2126" w:type="dxa"/>
            <w:tcBorders>
              <w:top w:val="single" w:color="auto" w:sz="4" w:space="0"/>
              <w:left w:val="single" w:color="auto" w:sz="4" w:space="0"/>
              <w:bottom w:val="single" w:color="auto" w:sz="4" w:space="0"/>
              <w:right w:val="single" w:color="auto" w:sz="4" w:space="0"/>
            </w:tcBorders>
            <w:shd w:val="clear" w:color="auto" w:fill="44AC33"/>
            <w:vAlign w:val="center"/>
          </w:tcPr>
          <w:p w:rsidRPr="008D122E" w:rsidR="002E53B0" w:rsidP="00E95BEF" w:rsidRDefault="002E53B0" w14:paraId="13EE09A8" w14:textId="77777777">
            <w:pPr>
              <w:rPr>
                <w:rFonts w:eastAsiaTheme="minorHAnsi"/>
                <w:iCs/>
                <w:sz w:val="16"/>
                <w:szCs w:val="16"/>
                <w:lang w:val="nl-NL"/>
              </w:rPr>
            </w:pPr>
            <w:r w:rsidRPr="008D122E">
              <w:rPr>
                <w:rFonts w:eastAsiaTheme="minorHAnsi"/>
                <w:iCs/>
                <w:sz w:val="16"/>
                <w:szCs w:val="16"/>
                <w:lang w:val="nl-NL"/>
              </w:rPr>
              <w:t>Advies Raad van State op 13 november 2025</w:t>
            </w:r>
          </w:p>
        </w:tc>
        <w:tc>
          <w:tcPr>
            <w:tcW w:w="1559" w:type="dxa"/>
            <w:tcBorders>
              <w:top w:val="single" w:color="auto" w:sz="4" w:space="0"/>
              <w:left w:val="single" w:color="auto" w:sz="4" w:space="0"/>
              <w:bottom w:val="single" w:color="auto" w:sz="4" w:space="0"/>
              <w:right w:val="single" w:color="auto" w:sz="4" w:space="0"/>
            </w:tcBorders>
            <w:shd w:val="clear" w:color="auto" w:fill="44AC33"/>
            <w:vAlign w:val="center"/>
          </w:tcPr>
          <w:p w:rsidRPr="008D122E" w:rsidR="002E53B0" w:rsidP="00E95BEF" w:rsidRDefault="002E53B0" w14:paraId="2DF522E3" w14:textId="6D76AD48">
            <w:pPr>
              <w:rPr>
                <w:rFonts w:eastAsiaTheme="minorHAnsi"/>
                <w:iCs/>
                <w:sz w:val="16"/>
                <w:szCs w:val="16"/>
                <w:lang w:val="nl-NL"/>
              </w:rPr>
            </w:pPr>
            <w:r w:rsidRPr="008D122E">
              <w:rPr>
                <w:rFonts w:eastAsiaTheme="minorHAnsi"/>
                <w:iCs/>
                <w:sz w:val="16"/>
                <w:szCs w:val="16"/>
                <w:lang w:val="nl-NL"/>
              </w:rPr>
              <w:t>Nader rapport en indiening wetsvoorstel bij Tweede Kamer (</w:t>
            </w:r>
            <w:r w:rsidRPr="008D122E" w:rsidR="00210F9A">
              <w:rPr>
                <w:rFonts w:eastAsiaTheme="minorHAnsi"/>
                <w:iCs/>
                <w:sz w:val="16"/>
                <w:szCs w:val="16"/>
                <w:lang w:val="nl-NL"/>
              </w:rPr>
              <w:t xml:space="preserve">februari </w:t>
            </w:r>
            <w:r w:rsidRPr="008D122E">
              <w:rPr>
                <w:rFonts w:eastAsiaTheme="minorHAnsi"/>
                <w:iCs/>
                <w:sz w:val="16"/>
                <w:szCs w:val="16"/>
                <w:lang w:val="nl-NL"/>
              </w:rPr>
              <w:t>2026)</w:t>
            </w:r>
          </w:p>
        </w:tc>
      </w:tr>
      <w:tr w:rsidRPr="008D122E" w:rsidR="002E53B0" w:rsidTr="00E95BEF" w14:paraId="17F10C8A" w14:textId="77777777">
        <w:trPr>
          <w:trHeight w:val="20"/>
        </w:trPr>
        <w:tc>
          <w:tcPr>
            <w:tcW w:w="1696" w:type="dxa"/>
            <w:vMerge/>
            <w:tcBorders>
              <w:left w:val="single" w:color="auto" w:sz="4" w:space="0"/>
              <w:bottom w:val="single" w:color="auto" w:sz="4" w:space="0"/>
              <w:right w:val="single" w:color="auto" w:sz="4" w:space="0"/>
            </w:tcBorders>
            <w:shd w:val="clear" w:color="auto" w:fill="44AC33"/>
            <w:vAlign w:val="center"/>
          </w:tcPr>
          <w:p w:rsidRPr="008D122E" w:rsidR="002E53B0" w:rsidP="00E95BEF" w:rsidRDefault="002E53B0" w14:paraId="5A5D7FC5" w14:textId="77777777">
            <w:pPr>
              <w:rPr>
                <w:rFonts w:eastAsiaTheme="minorHAnsi"/>
                <w:iCs/>
                <w:sz w:val="16"/>
                <w:szCs w:val="16"/>
                <w:lang w:val="nl-NL"/>
              </w:rPr>
            </w:pPr>
          </w:p>
        </w:tc>
        <w:tc>
          <w:tcPr>
            <w:tcW w:w="2127" w:type="dxa"/>
            <w:tcBorders>
              <w:top w:val="single" w:color="auto" w:sz="4" w:space="0"/>
              <w:left w:val="single" w:color="auto" w:sz="4" w:space="0"/>
              <w:bottom w:val="single" w:color="auto" w:sz="4" w:space="0"/>
              <w:right w:val="single" w:color="auto" w:sz="4" w:space="0"/>
            </w:tcBorders>
            <w:shd w:val="clear" w:color="auto" w:fill="44AC33"/>
            <w:vAlign w:val="center"/>
          </w:tcPr>
          <w:p w:rsidRPr="008D122E" w:rsidR="002E53B0" w:rsidP="00E95BEF" w:rsidRDefault="002E53B0" w14:paraId="4FFB900B" w14:textId="77777777">
            <w:pPr>
              <w:rPr>
                <w:rFonts w:eastAsiaTheme="minorHAnsi"/>
                <w:iCs/>
                <w:sz w:val="16"/>
                <w:szCs w:val="16"/>
                <w:lang w:val="nl-NL"/>
              </w:rPr>
            </w:pPr>
            <w:r w:rsidRPr="008D122E">
              <w:rPr>
                <w:rFonts w:eastAsiaTheme="minorHAnsi"/>
                <w:iCs/>
                <w:sz w:val="16"/>
                <w:szCs w:val="16"/>
                <w:lang w:val="nl-NL"/>
              </w:rPr>
              <w:t>Tweede aanvullingswet</w:t>
            </w:r>
          </w:p>
        </w:tc>
        <w:tc>
          <w:tcPr>
            <w:tcW w:w="2126" w:type="dxa"/>
            <w:tcBorders>
              <w:top w:val="single" w:color="auto" w:sz="4" w:space="0"/>
              <w:left w:val="single" w:color="auto" w:sz="4" w:space="0"/>
              <w:bottom w:val="single" w:color="auto" w:sz="4" w:space="0"/>
              <w:right w:val="single" w:color="auto" w:sz="4" w:space="0"/>
            </w:tcBorders>
            <w:shd w:val="clear" w:color="auto" w:fill="44AC33"/>
            <w:vAlign w:val="center"/>
          </w:tcPr>
          <w:p w:rsidRPr="008D122E" w:rsidR="002E53B0" w:rsidP="00E95BEF" w:rsidRDefault="002E53B0" w14:paraId="00D1C9EC" w14:textId="77777777">
            <w:pPr>
              <w:rPr>
                <w:rFonts w:eastAsiaTheme="minorHAnsi"/>
                <w:iCs/>
                <w:sz w:val="16"/>
                <w:szCs w:val="16"/>
                <w:lang w:val="nl-NL"/>
              </w:rPr>
            </w:pPr>
            <w:r w:rsidRPr="008D122E">
              <w:rPr>
                <w:rFonts w:eastAsiaTheme="minorHAnsi"/>
                <w:iCs/>
                <w:sz w:val="16"/>
                <w:szCs w:val="16"/>
                <w:lang w:val="nl-NL"/>
              </w:rPr>
              <w:t>Ambtelijke voorbereiding in samenwerking met ketenorganisaties</w:t>
            </w:r>
          </w:p>
        </w:tc>
        <w:tc>
          <w:tcPr>
            <w:tcW w:w="1559" w:type="dxa"/>
            <w:tcBorders>
              <w:top w:val="single" w:color="auto" w:sz="4" w:space="0"/>
              <w:left w:val="single" w:color="auto" w:sz="4" w:space="0"/>
              <w:bottom w:val="single" w:color="auto" w:sz="4" w:space="0"/>
              <w:right w:val="single" w:color="auto" w:sz="4" w:space="0"/>
            </w:tcBorders>
            <w:shd w:val="clear" w:color="auto" w:fill="44AC33"/>
            <w:vAlign w:val="center"/>
          </w:tcPr>
          <w:p w:rsidRPr="008D122E" w:rsidR="002E53B0" w:rsidP="00E95BEF" w:rsidRDefault="002E53B0" w14:paraId="0B3C00A2" w14:textId="77777777">
            <w:pPr>
              <w:rPr>
                <w:rFonts w:eastAsiaTheme="minorHAnsi"/>
                <w:iCs/>
                <w:sz w:val="16"/>
                <w:szCs w:val="16"/>
                <w:lang w:val="nl-NL"/>
              </w:rPr>
            </w:pPr>
            <w:r w:rsidRPr="008D122E">
              <w:rPr>
                <w:rFonts w:eastAsiaTheme="minorHAnsi"/>
                <w:iCs/>
                <w:sz w:val="16"/>
                <w:szCs w:val="16"/>
                <w:lang w:val="nl-NL"/>
              </w:rPr>
              <w:t>Formele consultatie verwacht in Q1 2026</w:t>
            </w:r>
          </w:p>
        </w:tc>
      </w:tr>
      <w:tr w:rsidRPr="008D122E" w:rsidR="002E53B0" w:rsidTr="00E95BEF" w14:paraId="2AE40A2E" w14:textId="77777777">
        <w:trPr>
          <w:trHeight w:val="20"/>
        </w:trPr>
        <w:tc>
          <w:tcPr>
            <w:tcW w:w="1696" w:type="dxa"/>
            <w:vMerge w:val="restart"/>
            <w:tcBorders>
              <w:top w:val="single" w:color="auto" w:sz="4" w:space="0"/>
              <w:left w:val="single" w:color="auto" w:sz="4" w:space="0"/>
              <w:bottom w:val="single" w:color="auto" w:sz="4" w:space="0"/>
              <w:right w:val="single" w:color="auto" w:sz="4" w:space="0"/>
            </w:tcBorders>
            <w:shd w:val="clear" w:color="auto" w:fill="009FE3"/>
            <w:vAlign w:val="center"/>
            <w:hideMark/>
          </w:tcPr>
          <w:p w:rsidRPr="008D122E" w:rsidR="002E53B0" w:rsidP="00E95BEF" w:rsidRDefault="002E53B0" w14:paraId="157AC644" w14:textId="77777777">
            <w:pPr>
              <w:rPr>
                <w:rFonts w:eastAsiaTheme="minorHAnsi"/>
                <w:iCs/>
                <w:sz w:val="16"/>
                <w:szCs w:val="16"/>
                <w:lang w:val="nl-NL"/>
              </w:rPr>
            </w:pPr>
            <w:r w:rsidRPr="008D122E">
              <w:rPr>
                <w:rFonts w:eastAsiaTheme="minorHAnsi"/>
                <w:iCs/>
                <w:sz w:val="16"/>
                <w:szCs w:val="16"/>
                <w:lang w:val="nl-NL"/>
              </w:rPr>
              <w:t>Invoeringsspoor</w:t>
            </w:r>
          </w:p>
        </w:tc>
        <w:tc>
          <w:tcPr>
            <w:tcW w:w="2127" w:type="dxa"/>
            <w:tcBorders>
              <w:top w:val="single" w:color="auto" w:sz="4" w:space="0"/>
              <w:left w:val="single" w:color="auto" w:sz="4" w:space="0"/>
              <w:bottom w:val="single" w:color="auto" w:sz="4" w:space="0"/>
              <w:right w:val="single" w:color="auto" w:sz="4" w:space="0"/>
            </w:tcBorders>
            <w:shd w:val="clear" w:color="auto" w:fill="009FE3"/>
            <w:vAlign w:val="center"/>
            <w:hideMark/>
          </w:tcPr>
          <w:p w:rsidRPr="008D122E" w:rsidR="002E53B0" w:rsidP="00E95BEF" w:rsidRDefault="002E53B0" w14:paraId="2214DC69" w14:textId="77777777">
            <w:pPr>
              <w:rPr>
                <w:rFonts w:eastAsiaTheme="minorHAnsi"/>
                <w:iCs/>
                <w:sz w:val="16"/>
                <w:szCs w:val="16"/>
                <w:lang w:val="nl-NL"/>
              </w:rPr>
            </w:pPr>
            <w:r w:rsidRPr="008D122E">
              <w:rPr>
                <w:rFonts w:eastAsiaTheme="minorHAnsi"/>
                <w:iCs/>
                <w:sz w:val="16"/>
                <w:szCs w:val="16"/>
                <w:lang w:val="nl-NL"/>
              </w:rPr>
              <w:t>Invoeringswet</w:t>
            </w:r>
          </w:p>
        </w:tc>
        <w:tc>
          <w:tcPr>
            <w:tcW w:w="2126" w:type="dxa"/>
            <w:tcBorders>
              <w:top w:val="single" w:color="auto" w:sz="4" w:space="0"/>
              <w:left w:val="single" w:color="auto" w:sz="4" w:space="0"/>
              <w:bottom w:val="single" w:color="auto" w:sz="4" w:space="0"/>
              <w:right w:val="single" w:color="auto" w:sz="4" w:space="0"/>
            </w:tcBorders>
            <w:shd w:val="clear" w:color="auto" w:fill="009FE3"/>
            <w:vAlign w:val="center"/>
            <w:hideMark/>
          </w:tcPr>
          <w:p w:rsidRPr="008D122E" w:rsidR="002E53B0" w:rsidP="00E95BEF" w:rsidRDefault="002E53B0" w14:paraId="15585EBC" w14:textId="77777777">
            <w:pPr>
              <w:rPr>
                <w:rFonts w:eastAsiaTheme="minorHAnsi"/>
                <w:iCs/>
                <w:sz w:val="16"/>
                <w:szCs w:val="16"/>
                <w:lang w:val="nl-NL"/>
              </w:rPr>
            </w:pPr>
            <w:r w:rsidRPr="008D122E">
              <w:rPr>
                <w:rFonts w:eastAsiaTheme="minorHAnsi"/>
                <w:iCs/>
                <w:sz w:val="16"/>
                <w:szCs w:val="16"/>
                <w:lang w:val="nl-NL"/>
              </w:rPr>
              <w:t>Ambtelijke voorbereiding in samenwerking met ketenorganisaties</w:t>
            </w:r>
          </w:p>
        </w:tc>
        <w:tc>
          <w:tcPr>
            <w:tcW w:w="1559" w:type="dxa"/>
            <w:tcBorders>
              <w:top w:val="single" w:color="auto" w:sz="4" w:space="0"/>
              <w:left w:val="single" w:color="auto" w:sz="4" w:space="0"/>
              <w:bottom w:val="single" w:color="auto" w:sz="4" w:space="0"/>
              <w:right w:val="single" w:color="auto" w:sz="4" w:space="0"/>
            </w:tcBorders>
            <w:shd w:val="clear" w:color="auto" w:fill="009FE3"/>
            <w:vAlign w:val="center"/>
            <w:hideMark/>
          </w:tcPr>
          <w:p w:rsidRPr="008D122E" w:rsidR="002E53B0" w:rsidP="00E95BEF" w:rsidRDefault="002E53B0" w14:paraId="7A36FF10" w14:textId="77777777">
            <w:pPr>
              <w:rPr>
                <w:rFonts w:eastAsiaTheme="minorHAnsi"/>
                <w:iCs/>
                <w:sz w:val="16"/>
                <w:szCs w:val="16"/>
                <w:lang w:val="nl-NL"/>
              </w:rPr>
            </w:pPr>
            <w:r w:rsidRPr="008D122E">
              <w:rPr>
                <w:rFonts w:eastAsiaTheme="minorHAnsi"/>
                <w:iCs/>
                <w:sz w:val="16"/>
                <w:szCs w:val="16"/>
                <w:lang w:val="nl-NL"/>
              </w:rPr>
              <w:t>Formele consultatie verwacht in Q1 2026</w:t>
            </w:r>
          </w:p>
        </w:tc>
      </w:tr>
      <w:tr w:rsidRPr="008D122E" w:rsidR="002E53B0" w:rsidTr="00E95BEF" w14:paraId="19F18DD0" w14:textId="77777777">
        <w:trPr>
          <w:trHeight w:val="20"/>
        </w:trPr>
        <w:tc>
          <w:tcPr>
            <w:tcW w:w="1696" w:type="dxa"/>
            <w:vMerge/>
            <w:tcBorders>
              <w:top w:val="single" w:color="auto" w:sz="4" w:space="0"/>
              <w:left w:val="single" w:color="auto" w:sz="4" w:space="0"/>
              <w:bottom w:val="single" w:color="auto" w:sz="4" w:space="0"/>
              <w:right w:val="single" w:color="auto" w:sz="4" w:space="0"/>
            </w:tcBorders>
            <w:vAlign w:val="center"/>
            <w:hideMark/>
          </w:tcPr>
          <w:p w:rsidRPr="008D122E" w:rsidR="002E53B0" w:rsidP="00E95BEF" w:rsidRDefault="002E53B0" w14:paraId="09673E3D" w14:textId="77777777">
            <w:pPr>
              <w:rPr>
                <w:rFonts w:eastAsiaTheme="minorHAnsi"/>
                <w:iCs/>
                <w:sz w:val="16"/>
                <w:szCs w:val="16"/>
                <w:lang w:val="nl-NL"/>
              </w:rPr>
            </w:pPr>
          </w:p>
        </w:tc>
        <w:tc>
          <w:tcPr>
            <w:tcW w:w="2127" w:type="dxa"/>
            <w:tcBorders>
              <w:top w:val="single" w:color="auto" w:sz="4" w:space="0"/>
              <w:left w:val="single" w:color="auto" w:sz="4" w:space="0"/>
              <w:bottom w:val="single" w:color="auto" w:sz="4" w:space="0"/>
              <w:right w:val="single" w:color="auto" w:sz="4" w:space="0"/>
            </w:tcBorders>
            <w:shd w:val="clear" w:color="auto" w:fill="009FE3"/>
            <w:vAlign w:val="center"/>
            <w:hideMark/>
          </w:tcPr>
          <w:p w:rsidRPr="008D122E" w:rsidR="002E53B0" w:rsidP="00E95BEF" w:rsidRDefault="002E53B0" w14:paraId="58CB4E20" w14:textId="77777777">
            <w:pPr>
              <w:rPr>
                <w:rFonts w:eastAsiaTheme="minorHAnsi"/>
                <w:iCs/>
                <w:sz w:val="16"/>
                <w:szCs w:val="16"/>
                <w:lang w:val="nl-NL"/>
              </w:rPr>
            </w:pPr>
            <w:r w:rsidRPr="008D122E">
              <w:rPr>
                <w:rFonts w:eastAsiaTheme="minorHAnsi"/>
                <w:iCs/>
                <w:sz w:val="16"/>
                <w:szCs w:val="16"/>
                <w:lang w:val="nl-NL"/>
              </w:rPr>
              <w:t>Rijksinvoeringswet</w:t>
            </w:r>
          </w:p>
        </w:tc>
        <w:tc>
          <w:tcPr>
            <w:tcW w:w="2126" w:type="dxa"/>
            <w:tcBorders>
              <w:top w:val="single" w:color="auto" w:sz="4" w:space="0"/>
              <w:left w:val="single" w:color="auto" w:sz="4" w:space="0"/>
              <w:bottom w:val="single" w:color="auto" w:sz="4" w:space="0"/>
              <w:right w:val="single" w:color="auto" w:sz="4" w:space="0"/>
            </w:tcBorders>
            <w:shd w:val="clear" w:color="auto" w:fill="009FE3"/>
            <w:vAlign w:val="center"/>
            <w:hideMark/>
          </w:tcPr>
          <w:p w:rsidRPr="008D122E" w:rsidR="002E53B0" w:rsidP="00E95BEF" w:rsidRDefault="002E53B0" w14:paraId="0A8102A9" w14:textId="77777777">
            <w:pPr>
              <w:rPr>
                <w:rFonts w:eastAsiaTheme="minorHAnsi"/>
                <w:iCs/>
                <w:sz w:val="16"/>
                <w:szCs w:val="16"/>
                <w:lang w:val="nl-NL"/>
              </w:rPr>
            </w:pPr>
            <w:r w:rsidRPr="008D122E">
              <w:rPr>
                <w:rFonts w:eastAsiaTheme="minorHAnsi"/>
                <w:iCs/>
                <w:sz w:val="16"/>
                <w:szCs w:val="16"/>
                <w:lang w:val="nl-NL"/>
              </w:rPr>
              <w:t>Ambtelijke voorbereiding in samenwerking met ketenorganisaties</w:t>
            </w:r>
          </w:p>
        </w:tc>
        <w:tc>
          <w:tcPr>
            <w:tcW w:w="1559" w:type="dxa"/>
            <w:tcBorders>
              <w:top w:val="single" w:color="auto" w:sz="4" w:space="0"/>
              <w:left w:val="single" w:color="auto" w:sz="4" w:space="0"/>
              <w:bottom w:val="single" w:color="auto" w:sz="4" w:space="0"/>
              <w:right w:val="single" w:color="auto" w:sz="4" w:space="0"/>
            </w:tcBorders>
            <w:shd w:val="clear" w:color="auto" w:fill="009FE3"/>
            <w:vAlign w:val="center"/>
            <w:hideMark/>
          </w:tcPr>
          <w:p w:rsidRPr="008D122E" w:rsidR="002E53B0" w:rsidP="00E95BEF" w:rsidRDefault="002E53B0" w14:paraId="124FC97D" w14:textId="3B56A8EC">
            <w:pPr>
              <w:rPr>
                <w:rFonts w:eastAsiaTheme="minorHAnsi"/>
                <w:iCs/>
                <w:sz w:val="16"/>
                <w:szCs w:val="16"/>
                <w:lang w:val="nl-NL"/>
              </w:rPr>
            </w:pPr>
            <w:r w:rsidRPr="008D122E">
              <w:rPr>
                <w:rFonts w:eastAsiaTheme="minorHAnsi"/>
                <w:iCs/>
                <w:sz w:val="16"/>
                <w:szCs w:val="16"/>
                <w:lang w:val="nl-NL"/>
              </w:rPr>
              <w:t>Formele consultatie verwacht in Q</w:t>
            </w:r>
            <w:r w:rsidRPr="008D122E" w:rsidR="00626C8C">
              <w:rPr>
                <w:rFonts w:eastAsiaTheme="minorHAnsi"/>
                <w:iCs/>
                <w:sz w:val="16"/>
                <w:szCs w:val="16"/>
                <w:lang w:val="nl-NL"/>
              </w:rPr>
              <w:t>4</w:t>
            </w:r>
            <w:r w:rsidRPr="008D122E">
              <w:rPr>
                <w:rFonts w:eastAsiaTheme="minorHAnsi"/>
                <w:iCs/>
                <w:sz w:val="16"/>
                <w:szCs w:val="16"/>
                <w:lang w:val="nl-NL"/>
              </w:rPr>
              <w:t xml:space="preserve"> 2026</w:t>
            </w:r>
          </w:p>
        </w:tc>
      </w:tr>
    </w:tbl>
    <w:p w:rsidRPr="008D122E" w:rsidR="002E53B0" w:rsidP="002E53B0" w:rsidRDefault="002E53B0" w14:paraId="62DA3063" w14:textId="77777777">
      <w:pPr>
        <w:pStyle w:val="broodtekst"/>
        <w:rPr>
          <w:sz w:val="16"/>
          <w:szCs w:val="16"/>
        </w:rPr>
      </w:pPr>
    </w:p>
    <w:p w:rsidRPr="008D122E" w:rsidR="002E53B0" w:rsidP="002E53B0" w:rsidRDefault="002E53B0" w14:paraId="677F3F46" w14:textId="77777777">
      <w:pPr>
        <w:autoSpaceDN w:val="0"/>
        <w:spacing w:line="240" w:lineRule="auto"/>
        <w:textAlignment w:val="baseline"/>
        <w:rPr>
          <w:rFonts w:eastAsiaTheme="minorHAnsi" w:cstheme="minorBidi"/>
          <w:i/>
          <w:iCs/>
          <w:szCs w:val="18"/>
          <w:lang w:eastAsia="en-US"/>
        </w:rPr>
      </w:pPr>
      <w:r w:rsidRPr="008D122E">
        <w:rPr>
          <w:rFonts w:eastAsiaTheme="minorHAnsi" w:cstheme="minorBidi"/>
          <w:i/>
          <w:iCs/>
          <w:szCs w:val="18"/>
          <w:lang w:eastAsia="en-US"/>
        </w:rPr>
        <w:br w:type="page"/>
      </w:r>
      <w:bookmarkStart w:name="_Hlk221104404" w:id="6"/>
      <w:bookmarkEnd w:id="5"/>
      <w:r w:rsidRPr="008D122E">
        <w:rPr>
          <w:rFonts w:eastAsiaTheme="minorHAnsi" w:cstheme="minorBidi"/>
          <w:i/>
          <w:iCs/>
          <w:szCs w:val="18"/>
          <w:lang w:eastAsia="en-US"/>
        </w:rPr>
        <w:lastRenderedPageBreak/>
        <w:t>2.7 De algemene maatregelen van bestuur onder het nieuwe Wetboek van Strafvordering</w:t>
      </w:r>
    </w:p>
    <w:p w:rsidRPr="008D122E" w:rsidR="002E53B0" w:rsidP="002E53B0" w:rsidRDefault="002E53B0" w14:paraId="17AB3D32" w14:textId="77777777">
      <w:pPr>
        <w:pStyle w:val="broodtekst"/>
        <w:rPr>
          <w:rFonts w:eastAsiaTheme="minorHAnsi"/>
          <w:lang w:eastAsia="en-US"/>
        </w:rPr>
      </w:pPr>
    </w:p>
    <w:p w:rsidRPr="008D122E" w:rsidR="002E53B0" w:rsidP="002E53B0" w:rsidRDefault="002E53B0" w14:paraId="1F5755B2" w14:textId="77777777">
      <w:pPr>
        <w:pStyle w:val="broodtekst"/>
        <w:rPr>
          <w:rFonts w:eastAsiaTheme="minorHAnsi"/>
          <w:lang w:eastAsia="en-US"/>
        </w:rPr>
      </w:pPr>
      <w:r w:rsidRPr="008D122E">
        <w:rPr>
          <w:rFonts w:eastAsiaTheme="minorHAnsi"/>
          <w:lang w:eastAsia="en-US"/>
        </w:rPr>
        <w:t xml:space="preserve">De eerste vaststellingswet bevat ruim 120 delegatiebepalingen. Ook in de tweede vaststellingswet zijn diverse delegatiebepalingen opgenomen. Op basis hiervan moeten (nieuwe) algemene maatregelen van bestuur worden opgesteld. De prioriteit ligt daarbij bij de uitvoeringsbesluiten die voor de inwerkingtreding van het nieuwe wetboek noodzakelijk zijn. </w:t>
      </w:r>
      <w:r w:rsidRPr="008D122E">
        <w:t xml:space="preserve">Voor een aantal delegatiebepalingen geldt, dat deze de mogelijkheid, en niet de verplichting, inhouden om over een onderwerp nadere regels te stellen bij of krachtens algemene maatregel van bestuur. </w:t>
      </w:r>
      <w:r w:rsidRPr="008D122E">
        <w:rPr>
          <w:rFonts w:eastAsiaTheme="minorHAnsi"/>
          <w:lang w:eastAsia="en-US"/>
        </w:rPr>
        <w:t xml:space="preserve">Voor een belangrijk deel betreft het omzetting en modernisering van bestaande algemene maatregelen van bestuur onder het huidige wetboek. </w:t>
      </w:r>
    </w:p>
    <w:p w:rsidRPr="008D122E" w:rsidR="002E53B0" w:rsidP="002E53B0" w:rsidRDefault="002E53B0" w14:paraId="747F5FC8" w14:textId="77777777">
      <w:pPr>
        <w:pStyle w:val="broodtekst"/>
        <w:rPr>
          <w:rFonts w:eastAsiaTheme="minorHAnsi"/>
          <w:lang w:eastAsia="en-US"/>
        </w:rPr>
      </w:pPr>
    </w:p>
    <w:p w:rsidRPr="008D122E" w:rsidR="002E53B0" w:rsidP="002E53B0" w:rsidRDefault="002E53B0" w14:paraId="558A7EDB" w14:textId="77777777">
      <w:pPr>
        <w:pStyle w:val="broodtekst"/>
        <w:rPr>
          <w:rFonts w:eastAsiaTheme="minorHAnsi"/>
          <w:lang w:eastAsia="en-US"/>
        </w:rPr>
      </w:pPr>
      <w:r w:rsidRPr="008D122E">
        <w:rPr>
          <w:rFonts w:eastAsiaTheme="minorHAnsi"/>
          <w:lang w:eastAsia="en-US"/>
        </w:rPr>
        <w:t xml:space="preserve">In 2025 is verder gewerkt aan de concepten van deze algemene maatregelen van bestuur. Het merendeel hiervan is al besproken met de betrokken ketenpartners. Een eerste tranche met twaalf conceptbesluiten is op 31 oktober 2025 in formele consultatie gegeven. </w:t>
      </w:r>
    </w:p>
    <w:p w:rsidRPr="008D122E" w:rsidR="002E53B0" w:rsidP="002E53B0" w:rsidRDefault="002E53B0" w14:paraId="3D31737F" w14:textId="77777777">
      <w:pPr>
        <w:pStyle w:val="broodtekst"/>
        <w:rPr>
          <w:rFonts w:eastAsiaTheme="minorHAnsi"/>
          <w:lang w:eastAsia="en-US"/>
        </w:rPr>
      </w:pPr>
      <w:r w:rsidRPr="008D122E">
        <w:rPr>
          <w:rFonts w:eastAsiaTheme="minorHAnsi"/>
          <w:lang w:eastAsia="en-US"/>
        </w:rPr>
        <w:t>Het gaat daarbij om de volgende conceptbesluiten:</w:t>
      </w:r>
    </w:p>
    <w:p w:rsidRPr="008D122E" w:rsidR="002E53B0" w:rsidP="00B10AE1" w:rsidRDefault="002E53B0" w14:paraId="2D28A41B" w14:textId="77777777">
      <w:pPr>
        <w:pStyle w:val="broodtekst"/>
        <w:numPr>
          <w:ilvl w:val="0"/>
          <w:numId w:val="34"/>
        </w:numPr>
        <w:tabs>
          <w:tab w:val="clear" w:pos="227"/>
          <w:tab w:val="left" w:pos="426"/>
        </w:tabs>
        <w:ind w:left="426" w:hanging="284"/>
        <w:rPr>
          <w:rFonts w:eastAsiaTheme="minorHAnsi"/>
          <w:lang w:eastAsia="en-US"/>
        </w:rPr>
      </w:pPr>
      <w:r w:rsidRPr="008D122E">
        <w:rPr>
          <w:rFonts w:eastAsiaTheme="minorHAnsi"/>
          <w:lang w:eastAsia="en-US"/>
        </w:rPr>
        <w:t>Kennisgeving van rechten in strafzaken;</w:t>
      </w:r>
    </w:p>
    <w:p w:rsidRPr="008D122E" w:rsidR="002E53B0" w:rsidP="00B10AE1" w:rsidRDefault="002E53B0" w14:paraId="0B2C78E7" w14:textId="77777777">
      <w:pPr>
        <w:pStyle w:val="broodtekst"/>
        <w:numPr>
          <w:ilvl w:val="0"/>
          <w:numId w:val="34"/>
        </w:numPr>
        <w:tabs>
          <w:tab w:val="clear" w:pos="227"/>
          <w:tab w:val="left" w:pos="426"/>
        </w:tabs>
        <w:ind w:left="426" w:hanging="284"/>
        <w:rPr>
          <w:rFonts w:eastAsiaTheme="minorHAnsi"/>
          <w:lang w:eastAsia="en-US"/>
        </w:rPr>
      </w:pPr>
      <w:r w:rsidRPr="008D122E">
        <w:rPr>
          <w:rFonts w:eastAsiaTheme="minorHAnsi"/>
          <w:lang w:eastAsia="en-US"/>
        </w:rPr>
        <w:t>Slachtoffers van strafbare feiten;</w:t>
      </w:r>
    </w:p>
    <w:p w:rsidRPr="008D122E" w:rsidR="002E53B0" w:rsidP="00B10AE1" w:rsidRDefault="002E53B0" w14:paraId="4426E845" w14:textId="77777777">
      <w:pPr>
        <w:pStyle w:val="broodtekst"/>
        <w:numPr>
          <w:ilvl w:val="0"/>
          <w:numId w:val="34"/>
        </w:numPr>
        <w:tabs>
          <w:tab w:val="clear" w:pos="227"/>
          <w:tab w:val="left" w:pos="426"/>
        </w:tabs>
        <w:ind w:left="426" w:hanging="284"/>
        <w:rPr>
          <w:rFonts w:eastAsiaTheme="minorHAnsi"/>
          <w:lang w:eastAsia="en-US"/>
        </w:rPr>
      </w:pPr>
      <w:r w:rsidRPr="008D122E">
        <w:rPr>
          <w:rFonts w:eastAsiaTheme="minorHAnsi"/>
          <w:lang w:eastAsia="en-US"/>
        </w:rPr>
        <w:t>Algemene bepalingen van het opsporingsonderzoek;</w:t>
      </w:r>
    </w:p>
    <w:p w:rsidRPr="008D122E" w:rsidR="002E53B0" w:rsidP="00B10AE1" w:rsidRDefault="002E53B0" w14:paraId="23A97B4E" w14:textId="77777777">
      <w:pPr>
        <w:pStyle w:val="broodtekst"/>
        <w:numPr>
          <w:ilvl w:val="0"/>
          <w:numId w:val="34"/>
        </w:numPr>
        <w:tabs>
          <w:tab w:val="clear" w:pos="227"/>
          <w:tab w:val="left" w:pos="426"/>
        </w:tabs>
        <w:ind w:left="426" w:hanging="284"/>
        <w:rPr>
          <w:rFonts w:eastAsiaTheme="minorHAnsi"/>
          <w:lang w:eastAsia="en-US"/>
        </w:rPr>
      </w:pPr>
      <w:r w:rsidRPr="008D122E">
        <w:rPr>
          <w:rFonts w:eastAsiaTheme="minorHAnsi"/>
          <w:lang w:eastAsia="en-US"/>
        </w:rPr>
        <w:t>Aangifte en klacht;</w:t>
      </w:r>
    </w:p>
    <w:p w:rsidRPr="008D122E" w:rsidR="002E53B0" w:rsidP="00B10AE1" w:rsidRDefault="002E53B0" w14:paraId="37EC29D1" w14:textId="77777777">
      <w:pPr>
        <w:pStyle w:val="broodtekst"/>
        <w:numPr>
          <w:ilvl w:val="0"/>
          <w:numId w:val="34"/>
        </w:numPr>
        <w:tabs>
          <w:tab w:val="clear" w:pos="227"/>
          <w:tab w:val="left" w:pos="426"/>
        </w:tabs>
        <w:ind w:left="426" w:hanging="284"/>
        <w:rPr>
          <w:rFonts w:eastAsiaTheme="minorHAnsi"/>
          <w:lang w:eastAsia="en-US"/>
        </w:rPr>
      </w:pPr>
      <w:r w:rsidRPr="008D122E">
        <w:rPr>
          <w:rFonts w:eastAsiaTheme="minorHAnsi"/>
          <w:lang w:eastAsia="en-US"/>
        </w:rPr>
        <w:t>Inrichting en orde politieverhoor;</w:t>
      </w:r>
    </w:p>
    <w:p w:rsidRPr="008D122E" w:rsidR="002E53B0" w:rsidP="00B10AE1" w:rsidRDefault="002E53B0" w14:paraId="7A0CFF87" w14:textId="77777777">
      <w:pPr>
        <w:pStyle w:val="broodtekst"/>
        <w:numPr>
          <w:ilvl w:val="0"/>
          <w:numId w:val="34"/>
        </w:numPr>
        <w:tabs>
          <w:tab w:val="clear" w:pos="227"/>
          <w:tab w:val="left" w:pos="426"/>
        </w:tabs>
        <w:ind w:left="426" w:hanging="284"/>
        <w:rPr>
          <w:rFonts w:eastAsiaTheme="minorHAnsi"/>
          <w:lang w:eastAsia="en-US"/>
        </w:rPr>
      </w:pPr>
      <w:r w:rsidRPr="008D122E">
        <w:rPr>
          <w:rFonts w:eastAsiaTheme="minorHAnsi"/>
          <w:lang w:eastAsia="en-US"/>
        </w:rPr>
        <w:t>Bevoegdheden met betrekking tot voorwerpen en gegevens;</w:t>
      </w:r>
    </w:p>
    <w:p w:rsidRPr="008D122E" w:rsidR="002E53B0" w:rsidP="00B10AE1" w:rsidRDefault="002E53B0" w14:paraId="5FB3DE9E" w14:textId="77777777">
      <w:pPr>
        <w:pStyle w:val="broodtekst"/>
        <w:numPr>
          <w:ilvl w:val="0"/>
          <w:numId w:val="34"/>
        </w:numPr>
        <w:tabs>
          <w:tab w:val="clear" w:pos="227"/>
          <w:tab w:val="left" w:pos="426"/>
        </w:tabs>
        <w:ind w:left="426" w:hanging="284"/>
        <w:rPr>
          <w:rFonts w:eastAsiaTheme="minorHAnsi"/>
          <w:lang w:eastAsia="en-US"/>
        </w:rPr>
      </w:pPr>
      <w:r w:rsidRPr="008D122E">
        <w:rPr>
          <w:rFonts w:eastAsiaTheme="minorHAnsi"/>
          <w:lang w:eastAsia="en-US"/>
        </w:rPr>
        <w:t>Heimelijke bevoegdheden;</w:t>
      </w:r>
    </w:p>
    <w:p w:rsidRPr="008D122E" w:rsidR="002E53B0" w:rsidP="00B10AE1" w:rsidRDefault="002E53B0" w14:paraId="127047EA" w14:textId="77777777">
      <w:pPr>
        <w:pStyle w:val="broodtekst"/>
        <w:numPr>
          <w:ilvl w:val="0"/>
          <w:numId w:val="34"/>
        </w:numPr>
        <w:tabs>
          <w:tab w:val="clear" w:pos="227"/>
          <w:tab w:val="left" w:pos="426"/>
        </w:tabs>
        <w:ind w:left="426" w:hanging="284"/>
        <w:rPr>
          <w:rFonts w:eastAsiaTheme="minorHAnsi"/>
          <w:lang w:eastAsia="en-US"/>
        </w:rPr>
      </w:pPr>
      <w:r w:rsidRPr="008D122E">
        <w:rPr>
          <w:rFonts w:eastAsiaTheme="minorHAnsi"/>
          <w:lang w:eastAsia="en-US"/>
        </w:rPr>
        <w:t>Strafbeschikkingen;</w:t>
      </w:r>
    </w:p>
    <w:p w:rsidRPr="008D122E" w:rsidR="002E53B0" w:rsidP="00B10AE1" w:rsidRDefault="002E53B0" w14:paraId="7883A0CA" w14:textId="77777777">
      <w:pPr>
        <w:pStyle w:val="broodtekst"/>
        <w:numPr>
          <w:ilvl w:val="0"/>
          <w:numId w:val="34"/>
        </w:numPr>
        <w:tabs>
          <w:tab w:val="clear" w:pos="227"/>
          <w:tab w:val="left" w:pos="426"/>
        </w:tabs>
        <w:ind w:left="426" w:hanging="284"/>
        <w:rPr>
          <w:rFonts w:eastAsiaTheme="minorHAnsi"/>
          <w:lang w:eastAsia="en-US"/>
        </w:rPr>
      </w:pPr>
      <w:r w:rsidRPr="008D122E">
        <w:rPr>
          <w:rFonts w:eastAsiaTheme="minorHAnsi"/>
          <w:lang w:eastAsia="en-US"/>
        </w:rPr>
        <w:t>Oproepingsprocedure enkelvoudige kamer;</w:t>
      </w:r>
    </w:p>
    <w:p w:rsidRPr="008D122E" w:rsidR="002E53B0" w:rsidP="00B10AE1" w:rsidRDefault="002E53B0" w14:paraId="6CBC5BD8" w14:textId="77777777">
      <w:pPr>
        <w:pStyle w:val="broodtekst"/>
        <w:numPr>
          <w:ilvl w:val="0"/>
          <w:numId w:val="34"/>
        </w:numPr>
        <w:tabs>
          <w:tab w:val="clear" w:pos="227"/>
          <w:tab w:val="left" w:pos="426"/>
        </w:tabs>
        <w:ind w:left="426" w:hanging="284"/>
        <w:rPr>
          <w:rFonts w:eastAsiaTheme="minorHAnsi"/>
          <w:lang w:eastAsia="en-US"/>
        </w:rPr>
      </w:pPr>
      <w:r w:rsidRPr="008D122E">
        <w:rPr>
          <w:rFonts w:eastAsiaTheme="minorHAnsi"/>
          <w:lang w:eastAsia="en-US"/>
        </w:rPr>
        <w:t>Adviescommissie afgesloten strafzaken;</w:t>
      </w:r>
    </w:p>
    <w:p w:rsidRPr="008D122E" w:rsidR="002E53B0" w:rsidP="00B10AE1" w:rsidRDefault="002E53B0" w14:paraId="111C4E0E" w14:textId="77777777">
      <w:pPr>
        <w:pStyle w:val="broodtekst"/>
        <w:numPr>
          <w:ilvl w:val="0"/>
          <w:numId w:val="34"/>
        </w:numPr>
        <w:tabs>
          <w:tab w:val="clear" w:pos="227"/>
          <w:tab w:val="left" w:pos="426"/>
        </w:tabs>
        <w:ind w:left="426" w:hanging="284"/>
        <w:rPr>
          <w:rFonts w:eastAsiaTheme="minorHAnsi"/>
          <w:lang w:eastAsia="en-US"/>
        </w:rPr>
      </w:pPr>
      <w:r w:rsidRPr="008D122E">
        <w:rPr>
          <w:rFonts w:eastAsiaTheme="minorHAnsi"/>
          <w:lang w:eastAsia="en-US"/>
        </w:rPr>
        <w:t>Bevoegdheden van bijzondere aard;</w:t>
      </w:r>
    </w:p>
    <w:p w:rsidRPr="008D122E" w:rsidR="002E53B0" w:rsidP="00B10AE1" w:rsidRDefault="002E53B0" w14:paraId="05EB27CF" w14:textId="77777777">
      <w:pPr>
        <w:pStyle w:val="broodtekst"/>
        <w:numPr>
          <w:ilvl w:val="0"/>
          <w:numId w:val="34"/>
        </w:numPr>
        <w:tabs>
          <w:tab w:val="clear" w:pos="227"/>
          <w:tab w:val="left" w:pos="426"/>
        </w:tabs>
        <w:ind w:left="426" w:hanging="284"/>
        <w:rPr>
          <w:rFonts w:eastAsiaTheme="minorHAnsi"/>
          <w:lang w:eastAsia="en-US"/>
        </w:rPr>
      </w:pPr>
      <w:r w:rsidRPr="008D122E">
        <w:rPr>
          <w:rFonts w:eastAsiaTheme="minorHAnsi"/>
          <w:lang w:eastAsia="en-US"/>
        </w:rPr>
        <w:t>Aanwijzing Halt-feiten.</w:t>
      </w:r>
    </w:p>
    <w:p w:rsidRPr="008D122E" w:rsidR="002E53B0" w:rsidP="002E53B0" w:rsidRDefault="002E53B0" w14:paraId="2962F6EF" w14:textId="77777777">
      <w:pPr>
        <w:pStyle w:val="broodtekst"/>
        <w:rPr>
          <w:rFonts w:eastAsiaTheme="minorHAnsi"/>
          <w:lang w:eastAsia="en-US"/>
        </w:rPr>
      </w:pPr>
    </w:p>
    <w:p w:rsidRPr="008D122E" w:rsidR="002E53B0" w:rsidP="002E53B0" w:rsidRDefault="002E53B0" w14:paraId="54A7F448" w14:textId="77777777">
      <w:pPr>
        <w:pStyle w:val="broodtekst"/>
        <w:rPr>
          <w:rFonts w:eastAsiaTheme="minorHAnsi" w:cstheme="minorBidi"/>
          <w:b/>
          <w:bCs/>
          <w:lang w:eastAsia="en-US"/>
        </w:rPr>
      </w:pPr>
      <w:r w:rsidRPr="008D122E">
        <w:rPr>
          <w:rFonts w:eastAsiaTheme="minorHAnsi"/>
          <w:lang w:eastAsia="en-US"/>
        </w:rPr>
        <w:t>Wij streven ernaar om de tweede tranche met uitvoeringsbesluiten in mei 2026 gereed te hebben voor formele consultatie. De noodzakelijke uitvoeringsbesluiten voor nieuwe of aangepaste delegatiegrondslagen in de aanvullingswetten en de noodzakelijke invoeringsbesluiten (waarin algemene maatregelen van bestuur die hun grondslag in andere wetten vinden worden aangepast, en waarin zo nodig in overgangsrecht wordt voorzien) volgen zo spoedig mogelijk daarna.</w:t>
      </w:r>
    </w:p>
    <w:bookmarkEnd w:id="6"/>
    <w:p w:rsidRPr="008D122E" w:rsidR="002E53B0" w:rsidP="002E53B0" w:rsidRDefault="002E53B0" w14:paraId="4A53569B" w14:textId="77777777">
      <w:pPr>
        <w:autoSpaceDN w:val="0"/>
        <w:spacing w:line="240" w:lineRule="auto"/>
        <w:textAlignment w:val="baseline"/>
        <w:rPr>
          <w:rFonts w:eastAsiaTheme="minorHAnsi" w:cstheme="minorBidi"/>
          <w:b/>
          <w:bCs/>
          <w:szCs w:val="18"/>
          <w:lang w:eastAsia="en-US"/>
        </w:rPr>
      </w:pPr>
      <w:r w:rsidRPr="008D122E">
        <w:rPr>
          <w:rFonts w:eastAsiaTheme="minorHAnsi" w:cstheme="minorBidi"/>
          <w:b/>
          <w:bCs/>
          <w:szCs w:val="18"/>
          <w:lang w:eastAsia="en-US"/>
        </w:rPr>
        <w:br w:type="page"/>
      </w:r>
    </w:p>
    <w:p w:rsidRPr="008D122E" w:rsidR="002E53B0" w:rsidP="002E53B0" w:rsidRDefault="002E53B0" w14:paraId="7A2E5A16" w14:textId="77777777">
      <w:pPr>
        <w:rPr>
          <w:rFonts w:eastAsiaTheme="minorHAnsi" w:cstheme="minorBidi"/>
          <w:iCs/>
          <w:szCs w:val="18"/>
          <w:lang w:eastAsia="en-US"/>
        </w:rPr>
      </w:pPr>
      <w:bookmarkStart w:name="_Hlk221104412" w:id="7"/>
      <w:r w:rsidRPr="008D122E">
        <w:rPr>
          <w:rFonts w:eastAsiaTheme="minorHAnsi" w:cstheme="minorBidi"/>
          <w:b/>
          <w:bCs/>
          <w:szCs w:val="18"/>
          <w:lang w:eastAsia="en-US"/>
        </w:rPr>
        <w:lastRenderedPageBreak/>
        <w:t xml:space="preserve">3. De structurele uitvoeringsconsequenties </w:t>
      </w:r>
    </w:p>
    <w:p w:rsidRPr="008D122E" w:rsidR="002E53B0" w:rsidP="002E53B0" w:rsidRDefault="002E53B0" w14:paraId="5F42FFC4" w14:textId="77777777">
      <w:pPr>
        <w:pStyle w:val="broodtekst"/>
      </w:pPr>
    </w:p>
    <w:p w:rsidRPr="008D122E" w:rsidR="002E53B0" w:rsidP="002E53B0" w:rsidRDefault="002E53B0" w14:paraId="285AF31F" w14:textId="77777777">
      <w:pPr>
        <w:pStyle w:val="broodtekst"/>
      </w:pPr>
      <w:r w:rsidRPr="008D122E">
        <w:t>Een nieuw Wetboek van Strafvordering heeft zowel structurele als incidentele effecten in de praktijk.</w:t>
      </w:r>
      <w:r w:rsidRPr="008D122E" w:rsidDel="00433175">
        <w:t xml:space="preserve"> </w:t>
      </w:r>
      <w:r w:rsidRPr="008D122E">
        <w:t>In deze paragraaf wordt ingegaan op de structurele uitvoeringsconsequenties van het nieuwe wetboek die ontstaan na inwerkingtreding. De incidentele implementatiekosten van het nieuwe wetboek komen in paragraaf 4 aan de orde.</w:t>
      </w:r>
    </w:p>
    <w:p w:rsidRPr="008D122E" w:rsidR="002E53B0" w:rsidP="002E53B0" w:rsidRDefault="002E53B0" w14:paraId="442DBBD6" w14:textId="77777777">
      <w:pPr>
        <w:rPr>
          <w:b/>
          <w:bCs/>
          <w:i/>
          <w:iCs/>
          <w:szCs w:val="18"/>
        </w:rPr>
      </w:pPr>
    </w:p>
    <w:p w:rsidRPr="008D122E" w:rsidR="002E53B0" w:rsidP="002E53B0" w:rsidRDefault="002E53B0" w14:paraId="298BD6D6" w14:textId="77777777">
      <w:pPr>
        <w:pStyle w:val="broodtekst"/>
      </w:pPr>
      <w:r w:rsidRPr="008D122E">
        <w:t xml:space="preserve">De structurele werklasteffecten voor de strafrechtketenorganisaties van de wetsvoorstellen worden in kaart gebracht in een </w:t>
      </w:r>
      <w:proofErr w:type="spellStart"/>
      <w:r w:rsidRPr="008D122E">
        <w:t>ketenbrede</w:t>
      </w:r>
      <w:proofErr w:type="spellEnd"/>
      <w:r w:rsidRPr="008D122E">
        <w:t xml:space="preserve"> werkgroep. Deze consequenties worden op hoofdlijnen beschreven in de memories van toelichting bij de desbetreffende wetsvoorstellen. In de memorie van toelichting bij de invoeringswet van het nieuwe Wetboek van Strafvordering wordt u geïnformeerd over het voorlopige beeld van de verwachte uitvoeringsconsequenties van structurele aard. Dit beeld omvat de beide vaststellingswetten, de eerste aanvullingswet en, voor zover mogelijk, de tweede aanvullingswet. De inhoud van de tweede aanvullingswet, en daarmee ook de uitvoeringsconsequenties, kunnen op dat moment nog veranderen naar aanleiding van de formele consultatie, het advies van de Afdeling advisering van de Raad van State en de parlementaire behandeling.</w:t>
      </w:r>
    </w:p>
    <w:p w:rsidRPr="008D122E" w:rsidR="002E53B0" w:rsidP="002E53B0" w:rsidRDefault="002E53B0" w14:paraId="74BD9E44" w14:textId="77777777">
      <w:pPr>
        <w:pStyle w:val="broodtekst"/>
      </w:pPr>
    </w:p>
    <w:p w:rsidRPr="008D122E" w:rsidR="002E53B0" w:rsidP="002E53B0" w:rsidRDefault="002E53B0" w14:paraId="296D7E55" w14:textId="77777777">
      <w:pPr>
        <w:pStyle w:val="broodtekst"/>
      </w:pPr>
      <w:r w:rsidRPr="008D122E">
        <w:t xml:space="preserve">Het onderzoek naar de effecten van het nieuwe wetboek wijst uit dat sprake zal zijn van beperkte structurele meerkosten voor enkele organisaties, terwijl andere organisaties rekening houden met meer- en minderkosten die per saldo op nul uitkomen. Dit beeld zal de komende periode verder worden aangevuld. Daarbij wordt gebruik gemaakt van inzichten die voortvloeien uit de algemene maatregelen van bestuur en het uitwerken van nieuwe werkprocessen. </w:t>
      </w:r>
    </w:p>
    <w:p w:rsidRPr="008D122E" w:rsidR="00793681" w:rsidP="002E53B0" w:rsidRDefault="002E53B0" w14:paraId="13E3EFCB" w14:textId="2D54BFC0">
      <w:pPr>
        <w:pStyle w:val="broodtekst"/>
      </w:pPr>
      <w:r w:rsidRPr="008D122E">
        <w:t>Het bestaande beeld wordt jaarlijks herijkt.</w:t>
      </w:r>
    </w:p>
    <w:p w:rsidRPr="008D122E" w:rsidR="002E53B0" w:rsidP="002E53B0" w:rsidRDefault="002E53B0" w14:paraId="68943E72" w14:textId="16E96C14">
      <w:pPr>
        <w:pStyle w:val="broodtekst"/>
      </w:pPr>
      <w:r w:rsidRPr="008D122E">
        <w:t xml:space="preserve"> </w:t>
      </w:r>
    </w:p>
    <w:p w:rsidRPr="008D122E" w:rsidR="002E53B0" w:rsidP="002E53B0" w:rsidRDefault="002E53B0" w14:paraId="1A2C84C4" w14:textId="4C03BDEF">
      <w:pPr>
        <w:pStyle w:val="broodtekst"/>
      </w:pPr>
      <w:r w:rsidRPr="008D122E">
        <w:t xml:space="preserve">Er zijn thans geen structurele middelen voor het nieuwe wetboek voorzien. </w:t>
      </w:r>
      <w:r w:rsidRPr="008D122E" w:rsidR="00EB5D78">
        <w:t>Het uitgangspunt is</w:t>
      </w:r>
      <w:r w:rsidRPr="008D122E">
        <w:t xml:space="preserve"> dat het nieuwe wetboek kansen biedt om (werk-)processen te stroomlijnen, efficiënter te werken en gaat leiden tot kortere doorlooptijden van strafzaken</w:t>
      </w:r>
      <w:r w:rsidRPr="008D122E" w:rsidR="00EB5D78">
        <w:t>. Hierdoor</w:t>
      </w:r>
      <w:r w:rsidRPr="008D122E">
        <w:t xml:space="preserve"> wordt er vooralsnog vanuit gegaan dat het nieuwe wetboek budgetneutraal kan worden ingevoerd. </w:t>
      </w:r>
      <w:r w:rsidRPr="008D122E">
        <w:rPr>
          <w:bCs/>
        </w:rPr>
        <w:t xml:space="preserve">Mocht blijken dat er per saldo toch meerkosten gaan ontstaan, zullen </w:t>
      </w:r>
      <w:r w:rsidRPr="008D122E">
        <w:t>keuzes gemaakt moeten worden. Een van de maatregelen betreft het efficiënter inzetten van middelen</w:t>
      </w:r>
      <w:r w:rsidRPr="008D122E">
        <w:rPr>
          <w:rFonts w:ascii="Roboto" w:hAnsi="Roboto"/>
          <w:shd w:val="clear" w:color="auto" w:fill="FFFFFF"/>
        </w:rPr>
        <w:t> </w:t>
      </w:r>
      <w:r w:rsidRPr="008D122E">
        <w:t>en d</w:t>
      </w:r>
      <w:r w:rsidRPr="008D122E">
        <w:rPr>
          <w:bCs/>
        </w:rPr>
        <w:t>e mogelijke aanpassing van de wetsvoorstellen op die onderdelen, zodat het nieuwe wetboek per saldo zonder meerkosten kan worden ingevoerd.</w:t>
      </w:r>
      <w:r w:rsidRPr="008D122E" w:rsidR="00897730">
        <w:rPr>
          <w:bCs/>
        </w:rPr>
        <w:t xml:space="preserve"> Hierover komt duidelijkheid in de invoeringswet die naar verwachting in 2027 wordt ingediend bij de Tweede Kamer.</w:t>
      </w:r>
    </w:p>
    <w:p w:rsidRPr="008D122E" w:rsidR="002E53B0" w:rsidP="002E53B0" w:rsidRDefault="002E53B0" w14:paraId="38EE1584" w14:textId="77777777">
      <w:pPr>
        <w:pStyle w:val="broodtekst"/>
      </w:pPr>
    </w:p>
    <w:p w:rsidRPr="008D122E" w:rsidR="002E53B0" w:rsidP="002E53B0" w:rsidRDefault="002E53B0" w14:paraId="20BC3947" w14:textId="77777777">
      <w:pPr>
        <w:pStyle w:val="broodtekst"/>
        <w:rPr>
          <w:rFonts w:eastAsiaTheme="minorHAnsi"/>
          <w:lang w:eastAsia="en-US"/>
        </w:rPr>
      </w:pPr>
      <w:r w:rsidRPr="008D122E">
        <w:rPr>
          <w:rFonts w:eastAsiaTheme="minorHAnsi"/>
          <w:lang w:eastAsia="en-US"/>
        </w:rPr>
        <w:t xml:space="preserve">Voorafgaand aan de formele evaluatie van het nieuwe wetboek worden na inwerkingtreding invoeringstoetsen ingezet om de werking van het nieuwe wetboek te monitoren en de ervaringen in kaart te brengen die met het nieuwe wetboek worden opgedaan. De invoeringstoetsen vinden 1 en 3 jaar na de inwerkingtreding plaats. </w:t>
      </w:r>
    </w:p>
    <w:bookmarkEnd w:id="7"/>
    <w:p w:rsidRPr="008D122E" w:rsidR="002E53B0" w:rsidP="002E53B0" w:rsidRDefault="002E53B0" w14:paraId="6FEE27D7" w14:textId="77777777">
      <w:pPr>
        <w:autoSpaceDN w:val="0"/>
        <w:spacing w:line="240" w:lineRule="auto"/>
        <w:textAlignment w:val="baseline"/>
        <w:rPr>
          <w:i/>
          <w:iCs/>
          <w:szCs w:val="18"/>
        </w:rPr>
      </w:pPr>
      <w:r w:rsidRPr="008D122E">
        <w:rPr>
          <w:i/>
          <w:iCs/>
          <w:szCs w:val="18"/>
        </w:rPr>
        <w:br w:type="page"/>
      </w:r>
    </w:p>
    <w:p w:rsidRPr="008D122E" w:rsidR="002E53B0" w:rsidP="002E53B0" w:rsidRDefault="002E53B0" w14:paraId="1E7B5526" w14:textId="77777777">
      <w:pPr>
        <w:rPr>
          <w:szCs w:val="18"/>
        </w:rPr>
      </w:pPr>
      <w:bookmarkStart w:name="_Hlk221104421" w:id="8"/>
      <w:r w:rsidRPr="008D122E">
        <w:rPr>
          <w:rFonts w:eastAsiaTheme="minorHAnsi" w:cstheme="minorBidi"/>
          <w:b/>
          <w:bCs/>
          <w:szCs w:val="18"/>
          <w:lang w:eastAsia="en-US"/>
        </w:rPr>
        <w:lastRenderedPageBreak/>
        <w:t>4. De implementatie</w:t>
      </w:r>
    </w:p>
    <w:p w:rsidRPr="008D122E" w:rsidR="002E53B0" w:rsidP="002E53B0" w:rsidRDefault="002E53B0" w14:paraId="7C7E57F6" w14:textId="77777777">
      <w:pPr>
        <w:rPr>
          <w:szCs w:val="18"/>
        </w:rPr>
      </w:pPr>
    </w:p>
    <w:p w:rsidRPr="008D122E" w:rsidR="002E53B0" w:rsidP="002E53B0" w:rsidRDefault="002E53B0" w14:paraId="16016B4F" w14:textId="274CE5AB">
      <w:pPr>
        <w:rPr>
          <w:szCs w:val="18"/>
        </w:rPr>
      </w:pPr>
      <w:r w:rsidRPr="008D122E">
        <w:rPr>
          <w:szCs w:val="18"/>
        </w:rPr>
        <w:t xml:space="preserve">Begin 2024 is, na overleg tussen het </w:t>
      </w:r>
      <w:r w:rsidRPr="008D122E" w:rsidR="00793681">
        <w:rPr>
          <w:szCs w:val="18"/>
        </w:rPr>
        <w:t>m</w:t>
      </w:r>
      <w:r w:rsidRPr="008D122E">
        <w:rPr>
          <w:szCs w:val="18"/>
        </w:rPr>
        <w:t>inisterie van Justitie en Veiligheid en de betrokken ketenpartners, de streefdatum van inwerkingtreding van het nieuwe Wetboek van Strafvordering vastgesteld op 1 april 2029.</w:t>
      </w:r>
      <w:r w:rsidRPr="008D122E">
        <w:rPr>
          <w:rStyle w:val="Voetnootmarkering"/>
          <w:szCs w:val="18"/>
        </w:rPr>
        <w:footnoteReference w:id="14"/>
      </w:r>
      <w:r w:rsidRPr="008D122E">
        <w:rPr>
          <w:szCs w:val="18"/>
        </w:rPr>
        <w:t xml:space="preserve"> In de voorgaande voortgangsrapportages is de organisatie beschreven waarmee de implementatie wordt gerealiseerd. Hier wordt de huidige stand van zaken van de implementatiewerkzaamheden aangegeven. </w:t>
      </w:r>
    </w:p>
    <w:p w:rsidRPr="008D122E" w:rsidR="002E53B0" w:rsidDel="000E2AAE" w:rsidP="002E53B0" w:rsidRDefault="002E53B0" w14:paraId="4F7E81C0" w14:textId="77777777">
      <w:pPr>
        <w:rPr>
          <w:szCs w:val="18"/>
        </w:rPr>
      </w:pPr>
    </w:p>
    <w:p w:rsidRPr="008D122E" w:rsidR="002E53B0" w:rsidP="002E53B0" w:rsidRDefault="002E53B0" w14:paraId="43448A9A" w14:textId="6FD6E53C">
      <w:pPr>
        <w:rPr>
          <w:szCs w:val="18"/>
        </w:rPr>
      </w:pPr>
      <w:r w:rsidRPr="008D122E">
        <w:rPr>
          <w:szCs w:val="18"/>
        </w:rPr>
        <w:t xml:space="preserve">In 2024 hebben de organisaties hun (individuele) implementatieplannen opgesteld. Deze zijn onderling uitgewisseld en besproken met het oog op de verdere samenwerking wat betreft onderlinge afhankelijkheden. De organisaties hebben hun meerjarenbegrotingen per 1 oktober 2025 geactualiseerd. Om zodoende de implementatieplannen met elkaar te vergelijken en de samenhang scherper in beeld te krijgen. Een referentiekader, dat samen met de Auditdienst is opgesteld, hielp bij deze uniformering. </w:t>
      </w:r>
      <w:r w:rsidRPr="008D122E" w:rsidR="00234612">
        <w:rPr>
          <w:szCs w:val="18"/>
        </w:rPr>
        <w:t xml:space="preserve">Op basis van deze actualisatie </w:t>
      </w:r>
      <w:r w:rsidRPr="008D122E" w:rsidR="00234612">
        <w:rPr>
          <w:szCs w:val="18"/>
          <w:lang w:eastAsia="en-US"/>
          <w14:ligatures w14:val="standardContextual"/>
        </w:rPr>
        <w:t xml:space="preserve">zal het beschikbare budget in de komende jaren volledig benut worden. Ten opzichte van het eindrapport van de commissie </w:t>
      </w:r>
      <w:proofErr w:type="spellStart"/>
      <w:r w:rsidRPr="008D122E" w:rsidR="00234612">
        <w:rPr>
          <w:szCs w:val="18"/>
          <w:lang w:eastAsia="en-US"/>
          <w14:ligatures w14:val="standardContextual"/>
        </w:rPr>
        <w:t>Letschert</w:t>
      </w:r>
      <w:proofErr w:type="spellEnd"/>
      <w:r w:rsidRPr="008D122E" w:rsidR="00234612">
        <w:rPr>
          <w:szCs w:val="18"/>
          <w:lang w:eastAsia="en-US"/>
          <w14:ligatures w14:val="standardContextual"/>
        </w:rPr>
        <w:t xml:space="preserve"> uit 2021 zijn echter veranderingen ten aanzien van de implementatie opgetreden, zoals het verschuiven van de datum van inwerkingtreding. Binnen het implementatieprogramma worden derhalve analyses uitgevoerd en mogelijke passende maatregelen om de meerjarenbegrotingen ook in de toekomst in balans te houden.</w:t>
      </w:r>
    </w:p>
    <w:p w:rsidRPr="008D122E" w:rsidR="002E53B0" w:rsidP="002E53B0" w:rsidRDefault="002E53B0" w14:paraId="37860658" w14:textId="77777777">
      <w:pPr>
        <w:rPr>
          <w:szCs w:val="18"/>
        </w:rPr>
      </w:pPr>
    </w:p>
    <w:p w:rsidRPr="008D122E" w:rsidR="002E53B0" w:rsidP="002E53B0" w:rsidRDefault="002E53B0" w14:paraId="2BAE33FD" w14:textId="77777777">
      <w:pPr>
        <w:pStyle w:val="broodtekst"/>
      </w:pPr>
      <w:r w:rsidRPr="008D122E">
        <w:t xml:space="preserve">Mede op basis van de individuele plannen zijn een ketenplan en een ketenmijlpalenplanning opgesteld. De fases die worden onderscheiden zijn: </w:t>
      </w:r>
    </w:p>
    <w:p w:rsidRPr="008D122E" w:rsidR="002E53B0" w:rsidP="00793681" w:rsidRDefault="002E53B0" w14:paraId="550D3877" w14:textId="77777777">
      <w:pPr>
        <w:pStyle w:val="broodtekst"/>
        <w:numPr>
          <w:ilvl w:val="0"/>
          <w:numId w:val="38"/>
        </w:numPr>
        <w:ind w:hanging="218"/>
      </w:pPr>
      <w:r w:rsidRPr="008D122E">
        <w:t xml:space="preserve">analyse, </w:t>
      </w:r>
    </w:p>
    <w:p w:rsidRPr="008D122E" w:rsidR="002E53B0" w:rsidP="00793681" w:rsidRDefault="002E53B0" w14:paraId="773C18F9" w14:textId="77777777">
      <w:pPr>
        <w:pStyle w:val="broodtekst"/>
        <w:numPr>
          <w:ilvl w:val="0"/>
          <w:numId w:val="38"/>
        </w:numPr>
        <w:ind w:hanging="218"/>
      </w:pPr>
      <w:r w:rsidRPr="008D122E">
        <w:t xml:space="preserve">voorbereiding en realisatie, </w:t>
      </w:r>
    </w:p>
    <w:p w:rsidRPr="008D122E" w:rsidR="002E53B0" w:rsidP="00793681" w:rsidRDefault="002E53B0" w14:paraId="5797104D" w14:textId="77777777">
      <w:pPr>
        <w:pStyle w:val="broodtekst"/>
        <w:numPr>
          <w:ilvl w:val="0"/>
          <w:numId w:val="38"/>
        </w:numPr>
        <w:ind w:hanging="218"/>
      </w:pPr>
      <w:r w:rsidRPr="008D122E">
        <w:t xml:space="preserve">(centrale) implementatievoorbereiding, (lokale) implementatie en </w:t>
      </w:r>
    </w:p>
    <w:p w:rsidRPr="008D122E" w:rsidR="002E53B0" w:rsidP="00793681" w:rsidRDefault="002E53B0" w14:paraId="59593FF3" w14:textId="77777777">
      <w:pPr>
        <w:pStyle w:val="broodtekst"/>
        <w:numPr>
          <w:ilvl w:val="0"/>
          <w:numId w:val="38"/>
        </w:numPr>
        <w:ind w:hanging="218"/>
      </w:pPr>
      <w:r w:rsidRPr="008D122E">
        <w:t xml:space="preserve">nazorg (na inwerkingtreding). </w:t>
      </w:r>
    </w:p>
    <w:p w:rsidRPr="008D122E" w:rsidR="002E53B0" w:rsidP="002E53B0" w:rsidRDefault="002E53B0" w14:paraId="4FF72F48" w14:textId="77777777">
      <w:pPr>
        <w:pStyle w:val="broodtekst"/>
      </w:pPr>
    </w:p>
    <w:p w:rsidRPr="008D122E" w:rsidR="002E53B0" w:rsidP="002E53B0" w:rsidRDefault="002E53B0" w14:paraId="58DDCD79" w14:textId="77777777">
      <w:pPr>
        <w:pStyle w:val="broodtekst"/>
      </w:pPr>
      <w:r w:rsidRPr="008D122E">
        <w:t>De organisaties zijn op dit moment vergevorderd in de analysefase. Zij inventariseren welke aanpassingen in werkprocessen en systemen voor informatievoorziening moeten worden uitgevoerd om voorbereid te zijn op het werken met het nieuwe wetboek. Na het afronden van de analysefase in 2026 inventariseert het ministerie van Justitie en Veiligheid hoe de resterende middelen voor implementatie verdeeld worden over de ketenorganisaties voor de komende jaren. Dit wordt verwerkt bij reguliere budgettaire besluitvormingsmomenten.</w:t>
      </w:r>
    </w:p>
    <w:p w:rsidRPr="008D122E" w:rsidR="002E53B0" w:rsidP="002E53B0" w:rsidRDefault="002E53B0" w14:paraId="50207F83" w14:textId="77777777">
      <w:pPr>
        <w:pStyle w:val="broodtekst"/>
      </w:pPr>
    </w:p>
    <w:p w:rsidRPr="008D122E" w:rsidR="002E53B0" w:rsidP="002E53B0" w:rsidRDefault="002E53B0" w14:paraId="09C8954B" w14:textId="77777777">
      <w:pPr>
        <w:pStyle w:val="broodtekst"/>
      </w:pPr>
      <w:r w:rsidRPr="008D122E">
        <w:t>Uit adviesrapporten van de Adviescommissie ICT over het Business Informatieplan van het Openbaar Ministerie (BIPOM) en het programma Basisplan Straf van de Rechtspraak blijkt dat de totale veranderopgave op het terrein van informatievoorziening (IV) in de strafrechtketen groot is. Deze IV-opgave zal in nauwe samenhang met het implementatietraject van het nieuwe wetboek worden gerealiseerd. Als nieuwe systemen niet tijdig zijn ingevoerd, zullen de huidige systemen moeten worden aangepast.</w:t>
      </w:r>
    </w:p>
    <w:p w:rsidRPr="008D122E" w:rsidR="002E53B0" w:rsidP="002E53B0" w:rsidRDefault="002E53B0" w14:paraId="6F140368" w14:textId="77777777">
      <w:pPr>
        <w:rPr>
          <w:szCs w:val="18"/>
        </w:rPr>
      </w:pPr>
    </w:p>
    <w:p w:rsidRPr="008D122E" w:rsidR="002E53B0" w:rsidP="002E53B0" w:rsidRDefault="002E53B0" w14:paraId="6DD3B094" w14:textId="27B266A3">
      <w:pPr>
        <w:rPr>
          <w:color w:val="000000"/>
          <w:szCs w:val="18"/>
          <w:lang w:eastAsia="en-US"/>
        </w:rPr>
      </w:pPr>
      <w:r w:rsidRPr="008D122E">
        <w:rPr>
          <w:szCs w:val="18"/>
        </w:rPr>
        <w:t xml:space="preserve">In de </w:t>
      </w:r>
      <w:bookmarkStart w:name="_Hlk210814521" w:id="9"/>
      <w:r w:rsidRPr="008D122E">
        <w:rPr>
          <w:szCs w:val="18"/>
        </w:rPr>
        <w:t>jaarlijkse voortgangsbrieven strafrechtketen</w:t>
      </w:r>
      <w:bookmarkEnd w:id="9"/>
      <w:r w:rsidRPr="008D122E">
        <w:rPr>
          <w:rStyle w:val="Voetnootmarkering"/>
          <w:szCs w:val="18"/>
        </w:rPr>
        <w:footnoteReference w:id="15"/>
      </w:r>
      <w:r w:rsidRPr="008D122E">
        <w:rPr>
          <w:szCs w:val="18"/>
        </w:rPr>
        <w:t xml:space="preserve"> is aangegeven dat het </w:t>
      </w:r>
      <w:r w:rsidRPr="008D122E" w:rsidR="00793681">
        <w:rPr>
          <w:szCs w:val="18"/>
        </w:rPr>
        <w:t>m</w:t>
      </w:r>
      <w:r w:rsidRPr="008D122E">
        <w:rPr>
          <w:szCs w:val="18"/>
        </w:rPr>
        <w:t xml:space="preserve">inisterie van Justitie en Veiligheid in de loop van 2024, ter uitvoering van de motie </w:t>
      </w:r>
      <w:proofErr w:type="spellStart"/>
      <w:r w:rsidRPr="008D122E">
        <w:rPr>
          <w:szCs w:val="18"/>
        </w:rPr>
        <w:t>Ellian</w:t>
      </w:r>
      <w:proofErr w:type="spellEnd"/>
      <w:r w:rsidRPr="008D122E">
        <w:rPr>
          <w:szCs w:val="18"/>
        </w:rPr>
        <w:t xml:space="preserve"> c.s., stappen heeft gezet om de monitoring en coördinatie vanuit het bestuursdepartement zowel intern als in relatie tot de strafrechtketen te </w:t>
      </w:r>
      <w:r w:rsidRPr="008D122E">
        <w:rPr>
          <w:szCs w:val="18"/>
        </w:rPr>
        <w:lastRenderedPageBreak/>
        <w:t xml:space="preserve">versterken. Het is van belang dat de ketendoelstellingen voor de strafrechtketen voor alle organisaties transparant zijn in de jaaraanschrijvingen, én de bestuurlijke afspraken tussen het </w:t>
      </w:r>
      <w:r w:rsidRPr="008D122E" w:rsidR="00793681">
        <w:rPr>
          <w:szCs w:val="18"/>
        </w:rPr>
        <w:t>m</w:t>
      </w:r>
      <w:r w:rsidRPr="008D122E">
        <w:rPr>
          <w:szCs w:val="18"/>
        </w:rPr>
        <w:t xml:space="preserve">inisterie van Justitie en Veiligheid en de ketenorganisaties. Op dit moment zijn de doelstellingen met betrekking tot de implementatie van het nieuwe wetboek verwerkt in </w:t>
      </w:r>
      <w:r w:rsidRPr="008D122E">
        <w:rPr>
          <w:color w:val="000000"/>
          <w:szCs w:val="18"/>
          <w:lang w:eastAsia="en-US"/>
        </w:rPr>
        <w:t>jaarplanaanschrijvingen, jaarplannen, kaderbrieven, subsidiebrieven en bijdragebrieven aan ketenorganisaties. Voor de komende jaren wordt deze werkwijze voortgezet en verbeterd.</w:t>
      </w:r>
    </w:p>
    <w:p w:rsidRPr="008D122E" w:rsidR="002E53B0" w:rsidP="002E53B0" w:rsidRDefault="002E53B0" w14:paraId="6D2A0B15" w14:textId="77777777">
      <w:pPr>
        <w:rPr>
          <w:color w:val="000000"/>
          <w:szCs w:val="18"/>
          <w:lang w:eastAsia="en-US"/>
        </w:rPr>
      </w:pPr>
      <w:r w:rsidRPr="008D122E">
        <w:rPr>
          <w:color w:val="000000"/>
          <w:szCs w:val="18"/>
          <w:lang w:eastAsia="en-US"/>
        </w:rPr>
        <w:t xml:space="preserve"> </w:t>
      </w:r>
    </w:p>
    <w:p w:rsidRPr="008D122E" w:rsidR="002E53B0" w:rsidP="002E53B0" w:rsidRDefault="002E53B0" w14:paraId="00F8256F" w14:textId="77777777">
      <w:pPr>
        <w:rPr>
          <w:szCs w:val="18"/>
        </w:rPr>
      </w:pPr>
      <w:r w:rsidRPr="008D122E">
        <w:rPr>
          <w:color w:val="000000"/>
          <w:szCs w:val="18"/>
          <w:lang w:eastAsia="en-US"/>
        </w:rPr>
        <w:t>De</w:t>
      </w:r>
      <w:r w:rsidRPr="008D122E">
        <w:rPr>
          <w:szCs w:val="18"/>
        </w:rPr>
        <w:t xml:space="preserve"> ketenorganisaties leggen via reguliere rapportages verantwoording af over de besteding van toegekende middelen en de voortgang van de implementatie. Zo krijgen ketenorganisaties en het ministerie knelpunten sneller in het vizier. Het ministerie biedt ondersteuning en blijft tegelijkertijd de voortgang scherp monitoren.</w:t>
      </w:r>
    </w:p>
    <w:p w:rsidRPr="008D122E" w:rsidR="002E53B0" w:rsidP="002E53B0" w:rsidRDefault="002E53B0" w14:paraId="4AC0D017" w14:textId="77777777">
      <w:pPr>
        <w:rPr>
          <w:szCs w:val="18"/>
        </w:rPr>
      </w:pPr>
      <w:r w:rsidRPr="008D122E">
        <w:rPr>
          <w:szCs w:val="18"/>
        </w:rPr>
        <w:t xml:space="preserve"> </w:t>
      </w:r>
    </w:p>
    <w:p w:rsidRPr="008D122E" w:rsidR="002E53B0" w:rsidP="002E53B0" w:rsidRDefault="002E53B0" w14:paraId="61FBE81C" w14:textId="056A4228">
      <w:pPr>
        <w:pStyle w:val="broodtekst"/>
      </w:pPr>
      <w:r w:rsidRPr="008D122E">
        <w:t>De ketenorganisaties en het ministerie verschaffen zich ook met behulp van externe expertise een beeld van de robuustheid van de gekozen aanpak voor en voortgang van de implementatie van het nieuwe wetboek. De Auditdienst Rijk heeft daartoe geadviseerd over de implementatie- en bestedingsplannen. Op aanvraag van de Eerste Kamer zal bovendien advisering plaatsvinden door het Adviescollege ICT-toetsing.</w:t>
      </w:r>
      <w:r w:rsidRPr="008D122E" w:rsidR="00B7373C">
        <w:t xml:space="preserve"> Daarbij wordt onder andere de voorbereiding in de strafrechtketen op de noodzakelijke IT-aanpassingen beoordeeld op slaagkans en risico’s.</w:t>
      </w:r>
      <w:r w:rsidRPr="008D122E">
        <w:t xml:space="preserve"> Naar aanleiding van de rapportage van dit adviescollege in het voorjaar van 2026 wordt besloten of een aanvullende periodieke gateway review noodzakelijk is. In volgende voortgangsrapportages informeren wij u over de inzichten uit deze adviezen.</w:t>
      </w:r>
    </w:p>
    <w:p w:rsidRPr="008D122E" w:rsidR="002E53B0" w:rsidP="002E53B0" w:rsidRDefault="002E53B0" w14:paraId="180452BD" w14:textId="77777777">
      <w:pPr>
        <w:rPr>
          <w:i/>
          <w:iCs/>
          <w:szCs w:val="18"/>
        </w:rPr>
      </w:pPr>
    </w:p>
    <w:p w:rsidRPr="008D122E" w:rsidR="002E53B0" w:rsidP="002E53B0" w:rsidRDefault="002E53B0" w14:paraId="78E6EAF5" w14:textId="77777777">
      <w:pPr>
        <w:rPr>
          <w:szCs w:val="18"/>
        </w:rPr>
      </w:pPr>
      <w:r w:rsidRPr="008D122E">
        <w:rPr>
          <w:szCs w:val="18"/>
        </w:rPr>
        <w:t xml:space="preserve">Eén van de randvoorwaarden voor implementatie van het nieuwe wetboek is dat een periode van drie jaar nodig is na het stabiel worden van de wettekst om de noodzakelijke aanpassingen te kunnen doorvoeren in systemen voor informatievoorziening en (keten)werkprocessen, en om personeel op te leiden. </w:t>
      </w:r>
    </w:p>
    <w:p w:rsidRPr="00AB106E" w:rsidR="002E53B0" w:rsidP="002E53B0" w:rsidRDefault="002E53B0" w14:paraId="4DD0B216" w14:textId="77777777">
      <w:pPr>
        <w:rPr>
          <w:szCs w:val="18"/>
        </w:rPr>
      </w:pPr>
      <w:r w:rsidRPr="008D122E">
        <w:rPr>
          <w:szCs w:val="18"/>
        </w:rPr>
        <w:t>Mede aan de hand van de bevindingen van het Adviescollege ICT-toetsing wordt in het voorjaar van 2026 een nieuwe inschatting omtrent tijdige gereedheid gemaakt.</w:t>
      </w:r>
    </w:p>
    <w:bookmarkEnd w:id="0"/>
    <w:bookmarkEnd w:id="8"/>
    <w:p w:rsidRPr="00135DDE" w:rsidR="00E56047" w:rsidRDefault="00E56047" w14:paraId="2498AFCA" w14:textId="5A4CE436">
      <w:pPr>
        <w:autoSpaceDN w:val="0"/>
        <w:spacing w:line="240" w:lineRule="auto"/>
        <w:textAlignment w:val="baseline"/>
        <w:rPr>
          <w:rFonts w:eastAsiaTheme="minorHAnsi" w:cstheme="minorBidi"/>
          <w:szCs w:val="18"/>
          <w:lang w:eastAsia="en-US"/>
        </w:rPr>
      </w:pPr>
    </w:p>
    <w:sectPr w:rsidRPr="00135DDE" w:rsidR="00E56047" w:rsidSect="00B10AE1">
      <w:headerReference w:type="default" r:id="rId13"/>
      <w:headerReference w:type="first" r:id="rId14"/>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BAF60" w14:textId="77777777" w:rsidR="008B4537" w:rsidRDefault="008B4537">
      <w:pPr>
        <w:spacing w:line="240" w:lineRule="auto"/>
      </w:pPr>
      <w:r>
        <w:separator/>
      </w:r>
    </w:p>
  </w:endnote>
  <w:endnote w:type="continuationSeparator" w:id="0">
    <w:p w14:paraId="4F0047A8" w14:textId="77777777" w:rsidR="008B4537" w:rsidRDefault="008B45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DCOG A+ Univers">
    <w:altName w:val="Univers"/>
    <w:panose1 w:val="00000000000000000000"/>
    <w:charset w:val="00"/>
    <w:family w:val="swiss"/>
    <w:notTrueType/>
    <w:pitch w:val="default"/>
    <w:sig w:usb0="00000003" w:usb1="00000000" w:usb2="00000000" w:usb3="00000000" w:csb0="00000001" w:csb1="00000000"/>
  </w:font>
  <w:font w:name="Roboto">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CD05C" w14:textId="77777777" w:rsidR="008B4537" w:rsidRDefault="008B4537">
      <w:pPr>
        <w:spacing w:line="240" w:lineRule="auto"/>
      </w:pPr>
      <w:r>
        <w:separator/>
      </w:r>
    </w:p>
  </w:footnote>
  <w:footnote w:type="continuationSeparator" w:id="0">
    <w:p w14:paraId="1F19CEBA" w14:textId="77777777" w:rsidR="008B4537" w:rsidRDefault="008B4537">
      <w:pPr>
        <w:spacing w:line="240" w:lineRule="auto"/>
      </w:pPr>
      <w:r>
        <w:continuationSeparator/>
      </w:r>
    </w:p>
  </w:footnote>
  <w:footnote w:id="1">
    <w:p w14:paraId="32A241D4" w14:textId="7795422D" w:rsidR="00E56047" w:rsidRPr="00B25C15" w:rsidRDefault="00E56047" w:rsidP="00E56047">
      <w:pPr>
        <w:pStyle w:val="Voetnoottekst"/>
        <w:spacing w:line="240" w:lineRule="auto"/>
        <w:rPr>
          <w:szCs w:val="16"/>
        </w:rPr>
      </w:pPr>
      <w:r w:rsidRPr="00B25C15">
        <w:rPr>
          <w:rStyle w:val="Voetnootmarkering"/>
          <w:szCs w:val="16"/>
        </w:rPr>
        <w:footnoteRef/>
      </w:r>
      <w:r w:rsidRPr="00B25C15">
        <w:rPr>
          <w:szCs w:val="16"/>
        </w:rPr>
        <w:t xml:space="preserve"> Voor de eerdere voortgangsrapportages zij verwezen naar Kamerstukken II 29279, </w:t>
      </w:r>
      <w:proofErr w:type="spellStart"/>
      <w:r w:rsidRPr="00B25C15">
        <w:rPr>
          <w:szCs w:val="16"/>
        </w:rPr>
        <w:t>nrs</w:t>
      </w:r>
      <w:proofErr w:type="spellEnd"/>
      <w:r w:rsidRPr="00B25C15">
        <w:rPr>
          <w:szCs w:val="16"/>
        </w:rPr>
        <w:t>. 331, 372, 395, 459, 501, 625, 712, 782, 832 en 918 en Kamerstukken I 34550-VI, M, 34775-VI, B, 35000-VI, B en P, 35570-VI, A, K en 29279, P, V en AA.</w:t>
      </w:r>
    </w:p>
  </w:footnote>
  <w:footnote w:id="2">
    <w:p w14:paraId="22DCEBC8" w14:textId="6379BEFB" w:rsidR="002B7974" w:rsidRDefault="002B7974">
      <w:pPr>
        <w:pStyle w:val="Voetnoottekst"/>
      </w:pPr>
      <w:r>
        <w:rPr>
          <w:rStyle w:val="Voetnootmarkering"/>
        </w:rPr>
        <w:footnoteRef/>
      </w:r>
      <w:r>
        <w:t xml:space="preserve"> Kamerstukken II 2015/16, 29279, nr. 302</w:t>
      </w:r>
    </w:p>
  </w:footnote>
  <w:footnote w:id="3">
    <w:p w14:paraId="357688FE" w14:textId="77777777" w:rsidR="002E53B0" w:rsidRPr="00B25C15" w:rsidRDefault="002E53B0" w:rsidP="002E53B0">
      <w:pPr>
        <w:pStyle w:val="Voetnoottekst"/>
        <w:rPr>
          <w:szCs w:val="16"/>
        </w:rPr>
      </w:pPr>
      <w:r w:rsidRPr="00B25C15">
        <w:rPr>
          <w:rStyle w:val="Voetnootmarkering"/>
          <w:szCs w:val="16"/>
        </w:rPr>
        <w:footnoteRef/>
      </w:r>
      <w:r w:rsidRPr="00B25C15">
        <w:rPr>
          <w:szCs w:val="16"/>
        </w:rPr>
        <w:t xml:space="preserve"> </w:t>
      </w:r>
      <w:r w:rsidRPr="00B25C15">
        <w:rPr>
          <w:rFonts w:eastAsiaTheme="minorHAnsi" w:cstheme="minorBidi"/>
          <w:szCs w:val="16"/>
          <w:lang w:eastAsia="en-US"/>
        </w:rPr>
        <w:t>Kamerstukken II 2023/24, 29279, nr. 918 en Kamerstukken I 2023/24, 29279, AA.</w:t>
      </w:r>
    </w:p>
  </w:footnote>
  <w:footnote w:id="4">
    <w:p w14:paraId="1F724A06" w14:textId="77777777" w:rsidR="002E53B0" w:rsidRPr="00B25C15" w:rsidRDefault="002E53B0" w:rsidP="002E53B0">
      <w:pPr>
        <w:pStyle w:val="Voetnoottekst"/>
        <w:rPr>
          <w:szCs w:val="16"/>
        </w:rPr>
      </w:pPr>
      <w:r w:rsidRPr="00B25C15">
        <w:rPr>
          <w:rStyle w:val="Voetnootmarkering"/>
          <w:szCs w:val="16"/>
        </w:rPr>
        <w:footnoteRef/>
      </w:r>
      <w:r w:rsidRPr="00B25C15">
        <w:rPr>
          <w:szCs w:val="16"/>
        </w:rPr>
        <w:t xml:space="preserve"> </w:t>
      </w:r>
      <w:r w:rsidRPr="00B25C15">
        <w:rPr>
          <w:rFonts w:eastAsiaTheme="minorHAnsi" w:cstheme="minorBidi"/>
          <w:szCs w:val="16"/>
          <w:lang w:eastAsia="en-US"/>
        </w:rPr>
        <w:t>Kamerstukken II 2023/24, 36327, nr. 11.</w:t>
      </w:r>
    </w:p>
  </w:footnote>
  <w:footnote w:id="5">
    <w:p w14:paraId="7E8E822C" w14:textId="77777777" w:rsidR="002E53B0" w:rsidRPr="00B25C15" w:rsidRDefault="002E53B0" w:rsidP="002E53B0">
      <w:pPr>
        <w:pStyle w:val="Voetnoottekst"/>
        <w:rPr>
          <w:szCs w:val="16"/>
        </w:rPr>
      </w:pPr>
      <w:r w:rsidRPr="00B25C15">
        <w:rPr>
          <w:rStyle w:val="Voetnootmarkering"/>
          <w:szCs w:val="16"/>
        </w:rPr>
        <w:footnoteRef/>
      </w:r>
      <w:r w:rsidRPr="00B25C15">
        <w:rPr>
          <w:szCs w:val="16"/>
        </w:rPr>
        <w:t xml:space="preserve"> </w:t>
      </w:r>
      <w:r w:rsidRPr="00B25C15">
        <w:rPr>
          <w:rFonts w:eastAsiaTheme="minorHAnsi" w:cstheme="minorBidi"/>
          <w:szCs w:val="16"/>
          <w:lang w:eastAsia="en-US"/>
        </w:rPr>
        <w:t>Kamerstukken I 2024/25, 36327, C, en Kamerstukken I 2024/25, 36636, A</w:t>
      </w:r>
      <w:r>
        <w:rPr>
          <w:rFonts w:eastAsiaTheme="minorHAnsi" w:cstheme="minorBidi"/>
          <w:szCs w:val="16"/>
          <w:lang w:eastAsia="en-US"/>
        </w:rPr>
        <w:t>.</w:t>
      </w:r>
    </w:p>
  </w:footnote>
  <w:footnote w:id="6">
    <w:p w14:paraId="3C24C274" w14:textId="77777777" w:rsidR="002E53B0" w:rsidRDefault="002E53B0" w:rsidP="002E53B0">
      <w:pPr>
        <w:pStyle w:val="Voetnoottekst"/>
      </w:pPr>
      <w:r>
        <w:rPr>
          <w:rStyle w:val="Voetnootmarkering"/>
        </w:rPr>
        <w:footnoteRef/>
      </w:r>
      <w:r>
        <w:t xml:space="preserve"> </w:t>
      </w:r>
      <w:r w:rsidRPr="00B25C15">
        <w:rPr>
          <w:rFonts w:eastAsiaTheme="minorHAnsi" w:cstheme="minorBidi"/>
          <w:szCs w:val="16"/>
          <w:lang w:eastAsia="en-US"/>
        </w:rPr>
        <w:t>Kamerstukken I 2024/25, 36327</w:t>
      </w:r>
      <w:r>
        <w:rPr>
          <w:rFonts w:eastAsiaTheme="minorHAnsi" w:cstheme="minorBidi"/>
          <w:szCs w:val="16"/>
          <w:lang w:eastAsia="en-US"/>
        </w:rPr>
        <w:t xml:space="preserve"> en 36636</w:t>
      </w:r>
      <w:r w:rsidRPr="00B25C15">
        <w:rPr>
          <w:rFonts w:eastAsiaTheme="minorHAnsi" w:cstheme="minorBidi"/>
          <w:szCs w:val="16"/>
          <w:lang w:eastAsia="en-US"/>
        </w:rPr>
        <w:t xml:space="preserve">, </w:t>
      </w:r>
      <w:r>
        <w:rPr>
          <w:rFonts w:eastAsiaTheme="minorHAnsi" w:cstheme="minorBidi"/>
          <w:szCs w:val="16"/>
          <w:lang w:eastAsia="en-US"/>
        </w:rPr>
        <w:t>I</w:t>
      </w:r>
    </w:p>
  </w:footnote>
  <w:footnote w:id="7">
    <w:p w14:paraId="6944A857" w14:textId="77777777" w:rsidR="002E53B0" w:rsidRDefault="002E53B0" w:rsidP="002E53B0">
      <w:pPr>
        <w:pStyle w:val="Voetnoottekst"/>
      </w:pPr>
      <w:r>
        <w:rPr>
          <w:rStyle w:val="Voetnootmarkering"/>
        </w:rPr>
        <w:footnoteRef/>
      </w:r>
      <w:r>
        <w:t xml:space="preserve"> Kamerstukken I 2024/25, 36327 en 36636, J</w:t>
      </w:r>
    </w:p>
  </w:footnote>
  <w:footnote w:id="8">
    <w:p w14:paraId="09FB0765" w14:textId="77777777" w:rsidR="002E53B0" w:rsidRPr="00B25C15" w:rsidRDefault="002E53B0" w:rsidP="002E53B0">
      <w:pPr>
        <w:pStyle w:val="Voetnoottekst"/>
        <w:rPr>
          <w:szCs w:val="16"/>
        </w:rPr>
      </w:pPr>
      <w:r w:rsidRPr="00B25C15">
        <w:rPr>
          <w:rStyle w:val="Voetnootmarkering"/>
          <w:szCs w:val="16"/>
        </w:rPr>
        <w:footnoteRef/>
      </w:r>
      <w:r w:rsidRPr="00B25C15">
        <w:rPr>
          <w:szCs w:val="16"/>
        </w:rPr>
        <w:t xml:space="preserve"> Zie onder meer </w:t>
      </w:r>
      <w:proofErr w:type="spellStart"/>
      <w:r w:rsidRPr="00B25C15">
        <w:rPr>
          <w:szCs w:val="16"/>
        </w:rPr>
        <w:t>HvJ</w:t>
      </w:r>
      <w:proofErr w:type="spellEnd"/>
      <w:r w:rsidRPr="00B25C15">
        <w:rPr>
          <w:szCs w:val="16"/>
        </w:rPr>
        <w:t xml:space="preserve"> EU 4 oktober 2024, C-548/21, ECLI:EU:C:2024:830 en HR 18 maart 2025, ECLI:NL:HR:2025:409.</w:t>
      </w:r>
    </w:p>
  </w:footnote>
  <w:footnote w:id="9">
    <w:p w14:paraId="7E5775D8" w14:textId="77777777" w:rsidR="002E53B0" w:rsidRPr="00B25C15" w:rsidRDefault="002E53B0" w:rsidP="002E53B0">
      <w:pPr>
        <w:pStyle w:val="Voetnoottekst"/>
        <w:rPr>
          <w:szCs w:val="16"/>
        </w:rPr>
      </w:pPr>
      <w:r w:rsidRPr="00B25C15">
        <w:rPr>
          <w:rStyle w:val="Voetnootmarkering"/>
          <w:szCs w:val="16"/>
        </w:rPr>
        <w:footnoteRef/>
      </w:r>
      <w:r w:rsidRPr="00B25C15">
        <w:rPr>
          <w:szCs w:val="16"/>
        </w:rPr>
        <w:t xml:space="preserve"> HR 12 maart 2024, ECLI:NL:HR:2024:375</w:t>
      </w:r>
      <w:r>
        <w:rPr>
          <w:szCs w:val="16"/>
        </w:rPr>
        <w:t>.</w:t>
      </w:r>
    </w:p>
  </w:footnote>
  <w:footnote w:id="10">
    <w:p w14:paraId="27C85046" w14:textId="3084E1E1" w:rsidR="00B10AE1" w:rsidRDefault="00B10AE1">
      <w:pPr>
        <w:pStyle w:val="Voetnoottekst"/>
      </w:pPr>
      <w:r>
        <w:rPr>
          <w:rStyle w:val="Voetnootmarkering"/>
        </w:rPr>
        <w:footnoteRef/>
      </w:r>
      <w:r>
        <w:t xml:space="preserve"> </w:t>
      </w:r>
      <w:r w:rsidRPr="00135DDE">
        <w:t>Kamerstukken II 2024/25, 36327, nr. 65</w:t>
      </w:r>
      <w:r>
        <w:t>.</w:t>
      </w:r>
    </w:p>
  </w:footnote>
  <w:footnote w:id="11">
    <w:p w14:paraId="6F1B243B" w14:textId="49496A39" w:rsidR="00B10AE1" w:rsidRDefault="00B10AE1">
      <w:pPr>
        <w:pStyle w:val="Voetnoottekst"/>
      </w:pPr>
      <w:r>
        <w:rPr>
          <w:rStyle w:val="Voetnootmarkering"/>
        </w:rPr>
        <w:footnoteRef/>
      </w:r>
      <w:r>
        <w:t xml:space="preserve"> </w:t>
      </w:r>
      <w:r w:rsidRPr="00135DDE">
        <w:t>Kamerstukken II 2024/25, 36327, nr. 66</w:t>
      </w:r>
      <w:r>
        <w:t>.</w:t>
      </w:r>
    </w:p>
  </w:footnote>
  <w:footnote w:id="12">
    <w:p w14:paraId="7C50DC98" w14:textId="77777777" w:rsidR="002E53B0" w:rsidRPr="00B25C15" w:rsidRDefault="002E53B0" w:rsidP="002E53B0">
      <w:pPr>
        <w:autoSpaceDE w:val="0"/>
        <w:autoSpaceDN w:val="0"/>
        <w:adjustRightInd w:val="0"/>
        <w:spacing w:line="240" w:lineRule="auto"/>
        <w:rPr>
          <w:sz w:val="16"/>
          <w:szCs w:val="16"/>
        </w:rPr>
      </w:pPr>
      <w:r w:rsidRPr="00B25C15">
        <w:rPr>
          <w:rStyle w:val="Voetnootmarkering"/>
          <w:sz w:val="16"/>
          <w:szCs w:val="16"/>
        </w:rPr>
        <w:footnoteRef/>
      </w:r>
      <w:r w:rsidRPr="00B25C15">
        <w:rPr>
          <w:sz w:val="16"/>
          <w:szCs w:val="16"/>
        </w:rPr>
        <w:t xml:space="preserve"> </w:t>
      </w:r>
      <w:r w:rsidRPr="00B25C15">
        <w:rPr>
          <w:rFonts w:cs="Verdana"/>
          <w:sz w:val="16"/>
          <w:szCs w:val="16"/>
        </w:rPr>
        <w:t xml:space="preserve">De rapporten </w:t>
      </w:r>
      <w:r w:rsidRPr="00B25C15">
        <w:rPr>
          <w:rFonts w:cs="Verdana"/>
          <w:i/>
          <w:iCs/>
          <w:sz w:val="16"/>
          <w:szCs w:val="16"/>
        </w:rPr>
        <w:t>‘Evaluatie pilots Innovatiewet Strafvordering – Prejudiciële procedure en Mediation in Strafzaken´</w:t>
      </w:r>
      <w:r w:rsidRPr="00B25C15">
        <w:rPr>
          <w:rFonts w:cs="Verdana"/>
          <w:sz w:val="16"/>
          <w:szCs w:val="16"/>
        </w:rPr>
        <w:t xml:space="preserve"> en ´</w:t>
      </w:r>
      <w:r w:rsidRPr="00B25C15">
        <w:rPr>
          <w:rFonts w:cs="Verdana"/>
          <w:i/>
          <w:iCs/>
          <w:sz w:val="16"/>
          <w:szCs w:val="16"/>
        </w:rPr>
        <w:t>Evaluatie Innovatiewet Strafvordering Pilots Gegevens na beslag, Audiovisuele registratie en Hulpofficier van Justitie´</w:t>
      </w:r>
      <w:r w:rsidRPr="00B25C15">
        <w:rPr>
          <w:rFonts w:cs="Verdana"/>
          <w:sz w:val="16"/>
          <w:szCs w:val="16"/>
        </w:rPr>
        <w:t>, bijlage bij Kamerstukken II 2024/25, 35869, nr. 31 en Kamerstukken I, 2024/25, 35869, E.</w:t>
      </w:r>
    </w:p>
  </w:footnote>
  <w:footnote w:id="13">
    <w:p w14:paraId="452BC09C" w14:textId="77777777" w:rsidR="002E53B0" w:rsidRDefault="002E53B0" w:rsidP="002E53B0">
      <w:pPr>
        <w:pStyle w:val="Voetnoottekst"/>
      </w:pPr>
      <w:r>
        <w:rPr>
          <w:rStyle w:val="Voetnootmarkering"/>
        </w:rPr>
        <w:footnoteRef/>
      </w:r>
      <w:r>
        <w:t xml:space="preserve"> Kamerstukken II 2024/25, nr. 5 (verslag) </w:t>
      </w:r>
      <w:r w:rsidRPr="00EE0881">
        <w:t>en nr. 6 (nota n.a.v. verslag)</w:t>
      </w:r>
    </w:p>
  </w:footnote>
  <w:footnote w:id="14">
    <w:p w14:paraId="3A88F138" w14:textId="77777777" w:rsidR="002E53B0" w:rsidRPr="00B25C15" w:rsidRDefault="002E53B0" w:rsidP="002E53B0">
      <w:pPr>
        <w:pStyle w:val="Voetnoottekst"/>
        <w:spacing w:line="240" w:lineRule="auto"/>
        <w:rPr>
          <w:szCs w:val="16"/>
        </w:rPr>
      </w:pPr>
      <w:r w:rsidRPr="00B25C15">
        <w:rPr>
          <w:rStyle w:val="Voetnootmarkering"/>
          <w:szCs w:val="16"/>
        </w:rPr>
        <w:footnoteRef/>
      </w:r>
      <w:r w:rsidRPr="00B25C15">
        <w:rPr>
          <w:szCs w:val="16"/>
        </w:rPr>
        <w:t xml:space="preserve"> Kamerstukken II 2023/24, 29279, nr. 847.</w:t>
      </w:r>
    </w:p>
  </w:footnote>
  <w:footnote w:id="15">
    <w:p w14:paraId="329AD54D" w14:textId="77777777" w:rsidR="002E53B0" w:rsidRPr="00292E71" w:rsidRDefault="002E53B0" w:rsidP="002E53B0">
      <w:pPr>
        <w:pStyle w:val="Voetnoottekst"/>
        <w:spacing w:line="240" w:lineRule="auto"/>
      </w:pPr>
      <w:r>
        <w:rPr>
          <w:rStyle w:val="Voetnootmarkering"/>
        </w:rPr>
        <w:footnoteRef/>
      </w:r>
      <w:r>
        <w:t xml:space="preserve"> Kamerstukken II, 2024/25, </w:t>
      </w:r>
      <w:r w:rsidRPr="00292E71">
        <w:t>29279</w:t>
      </w:r>
      <w:r>
        <w:t xml:space="preserve">, </w:t>
      </w:r>
      <w:proofErr w:type="spellStart"/>
      <w:r>
        <w:t>nrs</w:t>
      </w:r>
      <w:proofErr w:type="spellEnd"/>
      <w:r>
        <w:t xml:space="preserve">. </w:t>
      </w:r>
      <w:r w:rsidRPr="00292E71">
        <w:t>974</w:t>
      </w:r>
      <w:r>
        <w:t xml:space="preserve"> en 1005.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F7A28" w14:textId="77777777" w:rsidR="008F402A" w:rsidRDefault="00E56047">
    <w:r>
      <w:rPr>
        <w:noProof/>
      </w:rPr>
      <mc:AlternateContent>
        <mc:Choice Requires="wps">
          <w:drawing>
            <wp:anchor distT="0" distB="0" distL="0" distR="0" simplePos="0" relativeHeight="251652096" behindDoc="0" locked="1" layoutInCell="1" allowOverlap="1" wp14:anchorId="1158C2E9" wp14:editId="153A1F64">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9A599AE" w14:textId="77777777" w:rsidR="00E56047" w:rsidRDefault="00E56047"/>
                      </w:txbxContent>
                    </wps:txbx>
                    <wps:bodyPr vert="horz" wrap="square" lIns="0" tIns="0" rIns="0" bIns="0" anchor="t" anchorCtr="0"/>
                  </wps:wsp>
                </a:graphicData>
              </a:graphic>
            </wp:anchor>
          </w:drawing>
        </mc:Choice>
        <mc:Fallback>
          <w:pict>
            <v:shapetype w14:anchorId="1158C2E9"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59A599AE" w14:textId="77777777" w:rsidR="00E56047" w:rsidRDefault="00E56047"/>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71D30263" wp14:editId="470F7F9C">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31A9762" w14:textId="03F45484" w:rsidR="008F402A" w:rsidRPr="0047529F" w:rsidRDefault="00E56047" w:rsidP="0047529F">
                          <w:pPr>
                            <w:pStyle w:val="Referentiegegevens"/>
                            <w:rPr>
                              <w:b/>
                              <w:bCs/>
                            </w:rPr>
                          </w:pPr>
                          <w:r w:rsidRPr="0047529F">
                            <w:rPr>
                              <w:b/>
                              <w:bCs/>
                            </w:rPr>
                            <w:t>Directie Wetgeving en Juridische Zaken</w:t>
                          </w:r>
                          <w:r w:rsidR="0047529F" w:rsidRPr="0047529F">
                            <w:rPr>
                              <w:b/>
                              <w:bCs/>
                            </w:rPr>
                            <w:t xml:space="preserve"> / Directoraat-Generaal Rechtspleging en Rechtshandhaving </w:t>
                          </w:r>
                        </w:p>
                        <w:p w14:paraId="3003B548" w14:textId="77777777" w:rsidR="0047529F" w:rsidRPr="0047529F" w:rsidRDefault="0047529F" w:rsidP="0047529F"/>
                        <w:p w14:paraId="0E2E7D3F" w14:textId="77777777" w:rsidR="008F402A" w:rsidRDefault="00E56047">
                          <w:pPr>
                            <w:pStyle w:val="Referentiegegevensbold"/>
                          </w:pPr>
                          <w:r>
                            <w:t>Datum</w:t>
                          </w:r>
                        </w:p>
                        <w:p w14:paraId="288789EB" w14:textId="2398D733" w:rsidR="008F402A" w:rsidRDefault="0047705F">
                          <w:pPr>
                            <w:pStyle w:val="Referentiegegevens"/>
                          </w:pPr>
                          <w:sdt>
                            <w:sdtPr>
                              <w:id w:val="-1553685552"/>
                              <w:date w:fullDate="2026-02-06T00:00:00Z">
                                <w:dateFormat w:val="d MMMM yyyy"/>
                                <w:lid w:val="nl"/>
                                <w:storeMappedDataAs w:val="dateTime"/>
                                <w:calendar w:val="gregorian"/>
                              </w:date>
                            </w:sdtPr>
                            <w:sdtEndPr/>
                            <w:sdtContent>
                              <w:r>
                                <w:rPr>
                                  <w:lang w:val="nl"/>
                                </w:rPr>
                                <w:t>6 februari 2026</w:t>
                              </w:r>
                            </w:sdtContent>
                          </w:sdt>
                        </w:p>
                        <w:p w14:paraId="72C2C067" w14:textId="77777777" w:rsidR="008F402A" w:rsidRDefault="008F402A">
                          <w:pPr>
                            <w:pStyle w:val="WitregelW1"/>
                          </w:pPr>
                        </w:p>
                        <w:p w14:paraId="345C2CED" w14:textId="77777777" w:rsidR="008F402A" w:rsidRDefault="00E56047">
                          <w:pPr>
                            <w:pStyle w:val="Referentiegegevensbold"/>
                          </w:pPr>
                          <w:r>
                            <w:t>Onze referentie</w:t>
                          </w:r>
                        </w:p>
                        <w:p w14:paraId="4F343D2A" w14:textId="77777777" w:rsidR="008F402A" w:rsidRDefault="00E56047">
                          <w:pPr>
                            <w:pStyle w:val="Referentiegegevens"/>
                          </w:pPr>
                          <w:r>
                            <w:t>6816271</w:t>
                          </w:r>
                        </w:p>
                      </w:txbxContent>
                    </wps:txbx>
                    <wps:bodyPr vert="horz" wrap="square" lIns="0" tIns="0" rIns="0" bIns="0" anchor="t" anchorCtr="0"/>
                  </wps:wsp>
                </a:graphicData>
              </a:graphic>
            </wp:anchor>
          </w:drawing>
        </mc:Choice>
        <mc:Fallback>
          <w:pict>
            <v:shapetype w14:anchorId="71D30263" id="_x0000_t202" coordsize="21600,21600" o:spt="202" path="m,l,21600r21600,l21600,xe">
              <v:stroke joinstyle="miter"/>
              <v:path gradientshapeok="t" o:connecttype="rect"/>
            </v:shapetype>
            <v:shape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631A9762" w14:textId="03F45484" w:rsidR="008F402A" w:rsidRPr="0047529F" w:rsidRDefault="00E56047" w:rsidP="0047529F">
                    <w:pPr>
                      <w:pStyle w:val="Referentiegegevens"/>
                      <w:rPr>
                        <w:b/>
                        <w:bCs/>
                      </w:rPr>
                    </w:pPr>
                    <w:r w:rsidRPr="0047529F">
                      <w:rPr>
                        <w:b/>
                        <w:bCs/>
                      </w:rPr>
                      <w:t>Directie Wetgeving en Juridische Zaken</w:t>
                    </w:r>
                    <w:r w:rsidR="0047529F" w:rsidRPr="0047529F">
                      <w:rPr>
                        <w:b/>
                        <w:bCs/>
                      </w:rPr>
                      <w:t xml:space="preserve"> / Directoraat-Generaal Rechtspleging en Rechtshandhaving </w:t>
                    </w:r>
                  </w:p>
                  <w:p w14:paraId="3003B548" w14:textId="77777777" w:rsidR="0047529F" w:rsidRPr="0047529F" w:rsidRDefault="0047529F" w:rsidP="0047529F"/>
                  <w:p w14:paraId="0E2E7D3F" w14:textId="77777777" w:rsidR="008F402A" w:rsidRDefault="00E56047">
                    <w:pPr>
                      <w:pStyle w:val="Referentiegegevensbold"/>
                    </w:pPr>
                    <w:r>
                      <w:t>Datum</w:t>
                    </w:r>
                  </w:p>
                  <w:p w14:paraId="288789EB" w14:textId="2398D733" w:rsidR="008F402A" w:rsidRDefault="0047705F">
                    <w:pPr>
                      <w:pStyle w:val="Referentiegegevens"/>
                    </w:pPr>
                    <w:sdt>
                      <w:sdtPr>
                        <w:id w:val="-1553685552"/>
                        <w:date w:fullDate="2026-02-06T00:00:00Z">
                          <w:dateFormat w:val="d MMMM yyyy"/>
                          <w:lid w:val="nl"/>
                          <w:storeMappedDataAs w:val="dateTime"/>
                          <w:calendar w:val="gregorian"/>
                        </w:date>
                      </w:sdtPr>
                      <w:sdtEndPr/>
                      <w:sdtContent>
                        <w:r>
                          <w:rPr>
                            <w:lang w:val="nl"/>
                          </w:rPr>
                          <w:t>6 februari 2026</w:t>
                        </w:r>
                      </w:sdtContent>
                    </w:sdt>
                  </w:p>
                  <w:p w14:paraId="72C2C067" w14:textId="77777777" w:rsidR="008F402A" w:rsidRDefault="008F402A">
                    <w:pPr>
                      <w:pStyle w:val="WitregelW1"/>
                    </w:pPr>
                  </w:p>
                  <w:p w14:paraId="345C2CED" w14:textId="77777777" w:rsidR="008F402A" w:rsidRDefault="00E56047">
                    <w:pPr>
                      <w:pStyle w:val="Referentiegegevensbold"/>
                    </w:pPr>
                    <w:r>
                      <w:t>Onze referentie</w:t>
                    </w:r>
                  </w:p>
                  <w:p w14:paraId="4F343D2A" w14:textId="77777777" w:rsidR="008F402A" w:rsidRDefault="00E56047">
                    <w:pPr>
                      <w:pStyle w:val="Referentiegegevens"/>
                    </w:pPr>
                    <w:r>
                      <w:t>6816271</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89F5006" wp14:editId="52CDD38A">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CC6844D" w14:textId="77777777" w:rsidR="00E56047" w:rsidRDefault="00E56047"/>
                      </w:txbxContent>
                    </wps:txbx>
                    <wps:bodyPr vert="horz" wrap="square" lIns="0" tIns="0" rIns="0" bIns="0" anchor="t" anchorCtr="0"/>
                  </wps:wsp>
                </a:graphicData>
              </a:graphic>
            </wp:anchor>
          </w:drawing>
        </mc:Choice>
        <mc:Fallback>
          <w:pict>
            <v:shape w14:anchorId="389F5006"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0CC6844D" w14:textId="77777777" w:rsidR="00E56047" w:rsidRDefault="00E56047"/>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3D393B69" wp14:editId="57A902A9">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EFE3DF1" w14:textId="109CAEC7" w:rsidR="008F402A" w:rsidRDefault="00E56047">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3D393B69"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EFE3DF1" w14:textId="109CAEC7" w:rsidR="008F402A" w:rsidRDefault="00E56047">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830BE" w14:textId="77777777" w:rsidR="008F402A" w:rsidRDefault="00E56047">
    <w:pPr>
      <w:spacing w:after="6377" w:line="14" w:lineRule="exact"/>
    </w:pPr>
    <w:r>
      <w:rPr>
        <w:noProof/>
      </w:rPr>
      <mc:AlternateContent>
        <mc:Choice Requires="wps">
          <w:drawing>
            <wp:anchor distT="0" distB="0" distL="0" distR="0" simplePos="0" relativeHeight="251656192" behindDoc="0" locked="1" layoutInCell="1" allowOverlap="1" wp14:anchorId="09D7ED3B" wp14:editId="3BB4B020">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B92955F" w14:textId="77777777" w:rsidR="008F402A" w:rsidRDefault="00E56047">
                          <w:pPr>
                            <w:spacing w:line="240" w:lineRule="auto"/>
                          </w:pPr>
                          <w:r>
                            <w:rPr>
                              <w:noProof/>
                            </w:rPr>
                            <w:drawing>
                              <wp:inline distT="0" distB="0" distL="0" distR="0" wp14:anchorId="5E3F93C3" wp14:editId="48148C09">
                                <wp:extent cx="467995" cy="1583865"/>
                                <wp:effectExtent l="0" t="0" r="0" b="0"/>
                                <wp:docPr id="1417302401"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9D7ED3B"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4B92955F" w14:textId="77777777" w:rsidR="008F402A" w:rsidRDefault="00E56047">
                    <w:pPr>
                      <w:spacing w:line="240" w:lineRule="auto"/>
                    </w:pPr>
                    <w:r>
                      <w:rPr>
                        <w:noProof/>
                      </w:rPr>
                      <w:drawing>
                        <wp:inline distT="0" distB="0" distL="0" distR="0" wp14:anchorId="5E3F93C3" wp14:editId="48148C09">
                          <wp:extent cx="467995" cy="1583865"/>
                          <wp:effectExtent l="0" t="0" r="0" b="0"/>
                          <wp:docPr id="1417302401"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DD57E3D" wp14:editId="2258AFFF">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2F121FF" w14:textId="77777777" w:rsidR="008F402A" w:rsidRDefault="00E56047">
                          <w:pPr>
                            <w:spacing w:line="240" w:lineRule="auto"/>
                          </w:pPr>
                          <w:r>
                            <w:rPr>
                              <w:noProof/>
                            </w:rPr>
                            <w:drawing>
                              <wp:inline distT="0" distB="0" distL="0" distR="0" wp14:anchorId="574D1A32" wp14:editId="43F2E3B4">
                                <wp:extent cx="2339975" cy="1582834"/>
                                <wp:effectExtent l="0" t="0" r="0" b="0"/>
                                <wp:docPr id="113688719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DD57E3D"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32F121FF" w14:textId="77777777" w:rsidR="008F402A" w:rsidRDefault="00E56047">
                    <w:pPr>
                      <w:spacing w:line="240" w:lineRule="auto"/>
                    </w:pPr>
                    <w:r>
                      <w:rPr>
                        <w:noProof/>
                      </w:rPr>
                      <w:drawing>
                        <wp:inline distT="0" distB="0" distL="0" distR="0" wp14:anchorId="574D1A32" wp14:editId="43F2E3B4">
                          <wp:extent cx="2339975" cy="1582834"/>
                          <wp:effectExtent l="0" t="0" r="0" b="0"/>
                          <wp:docPr id="113688719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F648834" wp14:editId="0ECA0012">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3F57BEB" w14:textId="77777777" w:rsidR="008F402A" w:rsidRDefault="00E56047">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3F648834"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33F57BEB" w14:textId="77777777" w:rsidR="008F402A" w:rsidRDefault="00E56047">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6716975" wp14:editId="77E7B32C">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959AC41" w14:textId="77777777" w:rsidR="00135DDE" w:rsidRDefault="00021C9F" w:rsidP="00021C9F">
                          <w:pPr>
                            <w:pStyle w:val="adres"/>
                          </w:pPr>
                          <w:r w:rsidRPr="007239E7">
                            <w:t xml:space="preserve">Aan de Voorzitter van de Tweede Kamer </w:t>
                          </w:r>
                        </w:p>
                        <w:p w14:paraId="335A9550" w14:textId="5F53B528" w:rsidR="00021C9F" w:rsidRPr="007239E7" w:rsidRDefault="00021C9F" w:rsidP="00021C9F">
                          <w:pPr>
                            <w:pStyle w:val="adres"/>
                          </w:pPr>
                          <w:r w:rsidRPr="007239E7">
                            <w:t>der Staten-Generaal</w:t>
                          </w:r>
                        </w:p>
                        <w:p w14:paraId="351EFB33" w14:textId="77777777" w:rsidR="00021C9F" w:rsidRPr="007239E7" w:rsidRDefault="00021C9F" w:rsidP="00021C9F">
                          <w:pPr>
                            <w:pStyle w:val="adres"/>
                          </w:pPr>
                          <w:r w:rsidRPr="007239E7">
                            <w:t>Postbus 20018</w:t>
                          </w:r>
                        </w:p>
                        <w:p w14:paraId="0097A4E7" w14:textId="77777777" w:rsidR="00021C9F" w:rsidRPr="007239E7" w:rsidRDefault="00021C9F" w:rsidP="00021C9F">
                          <w:pPr>
                            <w:pStyle w:val="adres"/>
                          </w:pPr>
                          <w:r w:rsidRPr="007239E7">
                            <w:t>2500 EA  DEN HAAG</w:t>
                          </w:r>
                          <w:r w:rsidRPr="007239E7">
                            <w:fldChar w:fldCharType="begin"/>
                          </w:r>
                          <w:r w:rsidRPr="007239E7">
                            <w:instrText xml:space="preserve"> DOCVARIABLE adres *\MERGEFORMAT </w:instrText>
                          </w:r>
                          <w:r w:rsidRPr="007239E7">
                            <w:fldChar w:fldCharType="separate"/>
                          </w:r>
                          <w:r w:rsidRPr="007239E7">
                            <w:t xml:space="preserve"> </w:t>
                          </w:r>
                          <w:r w:rsidRPr="007239E7">
                            <w:fldChar w:fldCharType="end"/>
                          </w:r>
                        </w:p>
                        <w:p w14:paraId="619BC853" w14:textId="24E433D9" w:rsidR="00686259" w:rsidRPr="007239E7" w:rsidRDefault="00686259" w:rsidP="00686259">
                          <w:pPr>
                            <w:pStyle w:val="adres"/>
                          </w:pPr>
                          <w:r w:rsidRPr="007239E7">
                            <w:fldChar w:fldCharType="begin"/>
                          </w:r>
                          <w:r w:rsidRPr="007239E7">
                            <w:instrText xml:space="preserve"> DOCVARIABLE adres *\MERGEFORMAT </w:instrText>
                          </w:r>
                          <w:r w:rsidRPr="007239E7">
                            <w:fldChar w:fldCharType="separate"/>
                          </w:r>
                          <w:r w:rsidRPr="007239E7">
                            <w:t xml:space="preserve"> </w:t>
                          </w:r>
                          <w:r w:rsidRPr="007239E7">
                            <w:fldChar w:fldCharType="end"/>
                          </w:r>
                        </w:p>
                        <w:p w14:paraId="76C49F8B" w14:textId="2FC1E6C1" w:rsidR="00E56047" w:rsidRPr="007239E7" w:rsidRDefault="00E56047" w:rsidP="00E56047">
                          <w:pPr>
                            <w:pStyle w:val="adres"/>
                          </w:pPr>
                          <w:r w:rsidRPr="00F05600">
                            <w:rPr>
                              <w:highlight w:val="yellow"/>
                            </w:rPr>
                            <w:fldChar w:fldCharType="begin"/>
                          </w:r>
                          <w:r w:rsidRPr="00F05600">
                            <w:rPr>
                              <w:highlight w:val="yellow"/>
                            </w:rPr>
                            <w:instrText xml:space="preserve"> DOCVARIABLE adres *\MERGEFORMAT </w:instrText>
                          </w:r>
                          <w:r w:rsidRPr="00F05600">
                            <w:rPr>
                              <w:highlight w:val="yellow"/>
                            </w:rPr>
                            <w:fldChar w:fldCharType="separate"/>
                          </w:r>
                          <w:r w:rsidRPr="00F05600">
                            <w:rPr>
                              <w:highlight w:val="yellow"/>
                            </w:rPr>
                            <w:t xml:space="preserve"> </w:t>
                          </w:r>
                          <w:r w:rsidRPr="00F05600">
                            <w:rPr>
                              <w:highlight w:val="yellow"/>
                            </w:rPr>
                            <w:fldChar w:fldCharType="end"/>
                          </w:r>
                        </w:p>
                        <w:p w14:paraId="3E76DE47" w14:textId="48FB2CC6" w:rsidR="008F402A" w:rsidRDefault="008F402A"/>
                      </w:txbxContent>
                    </wps:txbx>
                    <wps:bodyPr vert="horz" wrap="square" lIns="0" tIns="0" rIns="0" bIns="0" anchor="t" anchorCtr="0"/>
                  </wps:wsp>
                </a:graphicData>
              </a:graphic>
            </wp:anchor>
          </w:drawing>
        </mc:Choice>
        <mc:Fallback>
          <w:pict>
            <v:shape w14:anchorId="76716975"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2959AC41" w14:textId="77777777" w:rsidR="00135DDE" w:rsidRDefault="00021C9F" w:rsidP="00021C9F">
                    <w:pPr>
                      <w:pStyle w:val="adres"/>
                    </w:pPr>
                    <w:r w:rsidRPr="007239E7">
                      <w:t xml:space="preserve">Aan de Voorzitter van de Tweede Kamer </w:t>
                    </w:r>
                  </w:p>
                  <w:p w14:paraId="335A9550" w14:textId="5F53B528" w:rsidR="00021C9F" w:rsidRPr="007239E7" w:rsidRDefault="00021C9F" w:rsidP="00021C9F">
                    <w:pPr>
                      <w:pStyle w:val="adres"/>
                    </w:pPr>
                    <w:r w:rsidRPr="007239E7">
                      <w:t>der Staten-Generaal</w:t>
                    </w:r>
                  </w:p>
                  <w:p w14:paraId="351EFB33" w14:textId="77777777" w:rsidR="00021C9F" w:rsidRPr="007239E7" w:rsidRDefault="00021C9F" w:rsidP="00021C9F">
                    <w:pPr>
                      <w:pStyle w:val="adres"/>
                    </w:pPr>
                    <w:r w:rsidRPr="007239E7">
                      <w:t>Postbus 20018</w:t>
                    </w:r>
                  </w:p>
                  <w:p w14:paraId="0097A4E7" w14:textId="77777777" w:rsidR="00021C9F" w:rsidRPr="007239E7" w:rsidRDefault="00021C9F" w:rsidP="00021C9F">
                    <w:pPr>
                      <w:pStyle w:val="adres"/>
                    </w:pPr>
                    <w:r w:rsidRPr="007239E7">
                      <w:t>2500 EA  DEN HAAG</w:t>
                    </w:r>
                    <w:r w:rsidRPr="007239E7">
                      <w:fldChar w:fldCharType="begin"/>
                    </w:r>
                    <w:r w:rsidRPr="007239E7">
                      <w:instrText xml:space="preserve"> DOCVARIABLE adres *\MERGEFORMAT </w:instrText>
                    </w:r>
                    <w:r w:rsidRPr="007239E7">
                      <w:fldChar w:fldCharType="separate"/>
                    </w:r>
                    <w:r w:rsidRPr="007239E7">
                      <w:t xml:space="preserve"> </w:t>
                    </w:r>
                    <w:r w:rsidRPr="007239E7">
                      <w:fldChar w:fldCharType="end"/>
                    </w:r>
                  </w:p>
                  <w:p w14:paraId="619BC853" w14:textId="24E433D9" w:rsidR="00686259" w:rsidRPr="007239E7" w:rsidRDefault="00686259" w:rsidP="00686259">
                    <w:pPr>
                      <w:pStyle w:val="adres"/>
                    </w:pPr>
                    <w:r w:rsidRPr="007239E7">
                      <w:fldChar w:fldCharType="begin"/>
                    </w:r>
                    <w:r w:rsidRPr="007239E7">
                      <w:instrText xml:space="preserve"> DOCVARIABLE adres *\MERGEFORMAT </w:instrText>
                    </w:r>
                    <w:r w:rsidRPr="007239E7">
                      <w:fldChar w:fldCharType="separate"/>
                    </w:r>
                    <w:r w:rsidRPr="007239E7">
                      <w:t xml:space="preserve"> </w:t>
                    </w:r>
                    <w:r w:rsidRPr="007239E7">
                      <w:fldChar w:fldCharType="end"/>
                    </w:r>
                  </w:p>
                  <w:p w14:paraId="76C49F8B" w14:textId="2FC1E6C1" w:rsidR="00E56047" w:rsidRPr="007239E7" w:rsidRDefault="00E56047" w:rsidP="00E56047">
                    <w:pPr>
                      <w:pStyle w:val="adres"/>
                    </w:pPr>
                    <w:r w:rsidRPr="00F05600">
                      <w:rPr>
                        <w:highlight w:val="yellow"/>
                      </w:rPr>
                      <w:fldChar w:fldCharType="begin"/>
                    </w:r>
                    <w:r w:rsidRPr="00F05600">
                      <w:rPr>
                        <w:highlight w:val="yellow"/>
                      </w:rPr>
                      <w:instrText xml:space="preserve"> DOCVARIABLE adres *\MERGEFORMAT </w:instrText>
                    </w:r>
                    <w:r w:rsidRPr="00F05600">
                      <w:rPr>
                        <w:highlight w:val="yellow"/>
                      </w:rPr>
                      <w:fldChar w:fldCharType="separate"/>
                    </w:r>
                    <w:r w:rsidRPr="00F05600">
                      <w:rPr>
                        <w:highlight w:val="yellow"/>
                      </w:rPr>
                      <w:t xml:space="preserve"> </w:t>
                    </w:r>
                    <w:r w:rsidRPr="00F05600">
                      <w:rPr>
                        <w:highlight w:val="yellow"/>
                      </w:rPr>
                      <w:fldChar w:fldCharType="end"/>
                    </w:r>
                  </w:p>
                  <w:p w14:paraId="3E76DE47" w14:textId="48FB2CC6" w:rsidR="008F402A" w:rsidRDefault="008F402A"/>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ED1A0FD" wp14:editId="1B19C315">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F402A" w14:paraId="0693DF80" w14:textId="77777777">
                            <w:trPr>
                              <w:trHeight w:val="240"/>
                            </w:trPr>
                            <w:tc>
                              <w:tcPr>
                                <w:tcW w:w="1140" w:type="dxa"/>
                              </w:tcPr>
                              <w:p w14:paraId="5CCC62AA" w14:textId="77777777" w:rsidR="008F402A" w:rsidRDefault="00E56047">
                                <w:r>
                                  <w:t>Datum</w:t>
                                </w:r>
                              </w:p>
                            </w:tc>
                            <w:tc>
                              <w:tcPr>
                                <w:tcW w:w="5918" w:type="dxa"/>
                              </w:tcPr>
                              <w:p w14:paraId="27F1E967" w14:textId="69983F08" w:rsidR="008F402A" w:rsidRDefault="0047705F">
                                <w:r>
                                  <w:t>6</w:t>
                                </w:r>
                                <w:r w:rsidR="00135DDE">
                                  <w:t xml:space="preserve"> </w:t>
                                </w:r>
                                <w:r w:rsidR="00B7373C">
                                  <w:t>februari</w:t>
                                </w:r>
                                <w:r w:rsidR="002E53B0">
                                  <w:t xml:space="preserve"> 2026</w:t>
                                </w:r>
                              </w:p>
                            </w:tc>
                          </w:tr>
                          <w:tr w:rsidR="008F402A" w14:paraId="77E0BAF1" w14:textId="77777777">
                            <w:trPr>
                              <w:trHeight w:val="240"/>
                            </w:trPr>
                            <w:tc>
                              <w:tcPr>
                                <w:tcW w:w="1140" w:type="dxa"/>
                              </w:tcPr>
                              <w:p w14:paraId="71F1E51F" w14:textId="77777777" w:rsidR="008F402A" w:rsidRDefault="00E56047">
                                <w:r>
                                  <w:t>Betreft</w:t>
                                </w:r>
                              </w:p>
                            </w:tc>
                            <w:tc>
                              <w:tcPr>
                                <w:tcW w:w="5918" w:type="dxa"/>
                              </w:tcPr>
                              <w:p w14:paraId="67EFDC3B" w14:textId="77777777" w:rsidR="008F402A" w:rsidRDefault="00E56047">
                                <w:r>
                                  <w:t>Elfde voortgangsrapportage wetgevingsprogramma nieuw Wetboek van Strafvordering</w:t>
                                </w:r>
                              </w:p>
                            </w:tc>
                          </w:tr>
                        </w:tbl>
                        <w:p w14:paraId="0370A4E4" w14:textId="77777777" w:rsidR="00E56047" w:rsidRDefault="00E56047"/>
                      </w:txbxContent>
                    </wps:txbx>
                    <wps:bodyPr vert="horz" wrap="square" lIns="0" tIns="0" rIns="0" bIns="0" anchor="t" anchorCtr="0"/>
                  </wps:wsp>
                </a:graphicData>
              </a:graphic>
            </wp:anchor>
          </w:drawing>
        </mc:Choice>
        <mc:Fallback>
          <w:pict>
            <v:shapetype w14:anchorId="0ED1A0FD" id="_x0000_t202" coordsize="21600,21600" o:spt="202" path="m,l,21600r21600,l21600,xe">
              <v:stroke joinstyle="miter"/>
              <v:path gradientshapeok="t" o:connecttype="rect"/>
            </v:shapetype>
            <v:shape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F402A" w14:paraId="0693DF80" w14:textId="77777777">
                      <w:trPr>
                        <w:trHeight w:val="240"/>
                      </w:trPr>
                      <w:tc>
                        <w:tcPr>
                          <w:tcW w:w="1140" w:type="dxa"/>
                        </w:tcPr>
                        <w:p w14:paraId="5CCC62AA" w14:textId="77777777" w:rsidR="008F402A" w:rsidRDefault="00E56047">
                          <w:r>
                            <w:t>Datum</w:t>
                          </w:r>
                        </w:p>
                      </w:tc>
                      <w:tc>
                        <w:tcPr>
                          <w:tcW w:w="5918" w:type="dxa"/>
                        </w:tcPr>
                        <w:p w14:paraId="27F1E967" w14:textId="69983F08" w:rsidR="008F402A" w:rsidRDefault="0047705F">
                          <w:r>
                            <w:t>6</w:t>
                          </w:r>
                          <w:r w:rsidR="00135DDE">
                            <w:t xml:space="preserve"> </w:t>
                          </w:r>
                          <w:r w:rsidR="00B7373C">
                            <w:t>februari</w:t>
                          </w:r>
                          <w:r w:rsidR="002E53B0">
                            <w:t xml:space="preserve"> 2026</w:t>
                          </w:r>
                        </w:p>
                      </w:tc>
                    </w:tr>
                    <w:tr w:rsidR="008F402A" w14:paraId="77E0BAF1" w14:textId="77777777">
                      <w:trPr>
                        <w:trHeight w:val="240"/>
                      </w:trPr>
                      <w:tc>
                        <w:tcPr>
                          <w:tcW w:w="1140" w:type="dxa"/>
                        </w:tcPr>
                        <w:p w14:paraId="71F1E51F" w14:textId="77777777" w:rsidR="008F402A" w:rsidRDefault="00E56047">
                          <w:r>
                            <w:t>Betreft</w:t>
                          </w:r>
                        </w:p>
                      </w:tc>
                      <w:tc>
                        <w:tcPr>
                          <w:tcW w:w="5918" w:type="dxa"/>
                        </w:tcPr>
                        <w:p w14:paraId="67EFDC3B" w14:textId="77777777" w:rsidR="008F402A" w:rsidRDefault="00E56047">
                          <w:r>
                            <w:t>Elfde voortgangsrapportage wetgevingsprogramma nieuw Wetboek van Strafvordering</w:t>
                          </w:r>
                        </w:p>
                      </w:tc>
                    </w:tr>
                  </w:tbl>
                  <w:p w14:paraId="0370A4E4" w14:textId="77777777" w:rsidR="00E56047" w:rsidRDefault="00E56047"/>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65DC6CF" wp14:editId="16A0C64C">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C291629" w14:textId="32246A32" w:rsidR="008F402A" w:rsidRPr="0047529F" w:rsidRDefault="00E56047">
                          <w:pPr>
                            <w:pStyle w:val="Referentiegegevens"/>
                            <w:rPr>
                              <w:b/>
                              <w:bCs/>
                            </w:rPr>
                          </w:pPr>
                          <w:r w:rsidRPr="0047529F">
                            <w:rPr>
                              <w:b/>
                              <w:bCs/>
                            </w:rPr>
                            <w:t>Directie Wetgeving en Juridische Zaken</w:t>
                          </w:r>
                          <w:r w:rsidR="0047529F">
                            <w:rPr>
                              <w:b/>
                              <w:bCs/>
                            </w:rPr>
                            <w:t xml:space="preserve"> / Directoraat-Generaal Rechtspleging en Rechtshandhaving</w:t>
                          </w:r>
                        </w:p>
                        <w:p w14:paraId="4F442FFC" w14:textId="77777777" w:rsidR="008F402A" w:rsidRDefault="008F402A">
                          <w:pPr>
                            <w:pStyle w:val="WitregelW1"/>
                          </w:pPr>
                        </w:p>
                        <w:p w14:paraId="05F1B197" w14:textId="77777777" w:rsidR="008F402A" w:rsidRPr="00496FB2" w:rsidRDefault="00E56047">
                          <w:pPr>
                            <w:pStyle w:val="Referentiegegevens"/>
                            <w:rPr>
                              <w:lang w:val="de-DE"/>
                            </w:rPr>
                          </w:pPr>
                          <w:proofErr w:type="spellStart"/>
                          <w:r w:rsidRPr="00496FB2">
                            <w:rPr>
                              <w:lang w:val="de-DE"/>
                            </w:rPr>
                            <w:t>Turfmarkt</w:t>
                          </w:r>
                          <w:proofErr w:type="spellEnd"/>
                          <w:r w:rsidRPr="00496FB2">
                            <w:rPr>
                              <w:lang w:val="de-DE"/>
                            </w:rPr>
                            <w:t xml:space="preserve"> 147</w:t>
                          </w:r>
                        </w:p>
                        <w:p w14:paraId="24369592" w14:textId="77777777" w:rsidR="008F402A" w:rsidRPr="00496FB2" w:rsidRDefault="00E56047">
                          <w:pPr>
                            <w:pStyle w:val="Referentiegegevens"/>
                            <w:rPr>
                              <w:lang w:val="de-DE"/>
                            </w:rPr>
                          </w:pPr>
                          <w:r w:rsidRPr="00496FB2">
                            <w:rPr>
                              <w:lang w:val="de-DE"/>
                            </w:rPr>
                            <w:t>2511 DP   Den Haag</w:t>
                          </w:r>
                        </w:p>
                        <w:p w14:paraId="5D14BFDA" w14:textId="77777777" w:rsidR="008F402A" w:rsidRPr="003B504C" w:rsidRDefault="00E56047">
                          <w:pPr>
                            <w:pStyle w:val="Referentiegegevens"/>
                            <w:rPr>
                              <w:lang w:val="de-DE"/>
                            </w:rPr>
                          </w:pPr>
                          <w:r w:rsidRPr="003B504C">
                            <w:rPr>
                              <w:lang w:val="de-DE"/>
                            </w:rPr>
                            <w:t>Postbus 20301</w:t>
                          </w:r>
                        </w:p>
                        <w:p w14:paraId="001108C8" w14:textId="77777777" w:rsidR="008F402A" w:rsidRPr="003B504C" w:rsidRDefault="00E56047">
                          <w:pPr>
                            <w:pStyle w:val="Referentiegegevens"/>
                            <w:rPr>
                              <w:lang w:val="de-DE"/>
                            </w:rPr>
                          </w:pPr>
                          <w:r w:rsidRPr="003B504C">
                            <w:rPr>
                              <w:lang w:val="de-DE"/>
                            </w:rPr>
                            <w:t>2500 EH   Den Haag</w:t>
                          </w:r>
                        </w:p>
                        <w:p w14:paraId="288A9A6D" w14:textId="77777777" w:rsidR="008F402A" w:rsidRPr="003B504C" w:rsidRDefault="00E56047">
                          <w:pPr>
                            <w:pStyle w:val="Referentiegegevens"/>
                            <w:rPr>
                              <w:lang w:val="de-DE"/>
                            </w:rPr>
                          </w:pPr>
                          <w:r w:rsidRPr="003B504C">
                            <w:rPr>
                              <w:lang w:val="de-DE"/>
                            </w:rPr>
                            <w:t>www.rijksoverheid.nl/jenv</w:t>
                          </w:r>
                        </w:p>
                        <w:p w14:paraId="68532329" w14:textId="77777777" w:rsidR="008F402A" w:rsidRPr="003B504C" w:rsidRDefault="008F402A">
                          <w:pPr>
                            <w:pStyle w:val="WitregelW1"/>
                            <w:rPr>
                              <w:lang w:val="de-DE"/>
                            </w:rPr>
                          </w:pPr>
                        </w:p>
                        <w:p w14:paraId="773CA0EF" w14:textId="77777777" w:rsidR="008F402A" w:rsidRPr="003B504C" w:rsidRDefault="008F402A">
                          <w:pPr>
                            <w:pStyle w:val="WitregelW2"/>
                            <w:rPr>
                              <w:lang w:val="de-DE"/>
                            </w:rPr>
                          </w:pPr>
                        </w:p>
                        <w:p w14:paraId="6BF6E137" w14:textId="77777777" w:rsidR="008F402A" w:rsidRDefault="00E56047">
                          <w:pPr>
                            <w:pStyle w:val="Referentiegegevensbold"/>
                          </w:pPr>
                          <w:r>
                            <w:t>Onze referentie</w:t>
                          </w:r>
                        </w:p>
                        <w:p w14:paraId="792AE680" w14:textId="77777777" w:rsidR="008F402A" w:rsidRDefault="00E56047">
                          <w:pPr>
                            <w:pStyle w:val="Referentiegegevens"/>
                          </w:pPr>
                          <w:r>
                            <w:t>6816271</w:t>
                          </w:r>
                        </w:p>
                        <w:p w14:paraId="7DD9AF83" w14:textId="77777777" w:rsidR="008F402A" w:rsidRDefault="008F402A">
                          <w:pPr>
                            <w:pStyle w:val="WitregelW1"/>
                          </w:pPr>
                        </w:p>
                        <w:p w14:paraId="6400AD64" w14:textId="3B57F2F7" w:rsidR="008F402A" w:rsidRDefault="008F402A">
                          <w:pPr>
                            <w:pStyle w:val="Referentiegegevens"/>
                          </w:pPr>
                        </w:p>
                      </w:txbxContent>
                    </wps:txbx>
                    <wps:bodyPr vert="horz" wrap="square" lIns="0" tIns="0" rIns="0" bIns="0" anchor="t" anchorCtr="0"/>
                  </wps:wsp>
                </a:graphicData>
              </a:graphic>
            </wp:anchor>
          </w:drawing>
        </mc:Choice>
        <mc:Fallback>
          <w:pict>
            <v:shape w14:anchorId="465DC6CF"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7C291629" w14:textId="32246A32" w:rsidR="008F402A" w:rsidRPr="0047529F" w:rsidRDefault="00E56047">
                    <w:pPr>
                      <w:pStyle w:val="Referentiegegevens"/>
                      <w:rPr>
                        <w:b/>
                        <w:bCs/>
                      </w:rPr>
                    </w:pPr>
                    <w:r w:rsidRPr="0047529F">
                      <w:rPr>
                        <w:b/>
                        <w:bCs/>
                      </w:rPr>
                      <w:t>Directie Wetgeving en Juridische Zaken</w:t>
                    </w:r>
                    <w:r w:rsidR="0047529F">
                      <w:rPr>
                        <w:b/>
                        <w:bCs/>
                      </w:rPr>
                      <w:t xml:space="preserve"> / Directoraat-Generaal Rechtspleging en Rechtshandhaving</w:t>
                    </w:r>
                  </w:p>
                  <w:p w14:paraId="4F442FFC" w14:textId="77777777" w:rsidR="008F402A" w:rsidRDefault="008F402A">
                    <w:pPr>
                      <w:pStyle w:val="WitregelW1"/>
                    </w:pPr>
                  </w:p>
                  <w:p w14:paraId="05F1B197" w14:textId="77777777" w:rsidR="008F402A" w:rsidRPr="00496FB2" w:rsidRDefault="00E56047">
                    <w:pPr>
                      <w:pStyle w:val="Referentiegegevens"/>
                      <w:rPr>
                        <w:lang w:val="de-DE"/>
                      </w:rPr>
                    </w:pPr>
                    <w:proofErr w:type="spellStart"/>
                    <w:r w:rsidRPr="00496FB2">
                      <w:rPr>
                        <w:lang w:val="de-DE"/>
                      </w:rPr>
                      <w:t>Turfmarkt</w:t>
                    </w:r>
                    <w:proofErr w:type="spellEnd"/>
                    <w:r w:rsidRPr="00496FB2">
                      <w:rPr>
                        <w:lang w:val="de-DE"/>
                      </w:rPr>
                      <w:t xml:space="preserve"> 147</w:t>
                    </w:r>
                  </w:p>
                  <w:p w14:paraId="24369592" w14:textId="77777777" w:rsidR="008F402A" w:rsidRPr="00496FB2" w:rsidRDefault="00E56047">
                    <w:pPr>
                      <w:pStyle w:val="Referentiegegevens"/>
                      <w:rPr>
                        <w:lang w:val="de-DE"/>
                      </w:rPr>
                    </w:pPr>
                    <w:r w:rsidRPr="00496FB2">
                      <w:rPr>
                        <w:lang w:val="de-DE"/>
                      </w:rPr>
                      <w:t>2511 DP   Den Haag</w:t>
                    </w:r>
                  </w:p>
                  <w:p w14:paraId="5D14BFDA" w14:textId="77777777" w:rsidR="008F402A" w:rsidRPr="003B504C" w:rsidRDefault="00E56047">
                    <w:pPr>
                      <w:pStyle w:val="Referentiegegevens"/>
                      <w:rPr>
                        <w:lang w:val="de-DE"/>
                      </w:rPr>
                    </w:pPr>
                    <w:r w:rsidRPr="003B504C">
                      <w:rPr>
                        <w:lang w:val="de-DE"/>
                      </w:rPr>
                      <w:t>Postbus 20301</w:t>
                    </w:r>
                  </w:p>
                  <w:p w14:paraId="001108C8" w14:textId="77777777" w:rsidR="008F402A" w:rsidRPr="003B504C" w:rsidRDefault="00E56047">
                    <w:pPr>
                      <w:pStyle w:val="Referentiegegevens"/>
                      <w:rPr>
                        <w:lang w:val="de-DE"/>
                      </w:rPr>
                    </w:pPr>
                    <w:r w:rsidRPr="003B504C">
                      <w:rPr>
                        <w:lang w:val="de-DE"/>
                      </w:rPr>
                      <w:t>2500 EH   Den Haag</w:t>
                    </w:r>
                  </w:p>
                  <w:p w14:paraId="288A9A6D" w14:textId="77777777" w:rsidR="008F402A" w:rsidRPr="003B504C" w:rsidRDefault="00E56047">
                    <w:pPr>
                      <w:pStyle w:val="Referentiegegevens"/>
                      <w:rPr>
                        <w:lang w:val="de-DE"/>
                      </w:rPr>
                    </w:pPr>
                    <w:r w:rsidRPr="003B504C">
                      <w:rPr>
                        <w:lang w:val="de-DE"/>
                      </w:rPr>
                      <w:t>www.rijksoverheid.nl/jenv</w:t>
                    </w:r>
                  </w:p>
                  <w:p w14:paraId="68532329" w14:textId="77777777" w:rsidR="008F402A" w:rsidRPr="003B504C" w:rsidRDefault="008F402A">
                    <w:pPr>
                      <w:pStyle w:val="WitregelW1"/>
                      <w:rPr>
                        <w:lang w:val="de-DE"/>
                      </w:rPr>
                    </w:pPr>
                  </w:p>
                  <w:p w14:paraId="773CA0EF" w14:textId="77777777" w:rsidR="008F402A" w:rsidRPr="003B504C" w:rsidRDefault="008F402A">
                    <w:pPr>
                      <w:pStyle w:val="WitregelW2"/>
                      <w:rPr>
                        <w:lang w:val="de-DE"/>
                      </w:rPr>
                    </w:pPr>
                  </w:p>
                  <w:p w14:paraId="6BF6E137" w14:textId="77777777" w:rsidR="008F402A" w:rsidRDefault="00E56047">
                    <w:pPr>
                      <w:pStyle w:val="Referentiegegevensbold"/>
                    </w:pPr>
                    <w:r>
                      <w:t>Onze referentie</w:t>
                    </w:r>
                  </w:p>
                  <w:p w14:paraId="792AE680" w14:textId="77777777" w:rsidR="008F402A" w:rsidRDefault="00E56047">
                    <w:pPr>
                      <w:pStyle w:val="Referentiegegevens"/>
                    </w:pPr>
                    <w:r>
                      <w:t>6816271</w:t>
                    </w:r>
                  </w:p>
                  <w:p w14:paraId="7DD9AF83" w14:textId="77777777" w:rsidR="008F402A" w:rsidRDefault="008F402A">
                    <w:pPr>
                      <w:pStyle w:val="WitregelW1"/>
                    </w:pPr>
                  </w:p>
                  <w:p w14:paraId="6400AD64" w14:textId="3B57F2F7" w:rsidR="008F402A" w:rsidRDefault="008F402A">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0E415F2" wp14:editId="392AB191">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D8272CD" w14:textId="77777777" w:rsidR="008F402A" w:rsidRDefault="00E56047">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30E415F2"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2D8272CD" w14:textId="77777777" w:rsidR="008F402A" w:rsidRDefault="00E56047">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5EADA8C" wp14:editId="0DCF02A8">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9AFB4EB" w14:textId="77777777" w:rsidR="00E56047" w:rsidRDefault="00E56047"/>
                      </w:txbxContent>
                    </wps:txbx>
                    <wps:bodyPr vert="horz" wrap="square" lIns="0" tIns="0" rIns="0" bIns="0" anchor="t" anchorCtr="0"/>
                  </wps:wsp>
                </a:graphicData>
              </a:graphic>
            </wp:anchor>
          </w:drawing>
        </mc:Choice>
        <mc:Fallback>
          <w:pict>
            <v:shape w14:anchorId="35EADA8C"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09AFB4EB" w14:textId="77777777" w:rsidR="00E56047" w:rsidRDefault="00E5604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1C1252"/>
    <w:multiLevelType w:val="multilevel"/>
    <w:tmpl w:val="5261B02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F77780EA"/>
    <w:multiLevelType w:val="multilevel"/>
    <w:tmpl w:val="82F56E1A"/>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067BFCE"/>
    <w:multiLevelType w:val="multilevel"/>
    <w:tmpl w:val="FA64B329"/>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45B45F3"/>
    <w:multiLevelType w:val="hybridMultilevel"/>
    <w:tmpl w:val="A3684DEC"/>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5" w15:restartNumberingAfterBreak="0">
    <w:nsid w:val="07D765B7"/>
    <w:multiLevelType w:val="hybridMultilevel"/>
    <w:tmpl w:val="BF62A74C"/>
    <w:lvl w:ilvl="0" w:tplc="4A6C71AA">
      <w:start w:val="1"/>
      <w:numFmt w:val="lowerLetter"/>
      <w:pStyle w:val="lijst-alphabet"/>
      <w:lvlText w:val="%1."/>
      <w:lvlJc w:val="left"/>
      <w:pPr>
        <w:tabs>
          <w:tab w:val="num" w:pos="1040"/>
        </w:tabs>
        <w:ind w:left="1021" w:hanging="341"/>
      </w:pPr>
      <w:rPr>
        <w:rFonts w:hint="default"/>
      </w:rPr>
    </w:lvl>
    <w:lvl w:ilvl="1" w:tplc="054EBA8A" w:tentative="1">
      <w:start w:val="1"/>
      <w:numFmt w:val="lowerLetter"/>
      <w:lvlText w:val="%2."/>
      <w:lvlJc w:val="left"/>
      <w:pPr>
        <w:tabs>
          <w:tab w:val="num" w:pos="1440"/>
        </w:tabs>
        <w:ind w:left="1440" w:hanging="360"/>
      </w:pPr>
    </w:lvl>
    <w:lvl w:ilvl="2" w:tplc="EA566A6E" w:tentative="1">
      <w:start w:val="1"/>
      <w:numFmt w:val="lowerRoman"/>
      <w:lvlText w:val="%3."/>
      <w:lvlJc w:val="right"/>
      <w:pPr>
        <w:tabs>
          <w:tab w:val="num" w:pos="2160"/>
        </w:tabs>
        <w:ind w:left="2160" w:hanging="180"/>
      </w:pPr>
    </w:lvl>
    <w:lvl w:ilvl="3" w:tplc="7012C992" w:tentative="1">
      <w:start w:val="1"/>
      <w:numFmt w:val="decimal"/>
      <w:lvlText w:val="%4."/>
      <w:lvlJc w:val="left"/>
      <w:pPr>
        <w:tabs>
          <w:tab w:val="num" w:pos="2880"/>
        </w:tabs>
        <w:ind w:left="2880" w:hanging="360"/>
      </w:pPr>
    </w:lvl>
    <w:lvl w:ilvl="4" w:tplc="9A1CA6A2" w:tentative="1">
      <w:start w:val="1"/>
      <w:numFmt w:val="lowerLetter"/>
      <w:lvlText w:val="%5."/>
      <w:lvlJc w:val="left"/>
      <w:pPr>
        <w:tabs>
          <w:tab w:val="num" w:pos="3600"/>
        </w:tabs>
        <w:ind w:left="3600" w:hanging="360"/>
      </w:pPr>
    </w:lvl>
    <w:lvl w:ilvl="5" w:tplc="26C0F3A0" w:tentative="1">
      <w:start w:val="1"/>
      <w:numFmt w:val="lowerRoman"/>
      <w:lvlText w:val="%6."/>
      <w:lvlJc w:val="right"/>
      <w:pPr>
        <w:tabs>
          <w:tab w:val="num" w:pos="4320"/>
        </w:tabs>
        <w:ind w:left="4320" w:hanging="180"/>
      </w:pPr>
    </w:lvl>
    <w:lvl w:ilvl="6" w:tplc="D570BD7E" w:tentative="1">
      <w:start w:val="1"/>
      <w:numFmt w:val="decimal"/>
      <w:lvlText w:val="%7."/>
      <w:lvlJc w:val="left"/>
      <w:pPr>
        <w:tabs>
          <w:tab w:val="num" w:pos="5040"/>
        </w:tabs>
        <w:ind w:left="5040" w:hanging="360"/>
      </w:pPr>
    </w:lvl>
    <w:lvl w:ilvl="7" w:tplc="323C9582" w:tentative="1">
      <w:start w:val="1"/>
      <w:numFmt w:val="lowerLetter"/>
      <w:lvlText w:val="%8."/>
      <w:lvlJc w:val="left"/>
      <w:pPr>
        <w:tabs>
          <w:tab w:val="num" w:pos="5760"/>
        </w:tabs>
        <w:ind w:left="5760" w:hanging="360"/>
      </w:pPr>
    </w:lvl>
    <w:lvl w:ilvl="8" w:tplc="227C3294" w:tentative="1">
      <w:start w:val="1"/>
      <w:numFmt w:val="lowerRoman"/>
      <w:lvlText w:val="%9."/>
      <w:lvlJc w:val="right"/>
      <w:pPr>
        <w:tabs>
          <w:tab w:val="num" w:pos="6480"/>
        </w:tabs>
        <w:ind w:left="6480" w:hanging="180"/>
      </w:pPr>
    </w:lvl>
  </w:abstractNum>
  <w:abstractNum w:abstractNumId="6" w15:restartNumberingAfterBreak="0">
    <w:nsid w:val="09332BA6"/>
    <w:multiLevelType w:val="hybridMultilevel"/>
    <w:tmpl w:val="E47CEC5A"/>
    <w:lvl w:ilvl="0" w:tplc="69CE7C56">
      <w:start w:val="1"/>
      <w:numFmt w:val="decimal"/>
      <w:lvlText w:val="%1."/>
      <w:lvlJc w:val="left"/>
      <w:pPr>
        <w:ind w:left="720" w:hanging="360"/>
      </w:pPr>
      <w:rPr>
        <w:rFonts w:hint="default"/>
      </w:rPr>
    </w:lvl>
    <w:lvl w:ilvl="1" w:tplc="633C7690" w:tentative="1">
      <w:start w:val="1"/>
      <w:numFmt w:val="lowerLetter"/>
      <w:lvlText w:val="%2."/>
      <w:lvlJc w:val="left"/>
      <w:pPr>
        <w:ind w:left="1440" w:hanging="360"/>
      </w:pPr>
    </w:lvl>
    <w:lvl w:ilvl="2" w:tplc="048A5A36" w:tentative="1">
      <w:start w:val="1"/>
      <w:numFmt w:val="lowerRoman"/>
      <w:lvlText w:val="%3."/>
      <w:lvlJc w:val="right"/>
      <w:pPr>
        <w:ind w:left="2160" w:hanging="180"/>
      </w:pPr>
    </w:lvl>
    <w:lvl w:ilvl="3" w:tplc="4CF0FEE6" w:tentative="1">
      <w:start w:val="1"/>
      <w:numFmt w:val="decimal"/>
      <w:lvlText w:val="%4."/>
      <w:lvlJc w:val="left"/>
      <w:pPr>
        <w:ind w:left="2880" w:hanging="360"/>
      </w:pPr>
    </w:lvl>
    <w:lvl w:ilvl="4" w:tplc="842E7E92" w:tentative="1">
      <w:start w:val="1"/>
      <w:numFmt w:val="lowerLetter"/>
      <w:lvlText w:val="%5."/>
      <w:lvlJc w:val="left"/>
      <w:pPr>
        <w:ind w:left="3600" w:hanging="360"/>
      </w:pPr>
    </w:lvl>
    <w:lvl w:ilvl="5" w:tplc="231646A0" w:tentative="1">
      <w:start w:val="1"/>
      <w:numFmt w:val="lowerRoman"/>
      <w:lvlText w:val="%6."/>
      <w:lvlJc w:val="right"/>
      <w:pPr>
        <w:ind w:left="4320" w:hanging="180"/>
      </w:pPr>
    </w:lvl>
    <w:lvl w:ilvl="6" w:tplc="CC0C8A7C" w:tentative="1">
      <w:start w:val="1"/>
      <w:numFmt w:val="decimal"/>
      <w:lvlText w:val="%7."/>
      <w:lvlJc w:val="left"/>
      <w:pPr>
        <w:ind w:left="5040" w:hanging="360"/>
      </w:pPr>
    </w:lvl>
    <w:lvl w:ilvl="7" w:tplc="412C88A6" w:tentative="1">
      <w:start w:val="1"/>
      <w:numFmt w:val="lowerLetter"/>
      <w:lvlText w:val="%8."/>
      <w:lvlJc w:val="left"/>
      <w:pPr>
        <w:ind w:left="5760" w:hanging="360"/>
      </w:pPr>
    </w:lvl>
    <w:lvl w:ilvl="8" w:tplc="F0F2264A" w:tentative="1">
      <w:start w:val="1"/>
      <w:numFmt w:val="lowerRoman"/>
      <w:lvlText w:val="%9."/>
      <w:lvlJc w:val="right"/>
      <w:pPr>
        <w:ind w:left="6480" w:hanging="180"/>
      </w:pPr>
    </w:lvl>
  </w:abstractNum>
  <w:abstractNum w:abstractNumId="7" w15:restartNumberingAfterBreak="0">
    <w:nsid w:val="0A4120A4"/>
    <w:multiLevelType w:val="hybridMultilevel"/>
    <w:tmpl w:val="1D8E1FCE"/>
    <w:lvl w:ilvl="0" w:tplc="26EC770A">
      <w:start w:val="1"/>
      <w:numFmt w:val="bullet"/>
      <w:pStyle w:val="Lijstopsomteken"/>
      <w:lvlText w:val="•"/>
      <w:lvlJc w:val="left"/>
      <w:pPr>
        <w:tabs>
          <w:tab w:val="num" w:pos="227"/>
        </w:tabs>
        <w:ind w:left="227" w:hanging="227"/>
      </w:pPr>
      <w:rPr>
        <w:rFonts w:ascii="Verdana" w:hAnsi="Verdana" w:hint="default"/>
        <w:sz w:val="18"/>
        <w:szCs w:val="18"/>
      </w:rPr>
    </w:lvl>
    <w:lvl w:ilvl="1" w:tplc="5DE6B478" w:tentative="1">
      <w:start w:val="1"/>
      <w:numFmt w:val="bullet"/>
      <w:lvlText w:val="o"/>
      <w:lvlJc w:val="left"/>
      <w:pPr>
        <w:tabs>
          <w:tab w:val="num" w:pos="1440"/>
        </w:tabs>
        <w:ind w:left="1440" w:hanging="360"/>
      </w:pPr>
      <w:rPr>
        <w:rFonts w:ascii="Courier New" w:hAnsi="Courier New" w:cs="Courier New" w:hint="default"/>
      </w:rPr>
    </w:lvl>
    <w:lvl w:ilvl="2" w:tplc="09E6265A" w:tentative="1">
      <w:start w:val="1"/>
      <w:numFmt w:val="bullet"/>
      <w:lvlText w:val=""/>
      <w:lvlJc w:val="left"/>
      <w:pPr>
        <w:tabs>
          <w:tab w:val="num" w:pos="2160"/>
        </w:tabs>
        <w:ind w:left="2160" w:hanging="360"/>
      </w:pPr>
      <w:rPr>
        <w:rFonts w:ascii="Wingdings" w:hAnsi="Wingdings" w:hint="default"/>
      </w:rPr>
    </w:lvl>
    <w:lvl w:ilvl="3" w:tplc="9D381B4E" w:tentative="1">
      <w:start w:val="1"/>
      <w:numFmt w:val="bullet"/>
      <w:lvlText w:val=""/>
      <w:lvlJc w:val="left"/>
      <w:pPr>
        <w:tabs>
          <w:tab w:val="num" w:pos="2880"/>
        </w:tabs>
        <w:ind w:left="2880" w:hanging="360"/>
      </w:pPr>
      <w:rPr>
        <w:rFonts w:ascii="Symbol" w:hAnsi="Symbol" w:hint="default"/>
      </w:rPr>
    </w:lvl>
    <w:lvl w:ilvl="4" w:tplc="F83809EE" w:tentative="1">
      <w:start w:val="1"/>
      <w:numFmt w:val="bullet"/>
      <w:lvlText w:val="o"/>
      <w:lvlJc w:val="left"/>
      <w:pPr>
        <w:tabs>
          <w:tab w:val="num" w:pos="3600"/>
        </w:tabs>
        <w:ind w:left="3600" w:hanging="360"/>
      </w:pPr>
      <w:rPr>
        <w:rFonts w:ascii="Courier New" w:hAnsi="Courier New" w:cs="Courier New" w:hint="default"/>
      </w:rPr>
    </w:lvl>
    <w:lvl w:ilvl="5" w:tplc="5C2C6EF2" w:tentative="1">
      <w:start w:val="1"/>
      <w:numFmt w:val="bullet"/>
      <w:lvlText w:val=""/>
      <w:lvlJc w:val="left"/>
      <w:pPr>
        <w:tabs>
          <w:tab w:val="num" w:pos="4320"/>
        </w:tabs>
        <w:ind w:left="4320" w:hanging="360"/>
      </w:pPr>
      <w:rPr>
        <w:rFonts w:ascii="Wingdings" w:hAnsi="Wingdings" w:hint="default"/>
      </w:rPr>
    </w:lvl>
    <w:lvl w:ilvl="6" w:tplc="CD54BCDC" w:tentative="1">
      <w:start w:val="1"/>
      <w:numFmt w:val="bullet"/>
      <w:lvlText w:val=""/>
      <w:lvlJc w:val="left"/>
      <w:pPr>
        <w:tabs>
          <w:tab w:val="num" w:pos="5040"/>
        </w:tabs>
        <w:ind w:left="5040" w:hanging="360"/>
      </w:pPr>
      <w:rPr>
        <w:rFonts w:ascii="Symbol" w:hAnsi="Symbol" w:hint="default"/>
      </w:rPr>
    </w:lvl>
    <w:lvl w:ilvl="7" w:tplc="BE7AD760" w:tentative="1">
      <w:start w:val="1"/>
      <w:numFmt w:val="bullet"/>
      <w:lvlText w:val="o"/>
      <w:lvlJc w:val="left"/>
      <w:pPr>
        <w:tabs>
          <w:tab w:val="num" w:pos="5760"/>
        </w:tabs>
        <w:ind w:left="5760" w:hanging="360"/>
      </w:pPr>
      <w:rPr>
        <w:rFonts w:ascii="Courier New" w:hAnsi="Courier New" w:cs="Courier New" w:hint="default"/>
      </w:rPr>
    </w:lvl>
    <w:lvl w:ilvl="8" w:tplc="2CDC6F1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FDA9B9"/>
    <w:multiLevelType w:val="multilevel"/>
    <w:tmpl w:val="0EEB7E9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 w15:restartNumberingAfterBreak="0">
    <w:nsid w:val="123F379B"/>
    <w:multiLevelType w:val="hybridMultilevel"/>
    <w:tmpl w:val="0A0CAF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25B7097"/>
    <w:multiLevelType w:val="hybridMultilevel"/>
    <w:tmpl w:val="EFE4B350"/>
    <w:lvl w:ilvl="0" w:tplc="677A51B0">
      <w:start w:val="2"/>
      <w:numFmt w:val="bullet"/>
      <w:lvlText w:val="-"/>
      <w:lvlJc w:val="left"/>
      <w:pPr>
        <w:ind w:left="720" w:hanging="360"/>
      </w:pPr>
      <w:rPr>
        <w:rFonts w:ascii="Verdana" w:eastAsiaTheme="minorHAnsi" w:hAnsi="Verdana" w:cstheme="minorBidi" w:hint="default"/>
      </w:rPr>
    </w:lvl>
    <w:lvl w:ilvl="1" w:tplc="333629EA" w:tentative="1">
      <w:start w:val="1"/>
      <w:numFmt w:val="bullet"/>
      <w:lvlText w:val="o"/>
      <w:lvlJc w:val="left"/>
      <w:pPr>
        <w:ind w:left="1440" w:hanging="360"/>
      </w:pPr>
      <w:rPr>
        <w:rFonts w:ascii="Courier New" w:hAnsi="Courier New" w:cs="Courier New" w:hint="default"/>
      </w:rPr>
    </w:lvl>
    <w:lvl w:ilvl="2" w:tplc="58ECE232" w:tentative="1">
      <w:start w:val="1"/>
      <w:numFmt w:val="bullet"/>
      <w:lvlText w:val=""/>
      <w:lvlJc w:val="left"/>
      <w:pPr>
        <w:ind w:left="2160" w:hanging="360"/>
      </w:pPr>
      <w:rPr>
        <w:rFonts w:ascii="Wingdings" w:hAnsi="Wingdings" w:hint="default"/>
      </w:rPr>
    </w:lvl>
    <w:lvl w:ilvl="3" w:tplc="4042B202" w:tentative="1">
      <w:start w:val="1"/>
      <w:numFmt w:val="bullet"/>
      <w:lvlText w:val=""/>
      <w:lvlJc w:val="left"/>
      <w:pPr>
        <w:ind w:left="2880" w:hanging="360"/>
      </w:pPr>
      <w:rPr>
        <w:rFonts w:ascii="Symbol" w:hAnsi="Symbol" w:hint="default"/>
      </w:rPr>
    </w:lvl>
    <w:lvl w:ilvl="4" w:tplc="A0D46228" w:tentative="1">
      <w:start w:val="1"/>
      <w:numFmt w:val="bullet"/>
      <w:lvlText w:val="o"/>
      <w:lvlJc w:val="left"/>
      <w:pPr>
        <w:ind w:left="3600" w:hanging="360"/>
      </w:pPr>
      <w:rPr>
        <w:rFonts w:ascii="Courier New" w:hAnsi="Courier New" w:cs="Courier New" w:hint="default"/>
      </w:rPr>
    </w:lvl>
    <w:lvl w:ilvl="5" w:tplc="200CF376" w:tentative="1">
      <w:start w:val="1"/>
      <w:numFmt w:val="bullet"/>
      <w:lvlText w:val=""/>
      <w:lvlJc w:val="left"/>
      <w:pPr>
        <w:ind w:left="4320" w:hanging="360"/>
      </w:pPr>
      <w:rPr>
        <w:rFonts w:ascii="Wingdings" w:hAnsi="Wingdings" w:hint="default"/>
      </w:rPr>
    </w:lvl>
    <w:lvl w:ilvl="6" w:tplc="A44A43B2" w:tentative="1">
      <w:start w:val="1"/>
      <w:numFmt w:val="bullet"/>
      <w:lvlText w:val=""/>
      <w:lvlJc w:val="left"/>
      <w:pPr>
        <w:ind w:left="5040" w:hanging="360"/>
      </w:pPr>
      <w:rPr>
        <w:rFonts w:ascii="Symbol" w:hAnsi="Symbol" w:hint="default"/>
      </w:rPr>
    </w:lvl>
    <w:lvl w:ilvl="7" w:tplc="5D5C0A9A" w:tentative="1">
      <w:start w:val="1"/>
      <w:numFmt w:val="bullet"/>
      <w:lvlText w:val="o"/>
      <w:lvlJc w:val="left"/>
      <w:pPr>
        <w:ind w:left="5760" w:hanging="360"/>
      </w:pPr>
      <w:rPr>
        <w:rFonts w:ascii="Courier New" w:hAnsi="Courier New" w:cs="Courier New" w:hint="default"/>
      </w:rPr>
    </w:lvl>
    <w:lvl w:ilvl="8" w:tplc="F4FE6C44" w:tentative="1">
      <w:start w:val="1"/>
      <w:numFmt w:val="bullet"/>
      <w:lvlText w:val=""/>
      <w:lvlJc w:val="left"/>
      <w:pPr>
        <w:ind w:left="6480" w:hanging="360"/>
      </w:pPr>
      <w:rPr>
        <w:rFonts w:ascii="Wingdings" w:hAnsi="Wingdings" w:hint="default"/>
      </w:rPr>
    </w:lvl>
  </w:abstractNum>
  <w:abstractNum w:abstractNumId="11" w15:restartNumberingAfterBreak="0">
    <w:nsid w:val="178633EE"/>
    <w:multiLevelType w:val="hybridMultilevel"/>
    <w:tmpl w:val="1C9CF968"/>
    <w:lvl w:ilvl="0" w:tplc="5854EBCC">
      <w:start w:val="1"/>
      <w:numFmt w:val="decimal"/>
      <w:lvlText w:val="%1."/>
      <w:lvlJc w:val="left"/>
      <w:pPr>
        <w:ind w:left="720" w:hanging="360"/>
      </w:pPr>
      <w:rPr>
        <w:rFonts w:hint="default"/>
      </w:rPr>
    </w:lvl>
    <w:lvl w:ilvl="1" w:tplc="A69AD202" w:tentative="1">
      <w:start w:val="1"/>
      <w:numFmt w:val="lowerLetter"/>
      <w:lvlText w:val="%2."/>
      <w:lvlJc w:val="left"/>
      <w:pPr>
        <w:ind w:left="1440" w:hanging="360"/>
      </w:pPr>
    </w:lvl>
    <w:lvl w:ilvl="2" w:tplc="2B28136E" w:tentative="1">
      <w:start w:val="1"/>
      <w:numFmt w:val="lowerRoman"/>
      <w:lvlText w:val="%3."/>
      <w:lvlJc w:val="right"/>
      <w:pPr>
        <w:ind w:left="2160" w:hanging="180"/>
      </w:pPr>
    </w:lvl>
    <w:lvl w:ilvl="3" w:tplc="C9CAE35C" w:tentative="1">
      <w:start w:val="1"/>
      <w:numFmt w:val="decimal"/>
      <w:lvlText w:val="%4."/>
      <w:lvlJc w:val="left"/>
      <w:pPr>
        <w:ind w:left="2880" w:hanging="360"/>
      </w:pPr>
    </w:lvl>
    <w:lvl w:ilvl="4" w:tplc="D4F0946A" w:tentative="1">
      <w:start w:val="1"/>
      <w:numFmt w:val="lowerLetter"/>
      <w:lvlText w:val="%5."/>
      <w:lvlJc w:val="left"/>
      <w:pPr>
        <w:ind w:left="3600" w:hanging="360"/>
      </w:pPr>
    </w:lvl>
    <w:lvl w:ilvl="5" w:tplc="4492E5A6" w:tentative="1">
      <w:start w:val="1"/>
      <w:numFmt w:val="lowerRoman"/>
      <w:lvlText w:val="%6."/>
      <w:lvlJc w:val="right"/>
      <w:pPr>
        <w:ind w:left="4320" w:hanging="180"/>
      </w:pPr>
    </w:lvl>
    <w:lvl w:ilvl="6" w:tplc="ACCEF31A" w:tentative="1">
      <w:start w:val="1"/>
      <w:numFmt w:val="decimal"/>
      <w:lvlText w:val="%7."/>
      <w:lvlJc w:val="left"/>
      <w:pPr>
        <w:ind w:left="5040" w:hanging="360"/>
      </w:pPr>
    </w:lvl>
    <w:lvl w:ilvl="7" w:tplc="DC3CA5B4" w:tentative="1">
      <w:start w:val="1"/>
      <w:numFmt w:val="lowerLetter"/>
      <w:lvlText w:val="%8."/>
      <w:lvlJc w:val="left"/>
      <w:pPr>
        <w:ind w:left="5760" w:hanging="360"/>
      </w:pPr>
    </w:lvl>
    <w:lvl w:ilvl="8" w:tplc="76D2DCE2" w:tentative="1">
      <w:start w:val="1"/>
      <w:numFmt w:val="lowerRoman"/>
      <w:lvlText w:val="%9."/>
      <w:lvlJc w:val="right"/>
      <w:pPr>
        <w:ind w:left="6480" w:hanging="180"/>
      </w:pPr>
    </w:lvl>
  </w:abstractNum>
  <w:abstractNum w:abstractNumId="12" w15:restartNumberingAfterBreak="0">
    <w:nsid w:val="180E7777"/>
    <w:multiLevelType w:val="hybridMultilevel"/>
    <w:tmpl w:val="DDB63CFC"/>
    <w:lvl w:ilvl="0" w:tplc="8124D702">
      <w:start w:val="1"/>
      <w:numFmt w:val="bullet"/>
      <w:lvlText w:val=""/>
      <w:lvlJc w:val="left"/>
      <w:pPr>
        <w:ind w:left="720" w:hanging="360"/>
      </w:pPr>
      <w:rPr>
        <w:rFonts w:ascii="Symbol" w:hAnsi="Symbol" w:hint="default"/>
      </w:rPr>
    </w:lvl>
    <w:lvl w:ilvl="1" w:tplc="F9083888" w:tentative="1">
      <w:start w:val="1"/>
      <w:numFmt w:val="bullet"/>
      <w:lvlText w:val="o"/>
      <w:lvlJc w:val="left"/>
      <w:pPr>
        <w:ind w:left="1440" w:hanging="360"/>
      </w:pPr>
      <w:rPr>
        <w:rFonts w:ascii="Courier New" w:hAnsi="Courier New" w:cs="Courier New" w:hint="default"/>
      </w:rPr>
    </w:lvl>
    <w:lvl w:ilvl="2" w:tplc="23D63E62" w:tentative="1">
      <w:start w:val="1"/>
      <w:numFmt w:val="bullet"/>
      <w:lvlText w:val=""/>
      <w:lvlJc w:val="left"/>
      <w:pPr>
        <w:ind w:left="2160" w:hanging="360"/>
      </w:pPr>
      <w:rPr>
        <w:rFonts w:ascii="Wingdings" w:hAnsi="Wingdings" w:hint="default"/>
      </w:rPr>
    </w:lvl>
    <w:lvl w:ilvl="3" w:tplc="8F84370A" w:tentative="1">
      <w:start w:val="1"/>
      <w:numFmt w:val="bullet"/>
      <w:lvlText w:val=""/>
      <w:lvlJc w:val="left"/>
      <w:pPr>
        <w:ind w:left="2880" w:hanging="360"/>
      </w:pPr>
      <w:rPr>
        <w:rFonts w:ascii="Symbol" w:hAnsi="Symbol" w:hint="default"/>
      </w:rPr>
    </w:lvl>
    <w:lvl w:ilvl="4" w:tplc="F01852F0" w:tentative="1">
      <w:start w:val="1"/>
      <w:numFmt w:val="bullet"/>
      <w:lvlText w:val="o"/>
      <w:lvlJc w:val="left"/>
      <w:pPr>
        <w:ind w:left="3600" w:hanging="360"/>
      </w:pPr>
      <w:rPr>
        <w:rFonts w:ascii="Courier New" w:hAnsi="Courier New" w:cs="Courier New" w:hint="default"/>
      </w:rPr>
    </w:lvl>
    <w:lvl w:ilvl="5" w:tplc="15DE2F9E" w:tentative="1">
      <w:start w:val="1"/>
      <w:numFmt w:val="bullet"/>
      <w:lvlText w:val=""/>
      <w:lvlJc w:val="left"/>
      <w:pPr>
        <w:ind w:left="4320" w:hanging="360"/>
      </w:pPr>
      <w:rPr>
        <w:rFonts w:ascii="Wingdings" w:hAnsi="Wingdings" w:hint="default"/>
      </w:rPr>
    </w:lvl>
    <w:lvl w:ilvl="6" w:tplc="26144D20" w:tentative="1">
      <w:start w:val="1"/>
      <w:numFmt w:val="bullet"/>
      <w:lvlText w:val=""/>
      <w:lvlJc w:val="left"/>
      <w:pPr>
        <w:ind w:left="5040" w:hanging="360"/>
      </w:pPr>
      <w:rPr>
        <w:rFonts w:ascii="Symbol" w:hAnsi="Symbol" w:hint="default"/>
      </w:rPr>
    </w:lvl>
    <w:lvl w:ilvl="7" w:tplc="18D0282E" w:tentative="1">
      <w:start w:val="1"/>
      <w:numFmt w:val="bullet"/>
      <w:lvlText w:val="o"/>
      <w:lvlJc w:val="left"/>
      <w:pPr>
        <w:ind w:left="5760" w:hanging="360"/>
      </w:pPr>
      <w:rPr>
        <w:rFonts w:ascii="Courier New" w:hAnsi="Courier New" w:cs="Courier New" w:hint="default"/>
      </w:rPr>
    </w:lvl>
    <w:lvl w:ilvl="8" w:tplc="EDDC9F44" w:tentative="1">
      <w:start w:val="1"/>
      <w:numFmt w:val="bullet"/>
      <w:lvlText w:val=""/>
      <w:lvlJc w:val="left"/>
      <w:pPr>
        <w:ind w:left="6480" w:hanging="360"/>
      </w:pPr>
      <w:rPr>
        <w:rFonts w:ascii="Wingdings" w:hAnsi="Wingdings" w:hint="default"/>
      </w:rPr>
    </w:lvl>
  </w:abstractNum>
  <w:abstractNum w:abstractNumId="13" w15:restartNumberingAfterBreak="0">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4" w15:restartNumberingAfterBreak="0">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5" w15:restartNumberingAfterBreak="0">
    <w:nsid w:val="1E555FEF"/>
    <w:multiLevelType w:val="hybridMultilevel"/>
    <w:tmpl w:val="50F0923E"/>
    <w:lvl w:ilvl="0" w:tplc="CFBE6916">
      <w:start w:val="1"/>
      <w:numFmt w:val="bullet"/>
      <w:pStyle w:val="Lijstopsomteken2"/>
      <w:lvlText w:val="–"/>
      <w:lvlJc w:val="left"/>
      <w:pPr>
        <w:tabs>
          <w:tab w:val="num" w:pos="227"/>
        </w:tabs>
        <w:ind w:left="227" w:firstLine="0"/>
      </w:pPr>
      <w:rPr>
        <w:rFonts w:ascii="Verdana" w:hAnsi="Verdana" w:hint="default"/>
      </w:rPr>
    </w:lvl>
    <w:lvl w:ilvl="1" w:tplc="DD886278" w:tentative="1">
      <w:start w:val="1"/>
      <w:numFmt w:val="bullet"/>
      <w:lvlText w:val="o"/>
      <w:lvlJc w:val="left"/>
      <w:pPr>
        <w:tabs>
          <w:tab w:val="num" w:pos="1440"/>
        </w:tabs>
        <w:ind w:left="1440" w:hanging="360"/>
      </w:pPr>
      <w:rPr>
        <w:rFonts w:ascii="Courier New" w:hAnsi="Courier New" w:cs="Courier New" w:hint="default"/>
      </w:rPr>
    </w:lvl>
    <w:lvl w:ilvl="2" w:tplc="14E03E1E" w:tentative="1">
      <w:start w:val="1"/>
      <w:numFmt w:val="bullet"/>
      <w:lvlText w:val=""/>
      <w:lvlJc w:val="left"/>
      <w:pPr>
        <w:tabs>
          <w:tab w:val="num" w:pos="2160"/>
        </w:tabs>
        <w:ind w:left="2160" w:hanging="360"/>
      </w:pPr>
      <w:rPr>
        <w:rFonts w:ascii="Wingdings" w:hAnsi="Wingdings" w:hint="default"/>
      </w:rPr>
    </w:lvl>
    <w:lvl w:ilvl="3" w:tplc="67269394" w:tentative="1">
      <w:start w:val="1"/>
      <w:numFmt w:val="bullet"/>
      <w:lvlText w:val=""/>
      <w:lvlJc w:val="left"/>
      <w:pPr>
        <w:tabs>
          <w:tab w:val="num" w:pos="2880"/>
        </w:tabs>
        <w:ind w:left="2880" w:hanging="360"/>
      </w:pPr>
      <w:rPr>
        <w:rFonts w:ascii="Symbol" w:hAnsi="Symbol" w:hint="default"/>
      </w:rPr>
    </w:lvl>
    <w:lvl w:ilvl="4" w:tplc="08E46034" w:tentative="1">
      <w:start w:val="1"/>
      <w:numFmt w:val="bullet"/>
      <w:lvlText w:val="o"/>
      <w:lvlJc w:val="left"/>
      <w:pPr>
        <w:tabs>
          <w:tab w:val="num" w:pos="3600"/>
        </w:tabs>
        <w:ind w:left="3600" w:hanging="360"/>
      </w:pPr>
      <w:rPr>
        <w:rFonts w:ascii="Courier New" w:hAnsi="Courier New" w:cs="Courier New" w:hint="default"/>
      </w:rPr>
    </w:lvl>
    <w:lvl w:ilvl="5" w:tplc="00A2B940" w:tentative="1">
      <w:start w:val="1"/>
      <w:numFmt w:val="bullet"/>
      <w:lvlText w:val=""/>
      <w:lvlJc w:val="left"/>
      <w:pPr>
        <w:tabs>
          <w:tab w:val="num" w:pos="4320"/>
        </w:tabs>
        <w:ind w:left="4320" w:hanging="360"/>
      </w:pPr>
      <w:rPr>
        <w:rFonts w:ascii="Wingdings" w:hAnsi="Wingdings" w:hint="default"/>
      </w:rPr>
    </w:lvl>
    <w:lvl w:ilvl="6" w:tplc="3A006EC6" w:tentative="1">
      <w:start w:val="1"/>
      <w:numFmt w:val="bullet"/>
      <w:lvlText w:val=""/>
      <w:lvlJc w:val="left"/>
      <w:pPr>
        <w:tabs>
          <w:tab w:val="num" w:pos="5040"/>
        </w:tabs>
        <w:ind w:left="5040" w:hanging="360"/>
      </w:pPr>
      <w:rPr>
        <w:rFonts w:ascii="Symbol" w:hAnsi="Symbol" w:hint="default"/>
      </w:rPr>
    </w:lvl>
    <w:lvl w:ilvl="7" w:tplc="27647296" w:tentative="1">
      <w:start w:val="1"/>
      <w:numFmt w:val="bullet"/>
      <w:lvlText w:val="o"/>
      <w:lvlJc w:val="left"/>
      <w:pPr>
        <w:tabs>
          <w:tab w:val="num" w:pos="5760"/>
        </w:tabs>
        <w:ind w:left="5760" w:hanging="360"/>
      </w:pPr>
      <w:rPr>
        <w:rFonts w:ascii="Courier New" w:hAnsi="Courier New" w:cs="Courier New" w:hint="default"/>
      </w:rPr>
    </w:lvl>
    <w:lvl w:ilvl="8" w:tplc="5252A8E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7" w15:restartNumberingAfterBreak="0">
    <w:nsid w:val="228623C2"/>
    <w:multiLevelType w:val="hybridMultilevel"/>
    <w:tmpl w:val="1742A30E"/>
    <w:lvl w:ilvl="0" w:tplc="879E208C">
      <w:start w:val="1"/>
      <w:numFmt w:val="decimal"/>
      <w:lvlText w:val="%1."/>
      <w:lvlJc w:val="left"/>
      <w:pPr>
        <w:ind w:left="720" w:hanging="360"/>
      </w:pPr>
      <w:rPr>
        <w:rFonts w:hint="default"/>
      </w:rPr>
    </w:lvl>
    <w:lvl w:ilvl="1" w:tplc="0736EF12" w:tentative="1">
      <w:start w:val="1"/>
      <w:numFmt w:val="lowerLetter"/>
      <w:lvlText w:val="%2."/>
      <w:lvlJc w:val="left"/>
      <w:pPr>
        <w:ind w:left="1440" w:hanging="360"/>
      </w:pPr>
    </w:lvl>
    <w:lvl w:ilvl="2" w:tplc="32703B6A" w:tentative="1">
      <w:start w:val="1"/>
      <w:numFmt w:val="lowerRoman"/>
      <w:lvlText w:val="%3."/>
      <w:lvlJc w:val="right"/>
      <w:pPr>
        <w:ind w:left="2160" w:hanging="180"/>
      </w:pPr>
    </w:lvl>
    <w:lvl w:ilvl="3" w:tplc="E460F376" w:tentative="1">
      <w:start w:val="1"/>
      <w:numFmt w:val="decimal"/>
      <w:lvlText w:val="%4."/>
      <w:lvlJc w:val="left"/>
      <w:pPr>
        <w:ind w:left="2880" w:hanging="360"/>
      </w:pPr>
    </w:lvl>
    <w:lvl w:ilvl="4" w:tplc="B1C43462" w:tentative="1">
      <w:start w:val="1"/>
      <w:numFmt w:val="lowerLetter"/>
      <w:lvlText w:val="%5."/>
      <w:lvlJc w:val="left"/>
      <w:pPr>
        <w:ind w:left="3600" w:hanging="360"/>
      </w:pPr>
    </w:lvl>
    <w:lvl w:ilvl="5" w:tplc="F956D9DE" w:tentative="1">
      <w:start w:val="1"/>
      <w:numFmt w:val="lowerRoman"/>
      <w:lvlText w:val="%6."/>
      <w:lvlJc w:val="right"/>
      <w:pPr>
        <w:ind w:left="4320" w:hanging="180"/>
      </w:pPr>
    </w:lvl>
    <w:lvl w:ilvl="6" w:tplc="94702BFC" w:tentative="1">
      <w:start w:val="1"/>
      <w:numFmt w:val="decimal"/>
      <w:lvlText w:val="%7."/>
      <w:lvlJc w:val="left"/>
      <w:pPr>
        <w:ind w:left="5040" w:hanging="360"/>
      </w:pPr>
    </w:lvl>
    <w:lvl w:ilvl="7" w:tplc="AF584B90" w:tentative="1">
      <w:start w:val="1"/>
      <w:numFmt w:val="lowerLetter"/>
      <w:lvlText w:val="%8."/>
      <w:lvlJc w:val="left"/>
      <w:pPr>
        <w:ind w:left="5760" w:hanging="360"/>
      </w:pPr>
    </w:lvl>
    <w:lvl w:ilvl="8" w:tplc="4BD466F0" w:tentative="1">
      <w:start w:val="1"/>
      <w:numFmt w:val="lowerRoman"/>
      <w:lvlText w:val="%9."/>
      <w:lvlJc w:val="right"/>
      <w:pPr>
        <w:ind w:left="6480" w:hanging="180"/>
      </w:pPr>
    </w:lvl>
  </w:abstractNum>
  <w:abstractNum w:abstractNumId="18" w15:restartNumberingAfterBreak="0">
    <w:nsid w:val="24546987"/>
    <w:multiLevelType w:val="multilevel"/>
    <w:tmpl w:val="0486E16A"/>
    <w:numStyleLink w:val="list-bolletjes"/>
  </w:abstractNum>
  <w:abstractNum w:abstractNumId="19" w15:restartNumberingAfterBreak="0">
    <w:nsid w:val="39523412"/>
    <w:multiLevelType w:val="hybridMultilevel"/>
    <w:tmpl w:val="C2C2FE58"/>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3CFA7AB2"/>
    <w:multiLevelType w:val="multilevel"/>
    <w:tmpl w:val="565CA006"/>
    <w:numStyleLink w:val="list-streepjes"/>
  </w:abstractNum>
  <w:abstractNum w:abstractNumId="21" w15:restartNumberingAfterBreak="0">
    <w:nsid w:val="3EE21359"/>
    <w:multiLevelType w:val="hybridMultilevel"/>
    <w:tmpl w:val="218AFB6A"/>
    <w:lvl w:ilvl="0" w:tplc="0174F912">
      <w:start w:val="1"/>
      <w:numFmt w:val="decimal"/>
      <w:pStyle w:val="lijst-nummer1"/>
      <w:lvlText w:val="%1."/>
      <w:lvlJc w:val="left"/>
      <w:pPr>
        <w:tabs>
          <w:tab w:val="num" w:pos="720"/>
        </w:tabs>
        <w:ind w:left="720" w:hanging="363"/>
      </w:pPr>
      <w:rPr>
        <w:rFonts w:hint="default"/>
      </w:rPr>
    </w:lvl>
    <w:lvl w:ilvl="1" w:tplc="B6764FD8" w:tentative="1">
      <w:start w:val="1"/>
      <w:numFmt w:val="lowerLetter"/>
      <w:lvlText w:val="%2."/>
      <w:lvlJc w:val="left"/>
      <w:pPr>
        <w:tabs>
          <w:tab w:val="num" w:pos="1440"/>
        </w:tabs>
        <w:ind w:left="1440" w:hanging="360"/>
      </w:pPr>
    </w:lvl>
    <w:lvl w:ilvl="2" w:tplc="618226C0" w:tentative="1">
      <w:start w:val="1"/>
      <w:numFmt w:val="lowerRoman"/>
      <w:lvlText w:val="%3."/>
      <w:lvlJc w:val="right"/>
      <w:pPr>
        <w:tabs>
          <w:tab w:val="num" w:pos="2160"/>
        </w:tabs>
        <w:ind w:left="2160" w:hanging="180"/>
      </w:pPr>
    </w:lvl>
    <w:lvl w:ilvl="3" w:tplc="D6702B60" w:tentative="1">
      <w:start w:val="1"/>
      <w:numFmt w:val="decimal"/>
      <w:lvlText w:val="%4."/>
      <w:lvlJc w:val="left"/>
      <w:pPr>
        <w:tabs>
          <w:tab w:val="num" w:pos="2880"/>
        </w:tabs>
        <w:ind w:left="2880" w:hanging="360"/>
      </w:pPr>
    </w:lvl>
    <w:lvl w:ilvl="4" w:tplc="5854E4F6" w:tentative="1">
      <w:start w:val="1"/>
      <w:numFmt w:val="lowerLetter"/>
      <w:lvlText w:val="%5."/>
      <w:lvlJc w:val="left"/>
      <w:pPr>
        <w:tabs>
          <w:tab w:val="num" w:pos="3600"/>
        </w:tabs>
        <w:ind w:left="3600" w:hanging="360"/>
      </w:pPr>
    </w:lvl>
    <w:lvl w:ilvl="5" w:tplc="3726FBD0" w:tentative="1">
      <w:start w:val="1"/>
      <w:numFmt w:val="lowerRoman"/>
      <w:lvlText w:val="%6."/>
      <w:lvlJc w:val="right"/>
      <w:pPr>
        <w:tabs>
          <w:tab w:val="num" w:pos="4320"/>
        </w:tabs>
        <w:ind w:left="4320" w:hanging="180"/>
      </w:pPr>
    </w:lvl>
    <w:lvl w:ilvl="6" w:tplc="20A00230" w:tentative="1">
      <w:start w:val="1"/>
      <w:numFmt w:val="decimal"/>
      <w:lvlText w:val="%7."/>
      <w:lvlJc w:val="left"/>
      <w:pPr>
        <w:tabs>
          <w:tab w:val="num" w:pos="5040"/>
        </w:tabs>
        <w:ind w:left="5040" w:hanging="360"/>
      </w:pPr>
    </w:lvl>
    <w:lvl w:ilvl="7" w:tplc="6A48BABE" w:tentative="1">
      <w:start w:val="1"/>
      <w:numFmt w:val="lowerLetter"/>
      <w:lvlText w:val="%8."/>
      <w:lvlJc w:val="left"/>
      <w:pPr>
        <w:tabs>
          <w:tab w:val="num" w:pos="5760"/>
        </w:tabs>
        <w:ind w:left="5760" w:hanging="360"/>
      </w:pPr>
    </w:lvl>
    <w:lvl w:ilvl="8" w:tplc="C570DB5C" w:tentative="1">
      <w:start w:val="1"/>
      <w:numFmt w:val="lowerRoman"/>
      <w:lvlText w:val="%9."/>
      <w:lvlJc w:val="right"/>
      <w:pPr>
        <w:tabs>
          <w:tab w:val="num" w:pos="6480"/>
        </w:tabs>
        <w:ind w:left="6480" w:hanging="180"/>
      </w:pPr>
    </w:lvl>
  </w:abstractNum>
  <w:abstractNum w:abstractNumId="22" w15:restartNumberingAfterBreak="0">
    <w:nsid w:val="3F794937"/>
    <w:multiLevelType w:val="hybridMultilevel"/>
    <w:tmpl w:val="D728A93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F9F6A06"/>
    <w:multiLevelType w:val="hybridMultilevel"/>
    <w:tmpl w:val="69BA9D50"/>
    <w:lvl w:ilvl="0" w:tplc="B0229DD4">
      <w:start w:val="1"/>
      <w:numFmt w:val="lowerLetter"/>
      <w:lvlText w:val="%1."/>
      <w:lvlJc w:val="left"/>
      <w:pPr>
        <w:ind w:left="360" w:hanging="360"/>
      </w:pPr>
    </w:lvl>
    <w:lvl w:ilvl="1" w:tplc="7C509240" w:tentative="1">
      <w:start w:val="1"/>
      <w:numFmt w:val="lowerLetter"/>
      <w:lvlText w:val="%2."/>
      <w:lvlJc w:val="left"/>
      <w:pPr>
        <w:ind w:left="1080" w:hanging="360"/>
      </w:pPr>
    </w:lvl>
    <w:lvl w:ilvl="2" w:tplc="4EB4C624" w:tentative="1">
      <w:start w:val="1"/>
      <w:numFmt w:val="lowerRoman"/>
      <w:lvlText w:val="%3."/>
      <w:lvlJc w:val="right"/>
      <w:pPr>
        <w:ind w:left="1800" w:hanging="180"/>
      </w:pPr>
    </w:lvl>
    <w:lvl w:ilvl="3" w:tplc="DFB6001A" w:tentative="1">
      <w:start w:val="1"/>
      <w:numFmt w:val="decimal"/>
      <w:lvlText w:val="%4."/>
      <w:lvlJc w:val="left"/>
      <w:pPr>
        <w:ind w:left="2520" w:hanging="360"/>
      </w:pPr>
    </w:lvl>
    <w:lvl w:ilvl="4" w:tplc="35962406" w:tentative="1">
      <w:start w:val="1"/>
      <w:numFmt w:val="lowerLetter"/>
      <w:lvlText w:val="%5."/>
      <w:lvlJc w:val="left"/>
      <w:pPr>
        <w:ind w:left="3240" w:hanging="360"/>
      </w:pPr>
    </w:lvl>
    <w:lvl w:ilvl="5" w:tplc="426232DE" w:tentative="1">
      <w:start w:val="1"/>
      <w:numFmt w:val="lowerRoman"/>
      <w:lvlText w:val="%6."/>
      <w:lvlJc w:val="right"/>
      <w:pPr>
        <w:ind w:left="3960" w:hanging="180"/>
      </w:pPr>
    </w:lvl>
    <w:lvl w:ilvl="6" w:tplc="F9F60346" w:tentative="1">
      <w:start w:val="1"/>
      <w:numFmt w:val="decimal"/>
      <w:lvlText w:val="%7."/>
      <w:lvlJc w:val="left"/>
      <w:pPr>
        <w:ind w:left="4680" w:hanging="360"/>
      </w:pPr>
    </w:lvl>
    <w:lvl w:ilvl="7" w:tplc="FDE01CD4" w:tentative="1">
      <w:start w:val="1"/>
      <w:numFmt w:val="lowerLetter"/>
      <w:lvlText w:val="%8."/>
      <w:lvlJc w:val="left"/>
      <w:pPr>
        <w:ind w:left="5400" w:hanging="360"/>
      </w:pPr>
    </w:lvl>
    <w:lvl w:ilvl="8" w:tplc="6EC86554" w:tentative="1">
      <w:start w:val="1"/>
      <w:numFmt w:val="lowerRoman"/>
      <w:lvlText w:val="%9."/>
      <w:lvlJc w:val="right"/>
      <w:pPr>
        <w:ind w:left="6120" w:hanging="180"/>
      </w:pPr>
    </w:lvl>
  </w:abstractNum>
  <w:abstractNum w:abstractNumId="24" w15:restartNumberingAfterBreak="0">
    <w:nsid w:val="41FE65CC"/>
    <w:multiLevelType w:val="hybridMultilevel"/>
    <w:tmpl w:val="2DCE9F2A"/>
    <w:lvl w:ilvl="0" w:tplc="863AF4FC">
      <w:start w:val="2"/>
      <w:numFmt w:val="bullet"/>
      <w:lvlText w:val=""/>
      <w:lvlJc w:val="left"/>
      <w:pPr>
        <w:ind w:left="720" w:hanging="360"/>
      </w:pPr>
      <w:rPr>
        <w:rFonts w:ascii="Symbol" w:eastAsia="Times New Roman" w:hAnsi="Symbol" w:cs="Times New Roman" w:hint="default"/>
      </w:rPr>
    </w:lvl>
    <w:lvl w:ilvl="1" w:tplc="00C00782">
      <w:start w:val="1"/>
      <w:numFmt w:val="bullet"/>
      <w:lvlText w:val="o"/>
      <w:lvlJc w:val="left"/>
      <w:pPr>
        <w:ind w:left="1440" w:hanging="360"/>
      </w:pPr>
      <w:rPr>
        <w:rFonts w:ascii="Courier New" w:hAnsi="Courier New" w:cs="Courier New" w:hint="default"/>
      </w:rPr>
    </w:lvl>
    <w:lvl w:ilvl="2" w:tplc="6A6085C2" w:tentative="1">
      <w:start w:val="1"/>
      <w:numFmt w:val="bullet"/>
      <w:lvlText w:val=""/>
      <w:lvlJc w:val="left"/>
      <w:pPr>
        <w:ind w:left="2160" w:hanging="360"/>
      </w:pPr>
      <w:rPr>
        <w:rFonts w:ascii="Wingdings" w:hAnsi="Wingdings" w:hint="default"/>
      </w:rPr>
    </w:lvl>
    <w:lvl w:ilvl="3" w:tplc="DCBCBA7C" w:tentative="1">
      <w:start w:val="1"/>
      <w:numFmt w:val="bullet"/>
      <w:lvlText w:val=""/>
      <w:lvlJc w:val="left"/>
      <w:pPr>
        <w:ind w:left="2880" w:hanging="360"/>
      </w:pPr>
      <w:rPr>
        <w:rFonts w:ascii="Symbol" w:hAnsi="Symbol" w:hint="default"/>
      </w:rPr>
    </w:lvl>
    <w:lvl w:ilvl="4" w:tplc="D6FC3288" w:tentative="1">
      <w:start w:val="1"/>
      <w:numFmt w:val="bullet"/>
      <w:lvlText w:val="o"/>
      <w:lvlJc w:val="left"/>
      <w:pPr>
        <w:ind w:left="3600" w:hanging="360"/>
      </w:pPr>
      <w:rPr>
        <w:rFonts w:ascii="Courier New" w:hAnsi="Courier New" w:cs="Courier New" w:hint="default"/>
      </w:rPr>
    </w:lvl>
    <w:lvl w:ilvl="5" w:tplc="0A82733C" w:tentative="1">
      <w:start w:val="1"/>
      <w:numFmt w:val="bullet"/>
      <w:lvlText w:val=""/>
      <w:lvlJc w:val="left"/>
      <w:pPr>
        <w:ind w:left="4320" w:hanging="360"/>
      </w:pPr>
      <w:rPr>
        <w:rFonts w:ascii="Wingdings" w:hAnsi="Wingdings" w:hint="default"/>
      </w:rPr>
    </w:lvl>
    <w:lvl w:ilvl="6" w:tplc="30349D02" w:tentative="1">
      <w:start w:val="1"/>
      <w:numFmt w:val="bullet"/>
      <w:lvlText w:val=""/>
      <w:lvlJc w:val="left"/>
      <w:pPr>
        <w:ind w:left="5040" w:hanging="360"/>
      </w:pPr>
      <w:rPr>
        <w:rFonts w:ascii="Symbol" w:hAnsi="Symbol" w:hint="default"/>
      </w:rPr>
    </w:lvl>
    <w:lvl w:ilvl="7" w:tplc="F7BA5AFC" w:tentative="1">
      <w:start w:val="1"/>
      <w:numFmt w:val="bullet"/>
      <w:lvlText w:val="o"/>
      <w:lvlJc w:val="left"/>
      <w:pPr>
        <w:ind w:left="5760" w:hanging="360"/>
      </w:pPr>
      <w:rPr>
        <w:rFonts w:ascii="Courier New" w:hAnsi="Courier New" w:cs="Courier New" w:hint="default"/>
      </w:rPr>
    </w:lvl>
    <w:lvl w:ilvl="8" w:tplc="E77C45B4" w:tentative="1">
      <w:start w:val="1"/>
      <w:numFmt w:val="bullet"/>
      <w:lvlText w:val=""/>
      <w:lvlJc w:val="left"/>
      <w:pPr>
        <w:ind w:left="6480" w:hanging="360"/>
      </w:pPr>
      <w:rPr>
        <w:rFonts w:ascii="Wingdings" w:hAnsi="Wingdings" w:hint="default"/>
      </w:rPr>
    </w:lvl>
  </w:abstractNum>
  <w:abstractNum w:abstractNumId="25" w15:restartNumberingAfterBreak="0">
    <w:nsid w:val="428A5793"/>
    <w:multiLevelType w:val="hybridMultilevel"/>
    <w:tmpl w:val="4E965F60"/>
    <w:lvl w:ilvl="0" w:tplc="1F4E73D6">
      <w:start w:val="1"/>
      <w:numFmt w:val="bullet"/>
      <w:lvlText w:val=""/>
      <w:lvlJc w:val="left"/>
      <w:pPr>
        <w:ind w:left="720" w:hanging="360"/>
      </w:pPr>
      <w:rPr>
        <w:rFonts w:ascii="Symbol" w:hAnsi="Symbol" w:hint="default"/>
      </w:rPr>
    </w:lvl>
    <w:lvl w:ilvl="1" w:tplc="44248984" w:tentative="1">
      <w:start w:val="1"/>
      <w:numFmt w:val="bullet"/>
      <w:lvlText w:val="o"/>
      <w:lvlJc w:val="left"/>
      <w:pPr>
        <w:ind w:left="1440" w:hanging="360"/>
      </w:pPr>
      <w:rPr>
        <w:rFonts w:ascii="Courier New" w:hAnsi="Courier New" w:cs="Courier New" w:hint="default"/>
      </w:rPr>
    </w:lvl>
    <w:lvl w:ilvl="2" w:tplc="1E0033E0" w:tentative="1">
      <w:start w:val="1"/>
      <w:numFmt w:val="bullet"/>
      <w:lvlText w:val=""/>
      <w:lvlJc w:val="left"/>
      <w:pPr>
        <w:ind w:left="2160" w:hanging="360"/>
      </w:pPr>
      <w:rPr>
        <w:rFonts w:ascii="Wingdings" w:hAnsi="Wingdings" w:hint="default"/>
      </w:rPr>
    </w:lvl>
    <w:lvl w:ilvl="3" w:tplc="A60C9880" w:tentative="1">
      <w:start w:val="1"/>
      <w:numFmt w:val="bullet"/>
      <w:lvlText w:val=""/>
      <w:lvlJc w:val="left"/>
      <w:pPr>
        <w:ind w:left="2880" w:hanging="360"/>
      </w:pPr>
      <w:rPr>
        <w:rFonts w:ascii="Symbol" w:hAnsi="Symbol" w:hint="default"/>
      </w:rPr>
    </w:lvl>
    <w:lvl w:ilvl="4" w:tplc="0ABE9C7C" w:tentative="1">
      <w:start w:val="1"/>
      <w:numFmt w:val="bullet"/>
      <w:lvlText w:val="o"/>
      <w:lvlJc w:val="left"/>
      <w:pPr>
        <w:ind w:left="3600" w:hanging="360"/>
      </w:pPr>
      <w:rPr>
        <w:rFonts w:ascii="Courier New" w:hAnsi="Courier New" w:cs="Courier New" w:hint="default"/>
      </w:rPr>
    </w:lvl>
    <w:lvl w:ilvl="5" w:tplc="ADA8AA46" w:tentative="1">
      <w:start w:val="1"/>
      <w:numFmt w:val="bullet"/>
      <w:lvlText w:val=""/>
      <w:lvlJc w:val="left"/>
      <w:pPr>
        <w:ind w:left="4320" w:hanging="360"/>
      </w:pPr>
      <w:rPr>
        <w:rFonts w:ascii="Wingdings" w:hAnsi="Wingdings" w:hint="default"/>
      </w:rPr>
    </w:lvl>
    <w:lvl w:ilvl="6" w:tplc="E7E4CEFA" w:tentative="1">
      <w:start w:val="1"/>
      <w:numFmt w:val="bullet"/>
      <w:lvlText w:val=""/>
      <w:lvlJc w:val="left"/>
      <w:pPr>
        <w:ind w:left="5040" w:hanging="360"/>
      </w:pPr>
      <w:rPr>
        <w:rFonts w:ascii="Symbol" w:hAnsi="Symbol" w:hint="default"/>
      </w:rPr>
    </w:lvl>
    <w:lvl w:ilvl="7" w:tplc="C986D09E" w:tentative="1">
      <w:start w:val="1"/>
      <w:numFmt w:val="bullet"/>
      <w:lvlText w:val="o"/>
      <w:lvlJc w:val="left"/>
      <w:pPr>
        <w:ind w:left="5760" w:hanging="360"/>
      </w:pPr>
      <w:rPr>
        <w:rFonts w:ascii="Courier New" w:hAnsi="Courier New" w:cs="Courier New" w:hint="default"/>
      </w:rPr>
    </w:lvl>
    <w:lvl w:ilvl="8" w:tplc="B8262400" w:tentative="1">
      <w:start w:val="1"/>
      <w:numFmt w:val="bullet"/>
      <w:lvlText w:val=""/>
      <w:lvlJc w:val="left"/>
      <w:pPr>
        <w:ind w:left="6480" w:hanging="360"/>
      </w:pPr>
      <w:rPr>
        <w:rFonts w:ascii="Wingdings" w:hAnsi="Wingdings" w:hint="default"/>
      </w:rPr>
    </w:lvl>
  </w:abstractNum>
  <w:abstractNum w:abstractNumId="26" w15:restartNumberingAfterBreak="0">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7" w15:restartNumberingAfterBreak="0">
    <w:nsid w:val="4CC61171"/>
    <w:multiLevelType w:val="hybridMultilevel"/>
    <w:tmpl w:val="AEA0C9FA"/>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9" w15:restartNumberingAfterBreak="0">
    <w:nsid w:val="63C8D0F3"/>
    <w:multiLevelType w:val="multilevel"/>
    <w:tmpl w:val="800AFDC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0" w15:restartNumberingAfterBreak="0">
    <w:nsid w:val="65A77F19"/>
    <w:multiLevelType w:val="multilevel"/>
    <w:tmpl w:val="2AECF202"/>
    <w:numStyleLink w:val="list-vinkaan"/>
  </w:abstractNum>
  <w:abstractNum w:abstractNumId="31" w15:restartNumberingAfterBreak="0">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2" w15:restartNumberingAfterBreak="0">
    <w:nsid w:val="6F847279"/>
    <w:multiLevelType w:val="hybridMultilevel"/>
    <w:tmpl w:val="9F2614D0"/>
    <w:lvl w:ilvl="0" w:tplc="7C0AFF76">
      <w:start w:val="1"/>
      <w:numFmt w:val="bullet"/>
      <w:lvlText w:val=""/>
      <w:lvlJc w:val="left"/>
      <w:pPr>
        <w:ind w:left="720" w:hanging="360"/>
      </w:pPr>
      <w:rPr>
        <w:rFonts w:ascii="Symbol" w:hAnsi="Symbol" w:hint="default"/>
      </w:rPr>
    </w:lvl>
    <w:lvl w:ilvl="1" w:tplc="FF4CD368" w:tentative="1">
      <w:start w:val="1"/>
      <w:numFmt w:val="bullet"/>
      <w:lvlText w:val="o"/>
      <w:lvlJc w:val="left"/>
      <w:pPr>
        <w:ind w:left="1440" w:hanging="360"/>
      </w:pPr>
      <w:rPr>
        <w:rFonts w:ascii="Courier New" w:hAnsi="Courier New" w:cs="Courier New" w:hint="default"/>
      </w:rPr>
    </w:lvl>
    <w:lvl w:ilvl="2" w:tplc="EF34615C" w:tentative="1">
      <w:start w:val="1"/>
      <w:numFmt w:val="bullet"/>
      <w:lvlText w:val=""/>
      <w:lvlJc w:val="left"/>
      <w:pPr>
        <w:ind w:left="2160" w:hanging="360"/>
      </w:pPr>
      <w:rPr>
        <w:rFonts w:ascii="Wingdings" w:hAnsi="Wingdings" w:hint="default"/>
      </w:rPr>
    </w:lvl>
    <w:lvl w:ilvl="3" w:tplc="830A9AB2" w:tentative="1">
      <w:start w:val="1"/>
      <w:numFmt w:val="bullet"/>
      <w:lvlText w:val=""/>
      <w:lvlJc w:val="left"/>
      <w:pPr>
        <w:ind w:left="2880" w:hanging="360"/>
      </w:pPr>
      <w:rPr>
        <w:rFonts w:ascii="Symbol" w:hAnsi="Symbol" w:hint="default"/>
      </w:rPr>
    </w:lvl>
    <w:lvl w:ilvl="4" w:tplc="236C56BA" w:tentative="1">
      <w:start w:val="1"/>
      <w:numFmt w:val="bullet"/>
      <w:lvlText w:val="o"/>
      <w:lvlJc w:val="left"/>
      <w:pPr>
        <w:ind w:left="3600" w:hanging="360"/>
      </w:pPr>
      <w:rPr>
        <w:rFonts w:ascii="Courier New" w:hAnsi="Courier New" w:cs="Courier New" w:hint="default"/>
      </w:rPr>
    </w:lvl>
    <w:lvl w:ilvl="5" w:tplc="8B8E2DEA" w:tentative="1">
      <w:start w:val="1"/>
      <w:numFmt w:val="bullet"/>
      <w:lvlText w:val=""/>
      <w:lvlJc w:val="left"/>
      <w:pPr>
        <w:ind w:left="4320" w:hanging="360"/>
      </w:pPr>
      <w:rPr>
        <w:rFonts w:ascii="Wingdings" w:hAnsi="Wingdings" w:hint="default"/>
      </w:rPr>
    </w:lvl>
    <w:lvl w:ilvl="6" w:tplc="E9D2CCD6" w:tentative="1">
      <w:start w:val="1"/>
      <w:numFmt w:val="bullet"/>
      <w:lvlText w:val=""/>
      <w:lvlJc w:val="left"/>
      <w:pPr>
        <w:ind w:left="5040" w:hanging="360"/>
      </w:pPr>
      <w:rPr>
        <w:rFonts w:ascii="Symbol" w:hAnsi="Symbol" w:hint="default"/>
      </w:rPr>
    </w:lvl>
    <w:lvl w:ilvl="7" w:tplc="CC8E0F74" w:tentative="1">
      <w:start w:val="1"/>
      <w:numFmt w:val="bullet"/>
      <w:lvlText w:val="o"/>
      <w:lvlJc w:val="left"/>
      <w:pPr>
        <w:ind w:left="5760" w:hanging="360"/>
      </w:pPr>
      <w:rPr>
        <w:rFonts w:ascii="Courier New" w:hAnsi="Courier New" w:cs="Courier New" w:hint="default"/>
      </w:rPr>
    </w:lvl>
    <w:lvl w:ilvl="8" w:tplc="2DA460DE" w:tentative="1">
      <w:start w:val="1"/>
      <w:numFmt w:val="bullet"/>
      <w:lvlText w:val=""/>
      <w:lvlJc w:val="left"/>
      <w:pPr>
        <w:ind w:left="6480" w:hanging="360"/>
      </w:pPr>
      <w:rPr>
        <w:rFonts w:ascii="Wingdings" w:hAnsi="Wingdings" w:hint="default"/>
      </w:rPr>
    </w:lvl>
  </w:abstractNum>
  <w:abstractNum w:abstractNumId="33" w15:restartNumberingAfterBreak="0">
    <w:nsid w:val="703A29C7"/>
    <w:multiLevelType w:val="hybridMultilevel"/>
    <w:tmpl w:val="BE24F61E"/>
    <w:lvl w:ilvl="0" w:tplc="4D0AECF8">
      <w:start w:val="1"/>
      <w:numFmt w:val="bullet"/>
      <w:lvlText w:val=""/>
      <w:lvlJc w:val="left"/>
      <w:pPr>
        <w:ind w:left="720" w:hanging="360"/>
      </w:pPr>
      <w:rPr>
        <w:rFonts w:ascii="Symbol" w:hAnsi="Symbol" w:hint="default"/>
      </w:rPr>
    </w:lvl>
    <w:lvl w:ilvl="1" w:tplc="98DA71E4" w:tentative="1">
      <w:start w:val="1"/>
      <w:numFmt w:val="bullet"/>
      <w:lvlText w:val="o"/>
      <w:lvlJc w:val="left"/>
      <w:pPr>
        <w:ind w:left="1440" w:hanging="360"/>
      </w:pPr>
      <w:rPr>
        <w:rFonts w:ascii="Courier New" w:hAnsi="Courier New" w:cs="Courier New" w:hint="default"/>
      </w:rPr>
    </w:lvl>
    <w:lvl w:ilvl="2" w:tplc="D8782A86" w:tentative="1">
      <w:start w:val="1"/>
      <w:numFmt w:val="bullet"/>
      <w:lvlText w:val=""/>
      <w:lvlJc w:val="left"/>
      <w:pPr>
        <w:ind w:left="2160" w:hanging="360"/>
      </w:pPr>
      <w:rPr>
        <w:rFonts w:ascii="Wingdings" w:hAnsi="Wingdings" w:hint="default"/>
      </w:rPr>
    </w:lvl>
    <w:lvl w:ilvl="3" w:tplc="9B7C49AE" w:tentative="1">
      <w:start w:val="1"/>
      <w:numFmt w:val="bullet"/>
      <w:lvlText w:val=""/>
      <w:lvlJc w:val="left"/>
      <w:pPr>
        <w:ind w:left="2880" w:hanging="360"/>
      </w:pPr>
      <w:rPr>
        <w:rFonts w:ascii="Symbol" w:hAnsi="Symbol" w:hint="default"/>
      </w:rPr>
    </w:lvl>
    <w:lvl w:ilvl="4" w:tplc="05945E38" w:tentative="1">
      <w:start w:val="1"/>
      <w:numFmt w:val="bullet"/>
      <w:lvlText w:val="o"/>
      <w:lvlJc w:val="left"/>
      <w:pPr>
        <w:ind w:left="3600" w:hanging="360"/>
      </w:pPr>
      <w:rPr>
        <w:rFonts w:ascii="Courier New" w:hAnsi="Courier New" w:cs="Courier New" w:hint="default"/>
      </w:rPr>
    </w:lvl>
    <w:lvl w:ilvl="5" w:tplc="1FB4A47C" w:tentative="1">
      <w:start w:val="1"/>
      <w:numFmt w:val="bullet"/>
      <w:lvlText w:val=""/>
      <w:lvlJc w:val="left"/>
      <w:pPr>
        <w:ind w:left="4320" w:hanging="360"/>
      </w:pPr>
      <w:rPr>
        <w:rFonts w:ascii="Wingdings" w:hAnsi="Wingdings" w:hint="default"/>
      </w:rPr>
    </w:lvl>
    <w:lvl w:ilvl="6" w:tplc="D388B94C" w:tentative="1">
      <w:start w:val="1"/>
      <w:numFmt w:val="bullet"/>
      <w:lvlText w:val=""/>
      <w:lvlJc w:val="left"/>
      <w:pPr>
        <w:ind w:left="5040" w:hanging="360"/>
      </w:pPr>
      <w:rPr>
        <w:rFonts w:ascii="Symbol" w:hAnsi="Symbol" w:hint="default"/>
      </w:rPr>
    </w:lvl>
    <w:lvl w:ilvl="7" w:tplc="476A0488" w:tentative="1">
      <w:start w:val="1"/>
      <w:numFmt w:val="bullet"/>
      <w:lvlText w:val="o"/>
      <w:lvlJc w:val="left"/>
      <w:pPr>
        <w:ind w:left="5760" w:hanging="360"/>
      </w:pPr>
      <w:rPr>
        <w:rFonts w:ascii="Courier New" w:hAnsi="Courier New" w:cs="Courier New" w:hint="default"/>
      </w:rPr>
    </w:lvl>
    <w:lvl w:ilvl="8" w:tplc="4E38182C" w:tentative="1">
      <w:start w:val="1"/>
      <w:numFmt w:val="bullet"/>
      <w:lvlText w:val=""/>
      <w:lvlJc w:val="left"/>
      <w:pPr>
        <w:ind w:left="6480" w:hanging="360"/>
      </w:pPr>
      <w:rPr>
        <w:rFonts w:ascii="Wingdings" w:hAnsi="Wingdings" w:hint="default"/>
      </w:rPr>
    </w:lvl>
  </w:abstractNum>
  <w:abstractNum w:abstractNumId="34" w15:restartNumberingAfterBreak="0">
    <w:nsid w:val="7338741E"/>
    <w:multiLevelType w:val="multilevel"/>
    <w:tmpl w:val="C340002C"/>
    <w:numStyleLink w:val="list-vinkuit"/>
  </w:abstractNum>
  <w:abstractNum w:abstractNumId="35" w15:restartNumberingAfterBreak="0">
    <w:nsid w:val="7CA0FE2D"/>
    <w:multiLevelType w:val="multilevel"/>
    <w:tmpl w:val="4D5D8265"/>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6" w15:restartNumberingAfterBreak="0">
    <w:nsid w:val="7E01507B"/>
    <w:multiLevelType w:val="hybridMultilevel"/>
    <w:tmpl w:val="4C6ADDEC"/>
    <w:lvl w:ilvl="0" w:tplc="363ADEDA">
      <w:start w:val="1"/>
      <w:numFmt w:val="decimal"/>
      <w:lvlText w:val="%1."/>
      <w:lvlJc w:val="left"/>
      <w:pPr>
        <w:ind w:left="585" w:hanging="360"/>
      </w:pPr>
      <w:rPr>
        <w:rFonts w:hint="default"/>
      </w:rPr>
    </w:lvl>
    <w:lvl w:ilvl="1" w:tplc="FACAB252" w:tentative="1">
      <w:start w:val="1"/>
      <w:numFmt w:val="lowerLetter"/>
      <w:lvlText w:val="%2."/>
      <w:lvlJc w:val="left"/>
      <w:pPr>
        <w:ind w:left="1305" w:hanging="360"/>
      </w:pPr>
    </w:lvl>
    <w:lvl w:ilvl="2" w:tplc="A3323520" w:tentative="1">
      <w:start w:val="1"/>
      <w:numFmt w:val="lowerRoman"/>
      <w:lvlText w:val="%3."/>
      <w:lvlJc w:val="right"/>
      <w:pPr>
        <w:ind w:left="2025" w:hanging="180"/>
      </w:pPr>
    </w:lvl>
    <w:lvl w:ilvl="3" w:tplc="631A5B68" w:tentative="1">
      <w:start w:val="1"/>
      <w:numFmt w:val="decimal"/>
      <w:lvlText w:val="%4."/>
      <w:lvlJc w:val="left"/>
      <w:pPr>
        <w:ind w:left="2745" w:hanging="360"/>
      </w:pPr>
    </w:lvl>
    <w:lvl w:ilvl="4" w:tplc="36E2C822" w:tentative="1">
      <w:start w:val="1"/>
      <w:numFmt w:val="lowerLetter"/>
      <w:lvlText w:val="%5."/>
      <w:lvlJc w:val="left"/>
      <w:pPr>
        <w:ind w:left="3465" w:hanging="360"/>
      </w:pPr>
    </w:lvl>
    <w:lvl w:ilvl="5" w:tplc="5A141788" w:tentative="1">
      <w:start w:val="1"/>
      <w:numFmt w:val="lowerRoman"/>
      <w:lvlText w:val="%6."/>
      <w:lvlJc w:val="right"/>
      <w:pPr>
        <w:ind w:left="4185" w:hanging="180"/>
      </w:pPr>
    </w:lvl>
    <w:lvl w:ilvl="6" w:tplc="368E776E" w:tentative="1">
      <w:start w:val="1"/>
      <w:numFmt w:val="decimal"/>
      <w:lvlText w:val="%7."/>
      <w:lvlJc w:val="left"/>
      <w:pPr>
        <w:ind w:left="4905" w:hanging="360"/>
      </w:pPr>
    </w:lvl>
    <w:lvl w:ilvl="7" w:tplc="43BC005E" w:tentative="1">
      <w:start w:val="1"/>
      <w:numFmt w:val="lowerLetter"/>
      <w:lvlText w:val="%8."/>
      <w:lvlJc w:val="left"/>
      <w:pPr>
        <w:ind w:left="5625" w:hanging="360"/>
      </w:pPr>
    </w:lvl>
    <w:lvl w:ilvl="8" w:tplc="784ECF64" w:tentative="1">
      <w:start w:val="1"/>
      <w:numFmt w:val="lowerRoman"/>
      <w:lvlText w:val="%9."/>
      <w:lvlJc w:val="right"/>
      <w:pPr>
        <w:ind w:left="6345" w:hanging="180"/>
      </w:pPr>
    </w:lvl>
  </w:abstractNum>
  <w:abstractNum w:abstractNumId="37" w15:restartNumberingAfterBreak="0">
    <w:nsid w:val="7FEA0BA1"/>
    <w:multiLevelType w:val="hybridMultilevel"/>
    <w:tmpl w:val="38E031F2"/>
    <w:lvl w:ilvl="0" w:tplc="0D223838">
      <w:start w:val="2"/>
      <w:numFmt w:val="bullet"/>
      <w:lvlText w:val=""/>
      <w:lvlJc w:val="left"/>
      <w:pPr>
        <w:ind w:left="814" w:hanging="360"/>
      </w:pPr>
      <w:rPr>
        <w:rFonts w:ascii="Symbol" w:eastAsiaTheme="minorHAnsi" w:hAnsi="Symbol" w:cs="Times New Roman" w:hint="default"/>
      </w:rPr>
    </w:lvl>
    <w:lvl w:ilvl="1" w:tplc="04130003" w:tentative="1">
      <w:start w:val="1"/>
      <w:numFmt w:val="bullet"/>
      <w:lvlText w:val="o"/>
      <w:lvlJc w:val="left"/>
      <w:pPr>
        <w:ind w:left="1534" w:hanging="360"/>
      </w:pPr>
      <w:rPr>
        <w:rFonts w:ascii="Courier New" w:hAnsi="Courier New" w:cs="Courier New" w:hint="default"/>
      </w:rPr>
    </w:lvl>
    <w:lvl w:ilvl="2" w:tplc="04130005" w:tentative="1">
      <w:start w:val="1"/>
      <w:numFmt w:val="bullet"/>
      <w:lvlText w:val=""/>
      <w:lvlJc w:val="left"/>
      <w:pPr>
        <w:ind w:left="2254" w:hanging="360"/>
      </w:pPr>
      <w:rPr>
        <w:rFonts w:ascii="Wingdings" w:hAnsi="Wingdings" w:hint="default"/>
      </w:rPr>
    </w:lvl>
    <w:lvl w:ilvl="3" w:tplc="04130001" w:tentative="1">
      <w:start w:val="1"/>
      <w:numFmt w:val="bullet"/>
      <w:lvlText w:val=""/>
      <w:lvlJc w:val="left"/>
      <w:pPr>
        <w:ind w:left="2974" w:hanging="360"/>
      </w:pPr>
      <w:rPr>
        <w:rFonts w:ascii="Symbol" w:hAnsi="Symbol" w:hint="default"/>
      </w:rPr>
    </w:lvl>
    <w:lvl w:ilvl="4" w:tplc="04130003" w:tentative="1">
      <w:start w:val="1"/>
      <w:numFmt w:val="bullet"/>
      <w:lvlText w:val="o"/>
      <w:lvlJc w:val="left"/>
      <w:pPr>
        <w:ind w:left="3694" w:hanging="360"/>
      </w:pPr>
      <w:rPr>
        <w:rFonts w:ascii="Courier New" w:hAnsi="Courier New" w:cs="Courier New" w:hint="default"/>
      </w:rPr>
    </w:lvl>
    <w:lvl w:ilvl="5" w:tplc="04130005" w:tentative="1">
      <w:start w:val="1"/>
      <w:numFmt w:val="bullet"/>
      <w:lvlText w:val=""/>
      <w:lvlJc w:val="left"/>
      <w:pPr>
        <w:ind w:left="4414" w:hanging="360"/>
      </w:pPr>
      <w:rPr>
        <w:rFonts w:ascii="Wingdings" w:hAnsi="Wingdings" w:hint="default"/>
      </w:rPr>
    </w:lvl>
    <w:lvl w:ilvl="6" w:tplc="04130001" w:tentative="1">
      <w:start w:val="1"/>
      <w:numFmt w:val="bullet"/>
      <w:lvlText w:val=""/>
      <w:lvlJc w:val="left"/>
      <w:pPr>
        <w:ind w:left="5134" w:hanging="360"/>
      </w:pPr>
      <w:rPr>
        <w:rFonts w:ascii="Symbol" w:hAnsi="Symbol" w:hint="default"/>
      </w:rPr>
    </w:lvl>
    <w:lvl w:ilvl="7" w:tplc="04130003" w:tentative="1">
      <w:start w:val="1"/>
      <w:numFmt w:val="bullet"/>
      <w:lvlText w:val="o"/>
      <w:lvlJc w:val="left"/>
      <w:pPr>
        <w:ind w:left="5854" w:hanging="360"/>
      </w:pPr>
      <w:rPr>
        <w:rFonts w:ascii="Courier New" w:hAnsi="Courier New" w:cs="Courier New" w:hint="default"/>
      </w:rPr>
    </w:lvl>
    <w:lvl w:ilvl="8" w:tplc="04130005" w:tentative="1">
      <w:start w:val="1"/>
      <w:numFmt w:val="bullet"/>
      <w:lvlText w:val=""/>
      <w:lvlJc w:val="left"/>
      <w:pPr>
        <w:ind w:left="6574" w:hanging="360"/>
      </w:pPr>
      <w:rPr>
        <w:rFonts w:ascii="Wingdings" w:hAnsi="Wingdings" w:hint="default"/>
      </w:rPr>
    </w:lvl>
  </w:abstractNum>
  <w:num w:numId="1" w16cid:durableId="1836410916">
    <w:abstractNumId w:val="35"/>
  </w:num>
  <w:num w:numId="2" w16cid:durableId="581992021">
    <w:abstractNumId w:val="2"/>
  </w:num>
  <w:num w:numId="3" w16cid:durableId="1848985466">
    <w:abstractNumId w:val="8"/>
  </w:num>
  <w:num w:numId="4" w16cid:durableId="46150762">
    <w:abstractNumId w:val="0"/>
  </w:num>
  <w:num w:numId="5" w16cid:durableId="531456794">
    <w:abstractNumId w:val="1"/>
  </w:num>
  <w:num w:numId="6" w16cid:durableId="242107049">
    <w:abstractNumId w:val="29"/>
  </w:num>
  <w:num w:numId="7" w16cid:durableId="2112118416">
    <w:abstractNumId w:val="7"/>
  </w:num>
  <w:num w:numId="8" w16cid:durableId="516584167">
    <w:abstractNumId w:val="15"/>
  </w:num>
  <w:num w:numId="9" w16cid:durableId="813063329">
    <w:abstractNumId w:val="21"/>
  </w:num>
  <w:num w:numId="10" w16cid:durableId="1420558715">
    <w:abstractNumId w:val="5"/>
  </w:num>
  <w:num w:numId="11" w16cid:durableId="1046876285">
    <w:abstractNumId w:val="16"/>
  </w:num>
  <w:num w:numId="12" w16cid:durableId="1170683338">
    <w:abstractNumId w:val="28"/>
  </w:num>
  <w:num w:numId="13" w16cid:durableId="851652386">
    <w:abstractNumId w:val="31"/>
  </w:num>
  <w:num w:numId="14" w16cid:durableId="1857694171">
    <w:abstractNumId w:val="13"/>
  </w:num>
  <w:num w:numId="15" w16cid:durableId="977496651">
    <w:abstractNumId w:val="14"/>
  </w:num>
  <w:num w:numId="16" w16cid:durableId="1971520406">
    <w:abstractNumId w:val="4"/>
  </w:num>
  <w:num w:numId="17" w16cid:durableId="1335257891">
    <w:abstractNumId w:val="26"/>
  </w:num>
  <w:num w:numId="18" w16cid:durableId="1496527331">
    <w:abstractNumId w:val="18"/>
  </w:num>
  <w:num w:numId="19" w16cid:durableId="292447383">
    <w:abstractNumId w:val="20"/>
  </w:num>
  <w:num w:numId="20" w16cid:durableId="900284595">
    <w:abstractNumId w:val="30"/>
  </w:num>
  <w:num w:numId="21" w16cid:durableId="1722633347">
    <w:abstractNumId w:val="34"/>
  </w:num>
  <w:num w:numId="22" w16cid:durableId="535851835">
    <w:abstractNumId w:val="17"/>
  </w:num>
  <w:num w:numId="23" w16cid:durableId="569509828">
    <w:abstractNumId w:val="11"/>
  </w:num>
  <w:num w:numId="24" w16cid:durableId="1683125255">
    <w:abstractNumId w:val="25"/>
  </w:num>
  <w:num w:numId="25" w16cid:durableId="129133330">
    <w:abstractNumId w:val="24"/>
  </w:num>
  <w:num w:numId="26" w16cid:durableId="2025087215">
    <w:abstractNumId w:val="10"/>
  </w:num>
  <w:num w:numId="27" w16cid:durableId="185948322">
    <w:abstractNumId w:val="23"/>
  </w:num>
  <w:num w:numId="28" w16cid:durableId="1769083533">
    <w:abstractNumId w:val="12"/>
  </w:num>
  <w:num w:numId="29" w16cid:durableId="1555775464">
    <w:abstractNumId w:val="33"/>
  </w:num>
  <w:num w:numId="30" w16cid:durableId="2124496724">
    <w:abstractNumId w:val="32"/>
  </w:num>
  <w:num w:numId="31" w16cid:durableId="1132023153">
    <w:abstractNumId w:val="36"/>
  </w:num>
  <w:num w:numId="32" w16cid:durableId="425880769">
    <w:abstractNumId w:val="6"/>
  </w:num>
  <w:num w:numId="33" w16cid:durableId="2067297774">
    <w:abstractNumId w:val="22"/>
  </w:num>
  <w:num w:numId="34" w16cid:durableId="713505635">
    <w:abstractNumId w:val="37"/>
  </w:num>
  <w:num w:numId="35" w16cid:durableId="1228952451">
    <w:abstractNumId w:val="9"/>
  </w:num>
  <w:num w:numId="36" w16cid:durableId="87431320">
    <w:abstractNumId w:val="19"/>
  </w:num>
  <w:num w:numId="37" w16cid:durableId="2101679661">
    <w:abstractNumId w:val="3"/>
  </w:num>
  <w:num w:numId="38" w16cid:durableId="186012501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047"/>
    <w:rsid w:val="000038BA"/>
    <w:rsid w:val="00006B4A"/>
    <w:rsid w:val="00021C9F"/>
    <w:rsid w:val="00027F62"/>
    <w:rsid w:val="00030E10"/>
    <w:rsid w:val="0003303A"/>
    <w:rsid w:val="00052428"/>
    <w:rsid w:val="000728A9"/>
    <w:rsid w:val="000757C2"/>
    <w:rsid w:val="00087303"/>
    <w:rsid w:val="00091910"/>
    <w:rsid w:val="00095437"/>
    <w:rsid w:val="000A303D"/>
    <w:rsid w:val="000A7D42"/>
    <w:rsid w:val="000B719F"/>
    <w:rsid w:val="000C57A5"/>
    <w:rsid w:val="000F081E"/>
    <w:rsid w:val="000F3626"/>
    <w:rsid w:val="000F4797"/>
    <w:rsid w:val="00112331"/>
    <w:rsid w:val="00115143"/>
    <w:rsid w:val="001171AA"/>
    <w:rsid w:val="00117D6B"/>
    <w:rsid w:val="00125CD1"/>
    <w:rsid w:val="00130F25"/>
    <w:rsid w:val="0013185E"/>
    <w:rsid w:val="00134380"/>
    <w:rsid w:val="00135DDE"/>
    <w:rsid w:val="0015708A"/>
    <w:rsid w:val="0016373E"/>
    <w:rsid w:val="00164422"/>
    <w:rsid w:val="001750DB"/>
    <w:rsid w:val="00181CFD"/>
    <w:rsid w:val="00183E46"/>
    <w:rsid w:val="00190515"/>
    <w:rsid w:val="00191FC2"/>
    <w:rsid w:val="001A3DE1"/>
    <w:rsid w:val="001B022E"/>
    <w:rsid w:val="001B75BE"/>
    <w:rsid w:val="001B77FC"/>
    <w:rsid w:val="001D019B"/>
    <w:rsid w:val="001E5B15"/>
    <w:rsid w:val="0020033F"/>
    <w:rsid w:val="002022A3"/>
    <w:rsid w:val="0020439B"/>
    <w:rsid w:val="00210F9A"/>
    <w:rsid w:val="00214F29"/>
    <w:rsid w:val="002151F7"/>
    <w:rsid w:val="00222CEF"/>
    <w:rsid w:val="0022730C"/>
    <w:rsid w:val="00234612"/>
    <w:rsid w:val="00234B82"/>
    <w:rsid w:val="002350B7"/>
    <w:rsid w:val="00247ABF"/>
    <w:rsid w:val="00250679"/>
    <w:rsid w:val="00253C04"/>
    <w:rsid w:val="00253C32"/>
    <w:rsid w:val="00260C9B"/>
    <w:rsid w:val="00261DE5"/>
    <w:rsid w:val="0029392D"/>
    <w:rsid w:val="002964D2"/>
    <w:rsid w:val="002B3CB9"/>
    <w:rsid w:val="002B7974"/>
    <w:rsid w:val="002C27C6"/>
    <w:rsid w:val="002C3A6A"/>
    <w:rsid w:val="002D1166"/>
    <w:rsid w:val="002D2110"/>
    <w:rsid w:val="002E53B0"/>
    <w:rsid w:val="00311AD0"/>
    <w:rsid w:val="0031367C"/>
    <w:rsid w:val="00315CDA"/>
    <w:rsid w:val="00320930"/>
    <w:rsid w:val="00326327"/>
    <w:rsid w:val="0035538B"/>
    <w:rsid w:val="00385053"/>
    <w:rsid w:val="003916C6"/>
    <w:rsid w:val="00392F8A"/>
    <w:rsid w:val="003B2EB2"/>
    <w:rsid w:val="003B504C"/>
    <w:rsid w:val="003D02F8"/>
    <w:rsid w:val="003E0FEA"/>
    <w:rsid w:val="003E6048"/>
    <w:rsid w:val="00405D9E"/>
    <w:rsid w:val="00406D7C"/>
    <w:rsid w:val="004203A8"/>
    <w:rsid w:val="00420887"/>
    <w:rsid w:val="00422325"/>
    <w:rsid w:val="00433BE2"/>
    <w:rsid w:val="00443B3C"/>
    <w:rsid w:val="0044416E"/>
    <w:rsid w:val="0044779A"/>
    <w:rsid w:val="00450D41"/>
    <w:rsid w:val="00463DD0"/>
    <w:rsid w:val="0047529F"/>
    <w:rsid w:val="0047705F"/>
    <w:rsid w:val="0049179A"/>
    <w:rsid w:val="0049513B"/>
    <w:rsid w:val="00496FB2"/>
    <w:rsid w:val="004B6ADC"/>
    <w:rsid w:val="004C36FC"/>
    <w:rsid w:val="004E4091"/>
    <w:rsid w:val="00513865"/>
    <w:rsid w:val="00514E0F"/>
    <w:rsid w:val="00530C7C"/>
    <w:rsid w:val="005436E1"/>
    <w:rsid w:val="005710CB"/>
    <w:rsid w:val="005770FB"/>
    <w:rsid w:val="005837AE"/>
    <w:rsid w:val="00594411"/>
    <w:rsid w:val="005967EA"/>
    <w:rsid w:val="005C185D"/>
    <w:rsid w:val="005C52C3"/>
    <w:rsid w:val="005C6E80"/>
    <w:rsid w:val="005E2E7B"/>
    <w:rsid w:val="005E6CFA"/>
    <w:rsid w:val="005F18F1"/>
    <w:rsid w:val="005F3A13"/>
    <w:rsid w:val="005F5428"/>
    <w:rsid w:val="006105FE"/>
    <w:rsid w:val="0061535F"/>
    <w:rsid w:val="00626C8C"/>
    <w:rsid w:val="00646EA9"/>
    <w:rsid w:val="0066031B"/>
    <w:rsid w:val="00663495"/>
    <w:rsid w:val="00665203"/>
    <w:rsid w:val="00686259"/>
    <w:rsid w:val="006A65CE"/>
    <w:rsid w:val="006A6D9F"/>
    <w:rsid w:val="006B06E3"/>
    <w:rsid w:val="006C0B20"/>
    <w:rsid w:val="006D6311"/>
    <w:rsid w:val="006E5BB1"/>
    <w:rsid w:val="00735200"/>
    <w:rsid w:val="00743D16"/>
    <w:rsid w:val="007455AF"/>
    <w:rsid w:val="00751BEB"/>
    <w:rsid w:val="00754D25"/>
    <w:rsid w:val="00766245"/>
    <w:rsid w:val="007723F4"/>
    <w:rsid w:val="00785F47"/>
    <w:rsid w:val="00793681"/>
    <w:rsid w:val="007D4A68"/>
    <w:rsid w:val="007D59D3"/>
    <w:rsid w:val="007E2617"/>
    <w:rsid w:val="007E2EAE"/>
    <w:rsid w:val="007E6231"/>
    <w:rsid w:val="007E6C04"/>
    <w:rsid w:val="007E79E8"/>
    <w:rsid w:val="00800F63"/>
    <w:rsid w:val="008071E4"/>
    <w:rsid w:val="0083332E"/>
    <w:rsid w:val="008333D7"/>
    <w:rsid w:val="0083380B"/>
    <w:rsid w:val="00834DD2"/>
    <w:rsid w:val="008461DE"/>
    <w:rsid w:val="00846AE9"/>
    <w:rsid w:val="008501D5"/>
    <w:rsid w:val="008518B2"/>
    <w:rsid w:val="008557AA"/>
    <w:rsid w:val="00864BDD"/>
    <w:rsid w:val="008661C0"/>
    <w:rsid w:val="00873B2A"/>
    <w:rsid w:val="00875BF1"/>
    <w:rsid w:val="008834CB"/>
    <w:rsid w:val="008938C6"/>
    <w:rsid w:val="00897730"/>
    <w:rsid w:val="008B4537"/>
    <w:rsid w:val="008C185D"/>
    <w:rsid w:val="008D122E"/>
    <w:rsid w:val="008D2A93"/>
    <w:rsid w:val="008D5F4E"/>
    <w:rsid w:val="008D792C"/>
    <w:rsid w:val="008E0EAB"/>
    <w:rsid w:val="008F402A"/>
    <w:rsid w:val="008F4502"/>
    <w:rsid w:val="009049B0"/>
    <w:rsid w:val="009125D4"/>
    <w:rsid w:val="00971CFB"/>
    <w:rsid w:val="00977DD6"/>
    <w:rsid w:val="0099585C"/>
    <w:rsid w:val="00997C3E"/>
    <w:rsid w:val="009B0BA7"/>
    <w:rsid w:val="009B25B6"/>
    <w:rsid w:val="009C0645"/>
    <w:rsid w:val="009D1F6A"/>
    <w:rsid w:val="009E080F"/>
    <w:rsid w:val="009E53CA"/>
    <w:rsid w:val="009E670B"/>
    <w:rsid w:val="00A01EA1"/>
    <w:rsid w:val="00A0294E"/>
    <w:rsid w:val="00A17894"/>
    <w:rsid w:val="00A3350A"/>
    <w:rsid w:val="00A52917"/>
    <w:rsid w:val="00A53145"/>
    <w:rsid w:val="00A6147E"/>
    <w:rsid w:val="00A7085E"/>
    <w:rsid w:val="00A744F7"/>
    <w:rsid w:val="00A90851"/>
    <w:rsid w:val="00A920C9"/>
    <w:rsid w:val="00A9357A"/>
    <w:rsid w:val="00A9359D"/>
    <w:rsid w:val="00A93EA8"/>
    <w:rsid w:val="00AA45D1"/>
    <w:rsid w:val="00AA4960"/>
    <w:rsid w:val="00AB106E"/>
    <w:rsid w:val="00AD3B4C"/>
    <w:rsid w:val="00AE1A92"/>
    <w:rsid w:val="00AF7365"/>
    <w:rsid w:val="00B10AE1"/>
    <w:rsid w:val="00B12B35"/>
    <w:rsid w:val="00B37BF2"/>
    <w:rsid w:val="00B42271"/>
    <w:rsid w:val="00B4543B"/>
    <w:rsid w:val="00B647BA"/>
    <w:rsid w:val="00B7373C"/>
    <w:rsid w:val="00B8110E"/>
    <w:rsid w:val="00B87C27"/>
    <w:rsid w:val="00BC1351"/>
    <w:rsid w:val="00BE1C1B"/>
    <w:rsid w:val="00BE1DD7"/>
    <w:rsid w:val="00BE545A"/>
    <w:rsid w:val="00BF1776"/>
    <w:rsid w:val="00BF647C"/>
    <w:rsid w:val="00C373ED"/>
    <w:rsid w:val="00C65B61"/>
    <w:rsid w:val="00C7014B"/>
    <w:rsid w:val="00C712DD"/>
    <w:rsid w:val="00C71C27"/>
    <w:rsid w:val="00C74F89"/>
    <w:rsid w:val="00C87C10"/>
    <w:rsid w:val="00C920F1"/>
    <w:rsid w:val="00C931A4"/>
    <w:rsid w:val="00CB5891"/>
    <w:rsid w:val="00CC3FD2"/>
    <w:rsid w:val="00CD5FFF"/>
    <w:rsid w:val="00CE258E"/>
    <w:rsid w:val="00D00F87"/>
    <w:rsid w:val="00D03FA6"/>
    <w:rsid w:val="00D04268"/>
    <w:rsid w:val="00D06B41"/>
    <w:rsid w:val="00D12589"/>
    <w:rsid w:val="00D13CBF"/>
    <w:rsid w:val="00D14499"/>
    <w:rsid w:val="00D15C05"/>
    <w:rsid w:val="00D4004B"/>
    <w:rsid w:val="00D4356F"/>
    <w:rsid w:val="00D53F96"/>
    <w:rsid w:val="00D556AB"/>
    <w:rsid w:val="00D57196"/>
    <w:rsid w:val="00D64D66"/>
    <w:rsid w:val="00D827C8"/>
    <w:rsid w:val="00D9222A"/>
    <w:rsid w:val="00DB1446"/>
    <w:rsid w:val="00DB14A3"/>
    <w:rsid w:val="00DB3ADA"/>
    <w:rsid w:val="00DC3563"/>
    <w:rsid w:val="00E013C8"/>
    <w:rsid w:val="00E10F0F"/>
    <w:rsid w:val="00E5564C"/>
    <w:rsid w:val="00E56047"/>
    <w:rsid w:val="00E83C7A"/>
    <w:rsid w:val="00E93047"/>
    <w:rsid w:val="00E97A18"/>
    <w:rsid w:val="00EA2D08"/>
    <w:rsid w:val="00EB5BA0"/>
    <w:rsid w:val="00EB5D78"/>
    <w:rsid w:val="00EC5E0B"/>
    <w:rsid w:val="00EE0881"/>
    <w:rsid w:val="00EE0E98"/>
    <w:rsid w:val="00F01174"/>
    <w:rsid w:val="00F0210F"/>
    <w:rsid w:val="00F05600"/>
    <w:rsid w:val="00F300EE"/>
    <w:rsid w:val="00F34A9D"/>
    <w:rsid w:val="00F61998"/>
    <w:rsid w:val="00F65257"/>
    <w:rsid w:val="00F67CAB"/>
    <w:rsid w:val="00F67FAC"/>
    <w:rsid w:val="00F73FAE"/>
    <w:rsid w:val="00FB3230"/>
    <w:rsid w:val="00FB6356"/>
    <w:rsid w:val="00FC73C4"/>
    <w:rsid w:val="00FD09D8"/>
    <w:rsid w:val="00FD2BBD"/>
    <w:rsid w:val="00FD6C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CE6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uiPriority="0"/>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E56047"/>
    <w:pPr>
      <w:autoSpaceDN/>
      <w:spacing w:line="240" w:lineRule="atLeast"/>
      <w:textAlignment w:val="auto"/>
    </w:pPr>
    <w:rPr>
      <w:rFonts w:ascii="Verdana" w:eastAsia="Times New Roman" w:hAnsi="Verdana" w:cs="Times New Roman"/>
      <w:sz w:val="18"/>
      <w:szCs w:val="24"/>
    </w:rPr>
  </w:style>
  <w:style w:type="paragraph" w:styleId="Kop1">
    <w:name w:val="heading 1"/>
    <w:basedOn w:val="Standaard"/>
    <w:next w:val="Standaard"/>
    <w:qFormat/>
    <w:pPr>
      <w:tabs>
        <w:tab w:val="left" w:pos="0"/>
      </w:tabs>
      <w:spacing w:before="240"/>
      <w:outlineLvl w:val="0"/>
    </w:pPr>
    <w:rPr>
      <w:b/>
    </w:rPr>
  </w:style>
  <w:style w:type="paragraph" w:styleId="Kop2">
    <w:name w:val="heading 2"/>
    <w:basedOn w:val="Standaard"/>
    <w:next w:val="Standaard"/>
    <w:link w:val="Kop2Char"/>
    <w:uiPriority w:val="9"/>
    <w:qFormat/>
    <w:pPr>
      <w:tabs>
        <w:tab w:val="left" w:pos="0"/>
      </w:tabs>
      <w:spacing w:before="240" w:line="240" w:lineRule="exact"/>
      <w:outlineLvl w:val="1"/>
    </w:pPr>
    <w:rPr>
      <w:i/>
      <w:color w:val="000000"/>
      <w:szCs w:val="18"/>
    </w:rPr>
  </w:style>
  <w:style w:type="paragraph" w:styleId="Kop3">
    <w:name w:val="heading 3"/>
    <w:basedOn w:val="Standaard"/>
    <w:next w:val="Standaard"/>
    <w:pPr>
      <w:tabs>
        <w:tab w:val="left" w:pos="0"/>
      </w:tabs>
      <w:spacing w:before="240" w:line="240" w:lineRule="exact"/>
      <w:ind w:left="-1120"/>
      <w:outlineLvl w:val="2"/>
    </w:pPr>
    <w:rPr>
      <w:color w:val="000000"/>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ind w:left="585" w:hanging="360"/>
    </w:pPr>
    <w:rPr>
      <w:b/>
    </w:rPr>
  </w:style>
  <w:style w:type="paragraph" w:customStyle="1" w:styleId="Agendapuntniveau1">
    <w:name w:val="Agendapunt niveau 1"/>
    <w:basedOn w:val="Standaard"/>
    <w:next w:val="Standaard"/>
    <w:pPr>
      <w:numPr>
        <w:ilvl w:val="1"/>
        <w:numId w:val="1"/>
      </w:numPr>
      <w:ind w:left="1305" w:hanging="360"/>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ind w:left="814" w:hanging="360"/>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rPr>
      <w:color w:val="000000"/>
      <w:szCs w:val="18"/>
    </w:r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color w:val="000000"/>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rPr>
      <w:color w:val="000000"/>
      <w:szCs w:val="18"/>
    </w:rPr>
  </w:style>
  <w:style w:type="paragraph" w:customStyle="1" w:styleId="Lijstniveau2">
    <w:name w:val="Lijst niveau 2"/>
    <w:basedOn w:val="Standaard"/>
    <w:uiPriority w:val="4"/>
    <w:qFormat/>
    <w:pPr>
      <w:numPr>
        <w:ilvl w:val="1"/>
        <w:numId w:val="5"/>
      </w:numPr>
      <w:spacing w:line="240" w:lineRule="exact"/>
    </w:pPr>
    <w:rPr>
      <w:color w:val="000000"/>
      <w:szCs w:val="18"/>
    </w:rPr>
  </w:style>
  <w:style w:type="paragraph" w:customStyle="1" w:styleId="Lijstniveau3">
    <w:name w:val="Lijst niveau 3"/>
    <w:basedOn w:val="Standaard"/>
    <w:uiPriority w:val="5"/>
    <w:qFormat/>
    <w:pPr>
      <w:numPr>
        <w:ilvl w:val="2"/>
        <w:numId w:val="5"/>
      </w:numPr>
      <w:spacing w:line="240" w:lineRule="exact"/>
    </w:pPr>
    <w:rPr>
      <w:color w:val="000000"/>
      <w:szCs w:val="18"/>
    </w:r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color w:val="000000"/>
      <w:sz w:val="24"/>
    </w:rPr>
  </w:style>
  <w:style w:type="paragraph" w:customStyle="1" w:styleId="Pagina-eindeKop1">
    <w:name w:val="Pagina-einde Kop 1"/>
    <w:basedOn w:val="Standaard"/>
    <w:next w:val="Standaard"/>
    <w:pPr>
      <w:pageBreakBefore/>
      <w:spacing w:line="240" w:lineRule="exact"/>
      <w:outlineLvl w:val="0"/>
    </w:pPr>
    <w:rPr>
      <w:b/>
      <w:color w:val="000000"/>
      <w:szCs w:val="18"/>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color w:val="000000"/>
      <w:sz w:val="13"/>
      <w:szCs w:val="13"/>
    </w:rPr>
  </w:style>
  <w:style w:type="paragraph" w:customStyle="1" w:styleId="Referentiegegevenscursief">
    <w:name w:val="Referentiegegevens cursief"/>
    <w:basedOn w:val="Standaard"/>
    <w:next w:val="Standaard"/>
    <w:pPr>
      <w:spacing w:line="180" w:lineRule="exact"/>
    </w:pPr>
    <w:rPr>
      <w:i/>
      <w:color w:val="000000"/>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color w:val="000000"/>
      <w:sz w:val="13"/>
      <w:szCs w:val="13"/>
    </w:rPr>
  </w:style>
  <w:style w:type="paragraph" w:customStyle="1" w:styleId="Standaardcursief">
    <w:name w:val="Standaard cursief"/>
    <w:basedOn w:val="Standaard"/>
    <w:next w:val="Standaard"/>
    <w:qFormat/>
    <w:pPr>
      <w:spacing w:line="240" w:lineRule="exact"/>
    </w:pPr>
    <w:rPr>
      <w:i/>
      <w:color w:val="000000"/>
      <w:szCs w:val="18"/>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color w:val="000000"/>
      <w:szCs w:val="18"/>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color w:val="000000"/>
      <w:sz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color w:val="000000"/>
      <w:sz w:val="9"/>
      <w:szCs w:val="9"/>
    </w:rPr>
  </w:style>
  <w:style w:type="paragraph" w:customStyle="1" w:styleId="WitregelW1bodytekst">
    <w:name w:val="Witregel W1 (bodytekst)"/>
    <w:basedOn w:val="Standaard"/>
    <w:next w:val="Standaard"/>
    <w:pPr>
      <w:spacing w:line="240" w:lineRule="exact"/>
    </w:pPr>
    <w:rPr>
      <w:color w:val="000000"/>
      <w:szCs w:val="18"/>
    </w:r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nhideWhenUsed/>
    <w:rsid w:val="00E5604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56047"/>
    <w:rPr>
      <w:rFonts w:ascii="Verdana" w:hAnsi="Verdana"/>
      <w:color w:val="000000"/>
      <w:sz w:val="18"/>
      <w:szCs w:val="18"/>
    </w:rPr>
  </w:style>
  <w:style w:type="paragraph" w:customStyle="1" w:styleId="adres">
    <w:name w:val="adres"/>
    <w:basedOn w:val="Standaard"/>
    <w:rsid w:val="00E56047"/>
    <w:pPr>
      <w:tabs>
        <w:tab w:val="left" w:pos="227"/>
        <w:tab w:val="left" w:pos="454"/>
        <w:tab w:val="left" w:pos="680"/>
      </w:tabs>
      <w:autoSpaceDE w:val="0"/>
      <w:adjustRightInd w:val="0"/>
    </w:pPr>
    <w:rPr>
      <w:noProof/>
    </w:rPr>
  </w:style>
  <w:style w:type="paragraph" w:styleId="Voetnoottekst">
    <w:name w:val="footnote text"/>
    <w:basedOn w:val="Standaard"/>
    <w:link w:val="VoetnoottekstChar"/>
    <w:uiPriority w:val="99"/>
    <w:semiHidden/>
    <w:rsid w:val="00E56047"/>
    <w:rPr>
      <w:sz w:val="16"/>
      <w:szCs w:val="20"/>
    </w:rPr>
  </w:style>
  <w:style w:type="character" w:customStyle="1" w:styleId="VoetnoottekstChar">
    <w:name w:val="Voetnoottekst Char"/>
    <w:basedOn w:val="Standaardalinea-lettertype"/>
    <w:link w:val="Voetnoottekst"/>
    <w:uiPriority w:val="99"/>
    <w:semiHidden/>
    <w:rsid w:val="00E56047"/>
    <w:rPr>
      <w:rFonts w:ascii="Verdana" w:eastAsia="Times New Roman" w:hAnsi="Verdana" w:cs="Times New Roman"/>
      <w:sz w:val="16"/>
    </w:rPr>
  </w:style>
  <w:style w:type="character" w:styleId="Voetnootmarkering">
    <w:name w:val="footnote reference"/>
    <w:basedOn w:val="Standaardalinea-lettertype"/>
    <w:uiPriority w:val="99"/>
    <w:semiHidden/>
    <w:rsid w:val="00E56047"/>
    <w:rPr>
      <w:vertAlign w:val="superscript"/>
    </w:rPr>
  </w:style>
  <w:style w:type="paragraph" w:customStyle="1" w:styleId="broodtekst">
    <w:name w:val="broodtekst"/>
    <w:basedOn w:val="Standaard"/>
    <w:qFormat/>
    <w:rsid w:val="00E56047"/>
    <w:pPr>
      <w:tabs>
        <w:tab w:val="left" w:pos="227"/>
        <w:tab w:val="left" w:pos="454"/>
        <w:tab w:val="left" w:pos="680"/>
      </w:tabs>
      <w:autoSpaceDE w:val="0"/>
      <w:autoSpaceDN w:val="0"/>
      <w:adjustRightInd w:val="0"/>
    </w:pPr>
    <w:rPr>
      <w:szCs w:val="18"/>
    </w:rPr>
  </w:style>
  <w:style w:type="character" w:styleId="GevolgdeHyperlink">
    <w:name w:val="FollowedHyperlink"/>
    <w:basedOn w:val="Standaardalinea-lettertype"/>
    <w:rsid w:val="00E56047"/>
    <w:rPr>
      <w:color w:val="800080"/>
      <w:u w:val="single"/>
    </w:rPr>
  </w:style>
  <w:style w:type="paragraph" w:customStyle="1" w:styleId="Huisstijl-Adres">
    <w:name w:val="Huisstijl-Adres"/>
    <w:basedOn w:val="broodtekst"/>
    <w:rsid w:val="00E56047"/>
    <w:pPr>
      <w:tabs>
        <w:tab w:val="left" w:pos="192"/>
      </w:tabs>
      <w:spacing w:after="90" w:line="180" w:lineRule="exact"/>
    </w:pPr>
    <w:rPr>
      <w:noProof/>
      <w:sz w:val="13"/>
      <w:szCs w:val="13"/>
    </w:rPr>
  </w:style>
  <w:style w:type="paragraph" w:styleId="Lijstopsomteken">
    <w:name w:val="List Bullet"/>
    <w:basedOn w:val="broodtekst"/>
    <w:rsid w:val="00E56047"/>
    <w:pPr>
      <w:numPr>
        <w:numId w:val="7"/>
      </w:numPr>
    </w:pPr>
    <w:rPr>
      <w:noProof/>
    </w:rPr>
  </w:style>
  <w:style w:type="character" w:customStyle="1" w:styleId="Huisstijl-GegevenCharChar">
    <w:name w:val="Huisstijl-Gegeven Char Char"/>
    <w:basedOn w:val="Standaardalinea-lettertype"/>
    <w:rsid w:val="00E56047"/>
    <w:rPr>
      <w:rFonts w:ascii="Verdana" w:hAnsi="Verdana"/>
      <w:noProof/>
      <w:sz w:val="13"/>
      <w:szCs w:val="24"/>
      <w:lang w:val="nl-NL" w:eastAsia="nl-NL" w:bidi="ar-SA"/>
    </w:rPr>
  </w:style>
  <w:style w:type="paragraph" w:customStyle="1" w:styleId="Huisstijl-Gegeven">
    <w:name w:val="Huisstijl-Gegeven"/>
    <w:basedOn w:val="broodtekst"/>
    <w:rsid w:val="00E56047"/>
    <w:pPr>
      <w:spacing w:after="92" w:line="180" w:lineRule="atLeast"/>
    </w:pPr>
    <w:rPr>
      <w:noProof/>
      <w:sz w:val="13"/>
    </w:rPr>
  </w:style>
  <w:style w:type="paragraph" w:customStyle="1" w:styleId="witregel1">
    <w:name w:val="witregel1"/>
    <w:basedOn w:val="broodtekst"/>
    <w:rsid w:val="00E56047"/>
    <w:pPr>
      <w:spacing w:line="90" w:lineRule="atLeast"/>
    </w:pPr>
    <w:rPr>
      <w:sz w:val="2"/>
    </w:rPr>
  </w:style>
  <w:style w:type="paragraph" w:customStyle="1" w:styleId="Huisstijl-Rubricering">
    <w:name w:val="Huisstijl-Rubricering"/>
    <w:basedOn w:val="broodtekst"/>
    <w:rsid w:val="00E56047"/>
    <w:pPr>
      <w:spacing w:line="180" w:lineRule="exact"/>
    </w:pPr>
    <w:rPr>
      <w:b/>
      <w:bCs/>
      <w:noProof/>
      <w:sz w:val="13"/>
      <w:szCs w:val="13"/>
    </w:rPr>
  </w:style>
  <w:style w:type="paragraph" w:customStyle="1" w:styleId="Huisstijl-Retouradres">
    <w:name w:val="Huisstijl-Retouradres"/>
    <w:basedOn w:val="broodtekst"/>
    <w:rsid w:val="00E56047"/>
    <w:pPr>
      <w:spacing w:line="180" w:lineRule="exact"/>
    </w:pPr>
    <w:rPr>
      <w:noProof/>
      <w:sz w:val="13"/>
    </w:rPr>
  </w:style>
  <w:style w:type="paragraph" w:customStyle="1" w:styleId="Huisstijl-Kopje">
    <w:name w:val="Huisstijl-Kopje"/>
    <w:basedOn w:val="broodtekst"/>
    <w:rsid w:val="00E56047"/>
    <w:pPr>
      <w:spacing w:line="180" w:lineRule="atLeast"/>
    </w:pPr>
    <w:rPr>
      <w:b/>
      <w:sz w:val="13"/>
    </w:rPr>
  </w:style>
  <w:style w:type="paragraph" w:customStyle="1" w:styleId="Huisstijl-Voorwaarden">
    <w:name w:val="Huisstijl-Voorwaarden"/>
    <w:basedOn w:val="broodtekst"/>
    <w:rsid w:val="00E56047"/>
    <w:pPr>
      <w:spacing w:line="180" w:lineRule="exact"/>
    </w:pPr>
    <w:rPr>
      <w:i/>
      <w:noProof/>
      <w:sz w:val="13"/>
    </w:rPr>
  </w:style>
  <w:style w:type="paragraph" w:customStyle="1" w:styleId="kixcode">
    <w:name w:val="kixcode"/>
    <w:basedOn w:val="broodtekst"/>
    <w:rsid w:val="00E56047"/>
    <w:rPr>
      <w:rFonts w:ascii="KIX Barcode" w:hAnsi="KIX Barcode"/>
      <w:bCs/>
      <w:noProof/>
    </w:rPr>
  </w:style>
  <w:style w:type="paragraph" w:customStyle="1" w:styleId="Huisstijl-Paginanummering">
    <w:name w:val="Huisstijl-Paginanummering"/>
    <w:basedOn w:val="broodtekst"/>
    <w:rsid w:val="00E56047"/>
    <w:pPr>
      <w:spacing w:line="180" w:lineRule="exact"/>
    </w:pPr>
    <w:rPr>
      <w:noProof/>
      <w:sz w:val="13"/>
    </w:rPr>
  </w:style>
  <w:style w:type="paragraph" w:styleId="Lijstopsomteken2">
    <w:name w:val="List Bullet 2"/>
    <w:basedOn w:val="broodtekst"/>
    <w:rsid w:val="00E56047"/>
    <w:pPr>
      <w:numPr>
        <w:numId w:val="8"/>
      </w:numPr>
      <w:tabs>
        <w:tab w:val="clear" w:pos="227"/>
      </w:tabs>
      <w:ind w:left="454" w:hanging="227"/>
    </w:pPr>
    <w:rPr>
      <w:noProof/>
    </w:rPr>
  </w:style>
  <w:style w:type="paragraph" w:customStyle="1" w:styleId="minofdir">
    <w:name w:val="minofdir"/>
    <w:basedOn w:val="broodtekst"/>
    <w:rsid w:val="00E56047"/>
    <w:rPr>
      <w:rFonts w:ascii="RO VenW" w:hAnsi="RO VenW"/>
      <w:sz w:val="220"/>
    </w:rPr>
  </w:style>
  <w:style w:type="paragraph" w:customStyle="1" w:styleId="kop1-justitie">
    <w:name w:val="kop1-justitie"/>
    <w:basedOn w:val="broodtekst"/>
    <w:next w:val="broodtekst"/>
    <w:rsid w:val="00E56047"/>
    <w:pPr>
      <w:numPr>
        <w:numId w:val="11"/>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Bijschrift">
    <w:name w:val="caption"/>
    <w:basedOn w:val="Standaard"/>
    <w:next w:val="Standaard"/>
    <w:rsid w:val="00E56047"/>
    <w:pPr>
      <w:spacing w:before="120" w:after="120"/>
    </w:pPr>
    <w:rPr>
      <w:b/>
      <w:bCs/>
      <w:sz w:val="20"/>
      <w:szCs w:val="20"/>
    </w:rPr>
  </w:style>
  <w:style w:type="paragraph" w:customStyle="1" w:styleId="kop2-justitie">
    <w:name w:val="kop2-justitie"/>
    <w:basedOn w:val="broodtekst"/>
    <w:next w:val="broodtekst"/>
    <w:rsid w:val="00E56047"/>
    <w:pPr>
      <w:numPr>
        <w:ilvl w:val="1"/>
        <w:numId w:val="11"/>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E56047"/>
    <w:pPr>
      <w:tabs>
        <w:tab w:val="clear" w:pos="227"/>
        <w:tab w:val="clear" w:pos="454"/>
        <w:tab w:val="clear" w:pos="680"/>
        <w:tab w:val="left" w:pos="794"/>
      </w:tabs>
    </w:pPr>
  </w:style>
  <w:style w:type="character" w:styleId="Paginanummer">
    <w:name w:val="page number"/>
    <w:basedOn w:val="Standaardalinea-lettertype"/>
    <w:rsid w:val="00E56047"/>
  </w:style>
  <w:style w:type="paragraph" w:customStyle="1" w:styleId="afzendkopje">
    <w:name w:val="afzendkopje"/>
    <w:basedOn w:val="broodtekst"/>
    <w:rsid w:val="00E56047"/>
    <w:pPr>
      <w:spacing w:line="180" w:lineRule="atLeast"/>
    </w:pPr>
    <w:rPr>
      <w:b/>
      <w:noProof/>
      <w:sz w:val="13"/>
    </w:rPr>
  </w:style>
  <w:style w:type="paragraph" w:customStyle="1" w:styleId="afzendgegevens">
    <w:name w:val="afzendgegevens"/>
    <w:basedOn w:val="broodtekst"/>
    <w:rsid w:val="00E56047"/>
    <w:pPr>
      <w:spacing w:line="180" w:lineRule="atLeast"/>
    </w:pPr>
    <w:rPr>
      <w:noProof/>
      <w:sz w:val="13"/>
    </w:rPr>
  </w:style>
  <w:style w:type="paragraph" w:customStyle="1" w:styleId="lijst-nummer1">
    <w:name w:val="lijst-nummer1"/>
    <w:basedOn w:val="broodtekst"/>
    <w:next w:val="broodtekst"/>
    <w:rsid w:val="00E56047"/>
    <w:pPr>
      <w:numPr>
        <w:numId w:val="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0">
    <w:name w:val="referentiegegevens"/>
    <w:basedOn w:val="broodtekst"/>
    <w:rsid w:val="00E56047"/>
    <w:pPr>
      <w:spacing w:line="180" w:lineRule="atLeast"/>
    </w:pPr>
    <w:rPr>
      <w:noProof/>
      <w:sz w:val="13"/>
    </w:rPr>
  </w:style>
  <w:style w:type="paragraph" w:customStyle="1" w:styleId="referentiekopjes">
    <w:name w:val="referentiekopjes"/>
    <w:basedOn w:val="broodtekst"/>
    <w:next w:val="referentiegegevens0"/>
    <w:rsid w:val="00E56047"/>
    <w:pPr>
      <w:spacing w:line="180" w:lineRule="atLeast"/>
    </w:pPr>
    <w:rPr>
      <w:b/>
      <w:noProof/>
      <w:sz w:val="13"/>
    </w:rPr>
  </w:style>
  <w:style w:type="paragraph" w:customStyle="1" w:styleId="witregel2">
    <w:name w:val="witregel2"/>
    <w:basedOn w:val="broodtekst"/>
    <w:rsid w:val="00E56047"/>
    <w:pPr>
      <w:spacing w:line="270" w:lineRule="atLeast"/>
    </w:pPr>
    <w:rPr>
      <w:sz w:val="2"/>
    </w:rPr>
  </w:style>
  <w:style w:type="paragraph" w:customStyle="1" w:styleId="clausule">
    <w:name w:val="clausule"/>
    <w:basedOn w:val="broodtekst"/>
    <w:rsid w:val="00E56047"/>
    <w:pPr>
      <w:spacing w:line="180" w:lineRule="atLeast"/>
    </w:pPr>
    <w:rPr>
      <w:i/>
      <w:sz w:val="13"/>
    </w:rPr>
  </w:style>
  <w:style w:type="paragraph" w:customStyle="1" w:styleId="afzendgegevens-bold">
    <w:name w:val="afzendgegevens-bold"/>
    <w:basedOn w:val="afzendgegevens"/>
    <w:rsid w:val="00E56047"/>
    <w:rPr>
      <w:b/>
    </w:rPr>
  </w:style>
  <w:style w:type="paragraph" w:customStyle="1" w:styleId="aanhef">
    <w:name w:val="aanhef"/>
    <w:basedOn w:val="broodtekst"/>
    <w:next w:val="broodtekst"/>
    <w:rsid w:val="00E56047"/>
    <w:pPr>
      <w:spacing w:after="240"/>
    </w:pPr>
  </w:style>
  <w:style w:type="paragraph" w:customStyle="1" w:styleId="broodtekst-bold">
    <w:name w:val="broodtekst-bold"/>
    <w:basedOn w:val="broodtekst"/>
    <w:next w:val="broodtekst"/>
    <w:uiPriority w:val="1"/>
    <w:qFormat/>
    <w:rsid w:val="00E56047"/>
    <w:rPr>
      <w:b/>
    </w:rPr>
  </w:style>
  <w:style w:type="paragraph" w:customStyle="1" w:styleId="broodtekst-vet-pagebreak">
    <w:name w:val="broodtekst-vet-pagebreak"/>
    <w:basedOn w:val="broodtekst"/>
    <w:next w:val="broodtekst"/>
    <w:rsid w:val="00E56047"/>
    <w:pPr>
      <w:pageBreakBefore/>
    </w:pPr>
    <w:rPr>
      <w:b/>
    </w:rPr>
  </w:style>
  <w:style w:type="paragraph" w:customStyle="1" w:styleId="broodtekst-12-vet">
    <w:name w:val="broodtekst-12-vet"/>
    <w:basedOn w:val="broodtekst"/>
    <w:rsid w:val="00E56047"/>
    <w:rPr>
      <w:b/>
      <w:sz w:val="24"/>
    </w:rPr>
  </w:style>
  <w:style w:type="paragraph" w:customStyle="1" w:styleId="groetregel">
    <w:name w:val="groetregel"/>
    <w:basedOn w:val="broodtekst"/>
    <w:next w:val="broodtekst"/>
    <w:rsid w:val="00E56047"/>
    <w:pPr>
      <w:spacing w:before="240"/>
    </w:pPr>
  </w:style>
  <w:style w:type="paragraph" w:customStyle="1" w:styleId="in-table">
    <w:name w:val="in-table"/>
    <w:basedOn w:val="broodtekst"/>
    <w:rsid w:val="00E56047"/>
    <w:pPr>
      <w:spacing w:line="0" w:lineRule="atLeast"/>
    </w:pPr>
    <w:rPr>
      <w:sz w:val="2"/>
    </w:rPr>
  </w:style>
  <w:style w:type="character" w:customStyle="1" w:styleId="clausuleregel">
    <w:name w:val="clausuleregel"/>
    <w:basedOn w:val="Standaardalinea-lettertype"/>
    <w:rsid w:val="00E56047"/>
    <w:rPr>
      <w:rFonts w:ascii="Verdana" w:hAnsi="Verdana"/>
      <w:i/>
      <w:position w:val="-9"/>
      <w:sz w:val="13"/>
    </w:rPr>
  </w:style>
  <w:style w:type="paragraph" w:customStyle="1" w:styleId="kop3-justitie">
    <w:name w:val="kop3-justitie"/>
    <w:basedOn w:val="broodtekst"/>
    <w:next w:val="broodtekst"/>
    <w:rsid w:val="00E56047"/>
    <w:pPr>
      <w:numPr>
        <w:ilvl w:val="2"/>
        <w:numId w:val="11"/>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Geenlijst"/>
    <w:uiPriority w:val="99"/>
    <w:rsid w:val="00E56047"/>
    <w:pPr>
      <w:numPr>
        <w:numId w:val="12"/>
      </w:numPr>
    </w:pPr>
  </w:style>
  <w:style w:type="numbering" w:customStyle="1" w:styleId="list-cijfers">
    <w:name w:val="list-cijfers"/>
    <w:basedOn w:val="Geenlijst"/>
    <w:uiPriority w:val="99"/>
    <w:rsid w:val="00E56047"/>
    <w:pPr>
      <w:numPr>
        <w:numId w:val="13"/>
      </w:numPr>
    </w:pPr>
  </w:style>
  <w:style w:type="paragraph" w:customStyle="1" w:styleId="kop20">
    <w:name w:val="kop2"/>
    <w:basedOn w:val="Standaard"/>
    <w:rsid w:val="00E56047"/>
  </w:style>
  <w:style w:type="paragraph" w:customStyle="1" w:styleId="kop30">
    <w:name w:val="kop3"/>
    <w:basedOn w:val="Standaard"/>
    <w:rsid w:val="00E56047"/>
  </w:style>
  <w:style w:type="numbering" w:customStyle="1" w:styleId="list-kop">
    <w:name w:val="list-kop"/>
    <w:basedOn w:val="Geenlijst"/>
    <w:uiPriority w:val="99"/>
    <w:rsid w:val="00E56047"/>
    <w:pPr>
      <w:numPr>
        <w:numId w:val="11"/>
      </w:numPr>
    </w:pPr>
  </w:style>
  <w:style w:type="paragraph" w:customStyle="1" w:styleId="pagebreak">
    <w:name w:val="pagebreak"/>
    <w:basedOn w:val="broodtekst"/>
    <w:next w:val="broodtekst"/>
    <w:rsid w:val="00E56047"/>
    <w:pPr>
      <w:pageBreakBefore/>
    </w:pPr>
  </w:style>
  <w:style w:type="paragraph" w:customStyle="1" w:styleId="pagebreak-vet">
    <w:name w:val="pagebreak-vet"/>
    <w:basedOn w:val="broodtekst-bold"/>
    <w:next w:val="broodtekst"/>
    <w:rsid w:val="00E56047"/>
    <w:pPr>
      <w:pageBreakBefore/>
    </w:pPr>
  </w:style>
  <w:style w:type="paragraph" w:customStyle="1" w:styleId="windings">
    <w:name w:val="windings"/>
    <w:basedOn w:val="broodtekst"/>
    <w:next w:val="broodtekst"/>
    <w:rsid w:val="00E56047"/>
    <w:rPr>
      <w:rFonts w:ascii="Wingdings 2" w:hAnsi="Wingdings 2"/>
    </w:rPr>
  </w:style>
  <w:style w:type="paragraph" w:customStyle="1" w:styleId="windings-vet">
    <w:name w:val="windings-vet"/>
    <w:basedOn w:val="windings"/>
    <w:rsid w:val="00E56047"/>
    <w:rPr>
      <w:b/>
    </w:rPr>
  </w:style>
  <w:style w:type="paragraph" w:customStyle="1" w:styleId="ondertekenaar">
    <w:name w:val="ondertekenaar"/>
    <w:basedOn w:val="broodtekst"/>
    <w:rsid w:val="00E56047"/>
  </w:style>
  <w:style w:type="paragraph" w:customStyle="1" w:styleId="broodtekst-i">
    <w:name w:val="broodtekst-i"/>
    <w:basedOn w:val="broodtekst"/>
    <w:rsid w:val="00E56047"/>
    <w:rPr>
      <w:i/>
    </w:rPr>
  </w:style>
  <w:style w:type="paragraph" w:customStyle="1" w:styleId="broodtekst-bold-hf">
    <w:name w:val="broodtekst-bold-hf"/>
    <w:basedOn w:val="broodtekst"/>
    <w:rsid w:val="00E56047"/>
    <w:rPr>
      <w:b/>
      <w:caps/>
    </w:rPr>
  </w:style>
  <w:style w:type="paragraph" w:customStyle="1" w:styleId="broodtekst-bold-hf-r">
    <w:name w:val="broodtekst-bold-hf-r"/>
    <w:basedOn w:val="broodtekst"/>
    <w:rsid w:val="00E56047"/>
    <w:pPr>
      <w:jc w:val="right"/>
    </w:pPr>
    <w:rPr>
      <w:b/>
      <w:caps/>
    </w:rPr>
  </w:style>
  <w:style w:type="paragraph" w:customStyle="1" w:styleId="broodtekst-bold-i">
    <w:name w:val="broodtekst-bold-i"/>
    <w:basedOn w:val="broodtekst"/>
    <w:rsid w:val="00E56047"/>
    <w:rPr>
      <w:b/>
      <w:i/>
    </w:rPr>
  </w:style>
  <w:style w:type="paragraph" w:customStyle="1" w:styleId="broodtekst-bold-hf-i">
    <w:name w:val="broodtekst-bold-hf-i"/>
    <w:basedOn w:val="broodtekst"/>
    <w:rsid w:val="00E56047"/>
    <w:rPr>
      <w:b/>
      <w:i/>
      <w:caps/>
    </w:rPr>
  </w:style>
  <w:style w:type="paragraph" w:customStyle="1" w:styleId="broodtekst-bold-hf-c">
    <w:name w:val="broodtekst-bold-hf-c"/>
    <w:basedOn w:val="broodtekst"/>
    <w:rsid w:val="00E56047"/>
    <w:pPr>
      <w:spacing w:after="240"/>
      <w:jc w:val="center"/>
    </w:pPr>
    <w:rPr>
      <w:b/>
      <w:caps/>
    </w:rPr>
  </w:style>
  <w:style w:type="paragraph" w:customStyle="1" w:styleId="doctypebold18justitie">
    <w:name w:val="doctype_bold18_justitie"/>
    <w:basedOn w:val="broodtekst"/>
    <w:rsid w:val="00E56047"/>
    <w:pPr>
      <w:spacing w:line="480" w:lineRule="atLeast"/>
      <w:jc w:val="center"/>
    </w:pPr>
    <w:rPr>
      <w:b/>
      <w:sz w:val="36"/>
    </w:rPr>
  </w:style>
  <w:style w:type="paragraph" w:customStyle="1" w:styleId="broodtekst-hf8">
    <w:name w:val="broodtekst-hf8"/>
    <w:basedOn w:val="broodtekst"/>
    <w:rsid w:val="00E56047"/>
    <w:rPr>
      <w:caps/>
      <w:sz w:val="16"/>
    </w:rPr>
  </w:style>
  <w:style w:type="paragraph" w:customStyle="1" w:styleId="bijlagenjustitie">
    <w:name w:val="bijlagen_justitie"/>
    <w:basedOn w:val="Standaard"/>
    <w:rsid w:val="00E56047"/>
  </w:style>
  <w:style w:type="paragraph" w:customStyle="1" w:styleId="lijst-nummer">
    <w:name w:val="lijst-nummer"/>
    <w:basedOn w:val="Standaard"/>
    <w:rsid w:val="00E56047"/>
  </w:style>
  <w:style w:type="paragraph" w:customStyle="1" w:styleId="opsom2justitie">
    <w:name w:val="opsom2_justitie"/>
    <w:basedOn w:val="Standaard"/>
    <w:rsid w:val="00E56047"/>
  </w:style>
  <w:style w:type="paragraph" w:customStyle="1" w:styleId="Lijst-nummer0">
    <w:name w:val="Lijst-nummer"/>
    <w:basedOn w:val="Standaard"/>
    <w:rsid w:val="00E56047"/>
  </w:style>
  <w:style w:type="paragraph" w:customStyle="1" w:styleId="lijst-alphabet">
    <w:name w:val="lijst-alphabet"/>
    <w:basedOn w:val="broodtekst"/>
    <w:next w:val="broodtekst"/>
    <w:rsid w:val="00E56047"/>
    <w:pPr>
      <w:numPr>
        <w:numId w:val="1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E56047"/>
    <w:rPr>
      <w:position w:val="-9"/>
    </w:rPr>
  </w:style>
  <w:style w:type="paragraph" w:customStyle="1" w:styleId="Lijst-alphabet0">
    <w:name w:val="Lijst-alphabet"/>
    <w:basedOn w:val="lijst-alphabet"/>
    <w:next w:val="broodtekst"/>
    <w:rsid w:val="00E56047"/>
  </w:style>
  <w:style w:type="paragraph" w:customStyle="1" w:styleId="opsomming-bullet">
    <w:name w:val="opsomming-bullet"/>
    <w:basedOn w:val="broodtekst"/>
    <w:rsid w:val="00E56047"/>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E56047"/>
    <w:pPr>
      <w:spacing w:before="25" w:after="25" w:line="130" w:lineRule="atLeast"/>
    </w:pPr>
    <w:rPr>
      <w:noProof/>
      <w:sz w:val="13"/>
      <w:lang w:eastAsia="en-US"/>
    </w:rPr>
  </w:style>
  <w:style w:type="character" w:customStyle="1" w:styleId="broodtekstChar">
    <w:name w:val="broodtekst Char"/>
    <w:basedOn w:val="Standaardalinea-lettertype"/>
    <w:rsid w:val="00E56047"/>
    <w:rPr>
      <w:rFonts w:ascii="Verdana" w:hAnsi="Verdana"/>
      <w:sz w:val="18"/>
      <w:szCs w:val="18"/>
      <w:lang w:val="nl-NL" w:eastAsia="nl-NL" w:bidi="ar-SA"/>
    </w:rPr>
  </w:style>
  <w:style w:type="character" w:customStyle="1" w:styleId="witregel2Char">
    <w:name w:val="witregel2 Char"/>
    <w:basedOn w:val="broodtekstChar"/>
    <w:rsid w:val="00E56047"/>
    <w:rPr>
      <w:rFonts w:ascii="Verdana" w:hAnsi="Verdana"/>
      <w:sz w:val="2"/>
      <w:szCs w:val="18"/>
      <w:lang w:val="nl-NL" w:eastAsia="nl-NL" w:bidi="ar-SA"/>
    </w:rPr>
  </w:style>
  <w:style w:type="paragraph" w:customStyle="1" w:styleId="afzendgegevens-italic">
    <w:name w:val="afzendgegevens-italic"/>
    <w:basedOn w:val="afzendgegevens"/>
    <w:rsid w:val="00E56047"/>
    <w:rPr>
      <w:i/>
      <w:szCs w:val="13"/>
    </w:rPr>
  </w:style>
  <w:style w:type="character" w:customStyle="1" w:styleId="directieregel">
    <w:name w:val="directieregel"/>
    <w:basedOn w:val="Standaardalinea-lettertype"/>
    <w:rsid w:val="00E56047"/>
    <w:rPr>
      <w:rFonts w:ascii="Verdana" w:hAnsi="Verdana"/>
      <w:b/>
      <w:position w:val="-9"/>
      <w:sz w:val="13"/>
    </w:rPr>
  </w:style>
  <w:style w:type="numbering" w:customStyle="1" w:styleId="list-letters">
    <w:name w:val="list-letters"/>
    <w:basedOn w:val="Geenlijst"/>
    <w:uiPriority w:val="99"/>
    <w:rsid w:val="00E56047"/>
    <w:pPr>
      <w:numPr>
        <w:numId w:val="14"/>
      </w:numPr>
    </w:pPr>
  </w:style>
  <w:style w:type="numbering" w:customStyle="1" w:styleId="list-streepjes">
    <w:name w:val="list-streepjes"/>
    <w:basedOn w:val="Geenlijst"/>
    <w:uiPriority w:val="99"/>
    <w:rsid w:val="00E56047"/>
    <w:pPr>
      <w:numPr>
        <w:numId w:val="15"/>
      </w:numPr>
    </w:pPr>
  </w:style>
  <w:style w:type="numbering" w:customStyle="1" w:styleId="list-vinkaan">
    <w:name w:val="list-vinkaan"/>
    <w:basedOn w:val="Geenlijst"/>
    <w:uiPriority w:val="99"/>
    <w:rsid w:val="00E56047"/>
    <w:pPr>
      <w:numPr>
        <w:numId w:val="16"/>
      </w:numPr>
    </w:pPr>
  </w:style>
  <w:style w:type="paragraph" w:customStyle="1" w:styleId="broodtekst-bold-italic">
    <w:name w:val="broodtekst-bold-italic"/>
    <w:basedOn w:val="broodtekst"/>
    <w:next w:val="broodtekst"/>
    <w:uiPriority w:val="2"/>
    <w:qFormat/>
    <w:rsid w:val="00E56047"/>
    <w:rPr>
      <w:b/>
      <w:i/>
    </w:rPr>
  </w:style>
  <w:style w:type="paragraph" w:customStyle="1" w:styleId="tabelkop">
    <w:name w:val="tabelkop"/>
    <w:basedOn w:val="broodtekst"/>
    <w:rsid w:val="00E56047"/>
    <w:rPr>
      <w:b/>
      <w:sz w:val="14"/>
    </w:rPr>
  </w:style>
  <w:style w:type="paragraph" w:customStyle="1" w:styleId="tabeltekst">
    <w:name w:val="tabeltekst"/>
    <w:basedOn w:val="broodtekst"/>
    <w:rsid w:val="00E56047"/>
    <w:rPr>
      <w:sz w:val="14"/>
    </w:rPr>
  </w:style>
  <w:style w:type="numbering" w:customStyle="1" w:styleId="list-vinkuit">
    <w:name w:val="list-vinkuit"/>
    <w:basedOn w:val="Geenlijst"/>
    <w:uiPriority w:val="99"/>
    <w:rsid w:val="00E56047"/>
    <w:pPr>
      <w:numPr>
        <w:numId w:val="17"/>
      </w:numPr>
    </w:pPr>
  </w:style>
  <w:style w:type="paragraph" w:customStyle="1" w:styleId="opsomming-bolletjesjustitie">
    <w:name w:val="opsomming-bolletjes_justitie"/>
    <w:basedOn w:val="broodtekst"/>
    <w:uiPriority w:val="3"/>
    <w:qFormat/>
    <w:rsid w:val="00E56047"/>
    <w:pPr>
      <w:numPr>
        <w:numId w:val="18"/>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E56047"/>
    <w:pPr>
      <w:numPr>
        <w:numId w:val="1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E56047"/>
    <w:pPr>
      <w:numPr>
        <w:numId w:val="14"/>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E56047"/>
    <w:pPr>
      <w:numPr>
        <w:numId w:val="19"/>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E56047"/>
    <w:pPr>
      <w:numPr>
        <w:numId w:val="20"/>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E56047"/>
    <w:pPr>
      <w:numPr>
        <w:numId w:val="21"/>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E56047"/>
    <w:pPr>
      <w:widowControl w:val="0"/>
      <w:tabs>
        <w:tab w:val="clear" w:pos="227"/>
        <w:tab w:val="clear" w:pos="454"/>
        <w:tab w:val="clear" w:pos="680"/>
      </w:tabs>
    </w:pPr>
    <w:rPr>
      <w:i/>
      <w:szCs w:val="24"/>
    </w:rPr>
  </w:style>
  <w:style w:type="character" w:customStyle="1" w:styleId="ch-bold-italic">
    <w:name w:val="ch-bold-italic"/>
    <w:basedOn w:val="Standaardalinea-lettertype"/>
    <w:uiPriority w:val="1"/>
    <w:rsid w:val="00E56047"/>
    <w:rPr>
      <w:rFonts w:ascii="Verdana" w:hAnsi="Verdana"/>
      <w:b/>
      <w:i/>
      <w:sz w:val="18"/>
    </w:rPr>
  </w:style>
  <w:style w:type="paragraph" w:customStyle="1" w:styleId="broodtekst-bold-kwn">
    <w:name w:val="broodtekst-bold-kwn"/>
    <w:basedOn w:val="broodtekst-bold"/>
    <w:next w:val="broodtekst"/>
    <w:rsid w:val="00E56047"/>
    <w:pPr>
      <w:keepNext/>
    </w:pPr>
  </w:style>
  <w:style w:type="paragraph" w:customStyle="1" w:styleId="broodtekst-kwn">
    <w:name w:val="broodtekst-kwn"/>
    <w:basedOn w:val="broodtekst"/>
    <w:rsid w:val="00E56047"/>
    <w:pPr>
      <w:keepNext/>
    </w:pPr>
  </w:style>
  <w:style w:type="paragraph" w:styleId="Lijstalinea">
    <w:name w:val="List Paragraph"/>
    <w:basedOn w:val="Standaard"/>
    <w:link w:val="LijstalineaChar"/>
    <w:uiPriority w:val="34"/>
    <w:qFormat/>
    <w:rsid w:val="00E56047"/>
    <w:pPr>
      <w:ind w:left="720"/>
      <w:contextualSpacing/>
    </w:pPr>
  </w:style>
  <w:style w:type="paragraph" w:styleId="Geenafstand">
    <w:name w:val="No Spacing"/>
    <w:aliases w:val="Voetnoten"/>
    <w:uiPriority w:val="1"/>
    <w:qFormat/>
    <w:rsid w:val="00E56047"/>
    <w:pPr>
      <w:autoSpaceDN/>
      <w:textAlignment w:val="auto"/>
    </w:pPr>
    <w:rPr>
      <w:rFonts w:asciiTheme="minorHAnsi" w:eastAsiaTheme="minorHAnsi" w:hAnsiTheme="minorHAnsi" w:cstheme="minorBidi"/>
      <w:sz w:val="22"/>
      <w:szCs w:val="22"/>
      <w:lang w:eastAsia="en-US"/>
    </w:rPr>
  </w:style>
  <w:style w:type="character" w:customStyle="1" w:styleId="LijstalineaChar">
    <w:name w:val="Lijstalinea Char"/>
    <w:basedOn w:val="Standaardalinea-lettertype"/>
    <w:link w:val="Lijstalinea"/>
    <w:uiPriority w:val="34"/>
    <w:qFormat/>
    <w:rsid w:val="00E56047"/>
    <w:rPr>
      <w:rFonts w:ascii="Verdana" w:eastAsia="Times New Roman" w:hAnsi="Verdana" w:cs="Times New Roman"/>
      <w:sz w:val="18"/>
      <w:szCs w:val="24"/>
    </w:rPr>
  </w:style>
  <w:style w:type="character" w:styleId="Verwijzingopmerking">
    <w:name w:val="annotation reference"/>
    <w:basedOn w:val="Standaardalinea-lettertype"/>
    <w:uiPriority w:val="99"/>
    <w:rsid w:val="00E56047"/>
    <w:rPr>
      <w:sz w:val="16"/>
      <w:szCs w:val="16"/>
    </w:rPr>
  </w:style>
  <w:style w:type="paragraph" w:styleId="Tekstopmerking">
    <w:name w:val="annotation text"/>
    <w:basedOn w:val="Standaard"/>
    <w:link w:val="TekstopmerkingChar"/>
    <w:uiPriority w:val="99"/>
    <w:rsid w:val="00E56047"/>
    <w:pPr>
      <w:spacing w:line="240" w:lineRule="auto"/>
    </w:pPr>
    <w:rPr>
      <w:sz w:val="20"/>
      <w:szCs w:val="20"/>
    </w:rPr>
  </w:style>
  <w:style w:type="character" w:customStyle="1" w:styleId="TekstopmerkingChar">
    <w:name w:val="Tekst opmerking Char"/>
    <w:basedOn w:val="Standaardalinea-lettertype"/>
    <w:link w:val="Tekstopmerking"/>
    <w:uiPriority w:val="99"/>
    <w:rsid w:val="00E56047"/>
    <w:rPr>
      <w:rFonts w:ascii="Verdana" w:eastAsia="Times New Roman" w:hAnsi="Verdana" w:cs="Times New Roman"/>
    </w:rPr>
  </w:style>
  <w:style w:type="character" w:customStyle="1" w:styleId="cf01">
    <w:name w:val="cf01"/>
    <w:basedOn w:val="Standaardalinea-lettertype"/>
    <w:rsid w:val="00E56047"/>
    <w:rPr>
      <w:rFonts w:ascii="Segoe UI" w:hAnsi="Segoe UI" w:cs="Segoe UI" w:hint="default"/>
      <w:sz w:val="18"/>
      <w:szCs w:val="18"/>
    </w:rPr>
  </w:style>
  <w:style w:type="paragraph" w:customStyle="1" w:styleId="Default">
    <w:name w:val="Default"/>
    <w:rsid w:val="00E56047"/>
    <w:pPr>
      <w:autoSpaceDE w:val="0"/>
      <w:adjustRightInd w:val="0"/>
      <w:textAlignment w:val="auto"/>
    </w:pPr>
    <w:rPr>
      <w:rFonts w:ascii="ADCOG A+ Univers" w:eastAsia="Times New Roman" w:hAnsi="ADCOG A+ Univers" w:cs="ADCOG A+ Univers"/>
      <w:color w:val="000000"/>
      <w:sz w:val="24"/>
      <w:szCs w:val="24"/>
      <w:lang w:eastAsia="en-US"/>
    </w:rPr>
  </w:style>
  <w:style w:type="paragraph" w:styleId="Revisie">
    <w:name w:val="Revision"/>
    <w:hidden/>
    <w:uiPriority w:val="99"/>
    <w:semiHidden/>
    <w:rsid w:val="00E56047"/>
    <w:pPr>
      <w:autoSpaceDN/>
      <w:textAlignment w:val="auto"/>
    </w:pPr>
    <w:rPr>
      <w:rFonts w:ascii="Verdana" w:eastAsia="Times New Roman" w:hAnsi="Verdana" w:cs="Times New Roman"/>
      <w:sz w:val="18"/>
      <w:szCs w:val="24"/>
    </w:rPr>
  </w:style>
  <w:style w:type="paragraph" w:styleId="Onderwerpvanopmerking">
    <w:name w:val="annotation subject"/>
    <w:basedOn w:val="Tekstopmerking"/>
    <w:next w:val="Tekstopmerking"/>
    <w:link w:val="OnderwerpvanopmerkingChar"/>
    <w:semiHidden/>
    <w:unhideWhenUsed/>
    <w:rsid w:val="00E56047"/>
    <w:rPr>
      <w:b/>
      <w:bCs/>
    </w:rPr>
  </w:style>
  <w:style w:type="character" w:customStyle="1" w:styleId="OnderwerpvanopmerkingChar">
    <w:name w:val="Onderwerp van opmerking Char"/>
    <w:basedOn w:val="TekstopmerkingChar"/>
    <w:link w:val="Onderwerpvanopmerking"/>
    <w:semiHidden/>
    <w:rsid w:val="00E56047"/>
    <w:rPr>
      <w:rFonts w:ascii="Verdana" w:eastAsia="Times New Roman" w:hAnsi="Verdana" w:cs="Times New Roman"/>
      <w:b/>
      <w:bCs/>
    </w:rPr>
  </w:style>
  <w:style w:type="paragraph" w:styleId="Normaalweb">
    <w:name w:val="Normal (Web)"/>
    <w:basedOn w:val="Standaard"/>
    <w:uiPriority w:val="99"/>
    <w:semiHidden/>
    <w:unhideWhenUsed/>
    <w:rsid w:val="00E56047"/>
    <w:pPr>
      <w:spacing w:before="100" w:beforeAutospacing="1" w:after="100" w:afterAutospacing="1" w:line="240" w:lineRule="auto"/>
    </w:pPr>
    <w:rPr>
      <w:rFonts w:ascii="Times New Roman" w:hAnsi="Times New Roman"/>
      <w:sz w:val="24"/>
    </w:rPr>
  </w:style>
  <w:style w:type="character" w:customStyle="1" w:styleId="Kop2Char">
    <w:name w:val="Kop 2 Char"/>
    <w:basedOn w:val="Standaardalinea-lettertype"/>
    <w:link w:val="Kop2"/>
    <w:uiPriority w:val="9"/>
    <w:rsid w:val="00E56047"/>
    <w:rPr>
      <w:rFonts w:ascii="Verdana" w:hAnsi="Verdana"/>
      <w:i/>
      <w:color w:val="000000"/>
      <w:sz w:val="18"/>
      <w:szCs w:val="18"/>
    </w:rPr>
  </w:style>
  <w:style w:type="character" w:customStyle="1" w:styleId="Onopgelostemelding1">
    <w:name w:val="Onopgeloste melding1"/>
    <w:basedOn w:val="Standaardalinea-lettertype"/>
    <w:uiPriority w:val="99"/>
    <w:semiHidden/>
    <w:unhideWhenUsed/>
    <w:rsid w:val="00E56047"/>
    <w:rPr>
      <w:color w:val="605E5C"/>
      <w:shd w:val="clear" w:color="auto" w:fill="E1DFDD"/>
    </w:rPr>
  </w:style>
  <w:style w:type="table" w:customStyle="1" w:styleId="Tabelraster1">
    <w:name w:val="Tabelraster1"/>
    <w:basedOn w:val="Standaardtabel"/>
    <w:next w:val="Tabelraster"/>
    <w:rsid w:val="00E56047"/>
    <w:pPr>
      <w:autoSpaceDN/>
      <w:textAlignment w:val="auto"/>
    </w:pPr>
    <w:rPr>
      <w:rFonts w:eastAsia="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444105">
      <w:bodyDiv w:val="1"/>
      <w:marLeft w:val="0"/>
      <w:marRight w:val="0"/>
      <w:marTop w:val="0"/>
      <w:marBottom w:val="0"/>
      <w:divBdr>
        <w:top w:val="none" w:sz="0" w:space="0" w:color="auto"/>
        <w:left w:val="none" w:sz="0" w:space="0" w:color="auto"/>
        <w:bottom w:val="none" w:sz="0" w:space="0" w:color="auto"/>
        <w:right w:val="none" w:sz="0" w:space="0" w:color="auto"/>
      </w:divBdr>
    </w:div>
    <w:div w:id="1459640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image" Target="media/image4.png"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image" Target="media/image3.jpeg" Id="rId11" /><Relationship Type="http://schemas.openxmlformats.org/officeDocument/2006/relationships/webSetting" Target="webSettings0.xml" Id="rId24"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image" Target="media/image2.jpeg"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0.png"/><Relationship Id="rId1" Type="http://schemas.openxmlformats.org/officeDocument/2006/relationships/image" Target="media/image5.png"/><Relationship Id="rId4" Type="http://schemas.openxmlformats.org/officeDocument/2006/relationships/image" Target="media/image60.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16</ap:Pages>
  <ap:Words>4760</ap:Words>
  <ap:Characters>26182</ap:Characters>
  <ap:DocSecurity>0</ap:DocSecurity>
  <ap:Lines>218</ap:Lines>
  <ap:Paragraphs>61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30881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2026-02-06T13:46:00.0000000Z</dcterms:created>
  <dcterms:modified xsi:type="dcterms:W3CDTF">2026-02-06T13:46:00.0000000Z</dcterms:modified>
  <dc:description>------------------------</dc:description>
  <version/>
  <category/>
</coreProperties>
</file>