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2808" w:rsidR="002F2808" w:rsidP="002F2808" w:rsidRDefault="000E6338" w14:paraId="72C53F8F" w14:textId="7B7C7067">
      <w:pPr>
        <w:spacing w:after="160" w:line="240" w:lineRule="auto"/>
        <w:rPr>
          <w:rFonts w:ascii="Calibri" w:hAnsi="Calibri" w:cs="Calibri"/>
          <w:szCs w:val="22"/>
        </w:rPr>
      </w:pPr>
      <w:bookmarkStart w:name="OLE_LINK1" w:id="0"/>
      <w:bookmarkStart w:name="OLE_LINK2" w:id="1"/>
      <w:r w:rsidRPr="002F2808">
        <w:rPr>
          <w:rFonts w:ascii="Calibri" w:hAnsi="Calibri" w:eastAsia="Aptos" w:cs="Calibri"/>
          <w:bCs/>
          <w:kern w:val="2"/>
          <w:szCs w:val="22"/>
          <w:lang w:eastAsia="en-US"/>
          <w14:ligatures w14:val="standardContextual"/>
        </w:rPr>
        <w:t>22</w:t>
      </w:r>
      <w:r w:rsidRPr="002F2808" w:rsidR="002F2808">
        <w:rPr>
          <w:rFonts w:ascii="Calibri" w:hAnsi="Calibri" w:eastAsia="Aptos" w:cs="Calibri"/>
          <w:bCs/>
          <w:kern w:val="2"/>
          <w:szCs w:val="22"/>
          <w:lang w:eastAsia="en-US"/>
          <w14:ligatures w14:val="standardContextual"/>
        </w:rPr>
        <w:t xml:space="preserve"> </w:t>
      </w:r>
      <w:r w:rsidRPr="002F2808">
        <w:rPr>
          <w:rFonts w:ascii="Calibri" w:hAnsi="Calibri" w:eastAsia="Aptos" w:cs="Calibri"/>
          <w:bCs/>
          <w:kern w:val="2"/>
          <w:szCs w:val="22"/>
          <w:lang w:eastAsia="en-US"/>
          <w14:ligatures w14:val="standardContextual"/>
        </w:rPr>
        <w:t>112</w:t>
      </w:r>
      <w:r w:rsidRPr="002F2808" w:rsidR="002F2808">
        <w:rPr>
          <w:rFonts w:ascii="Calibri" w:hAnsi="Calibri" w:eastAsia="Aptos" w:cs="Calibri"/>
          <w:bCs/>
          <w:kern w:val="2"/>
          <w:szCs w:val="22"/>
          <w:lang w:eastAsia="en-US"/>
          <w14:ligatures w14:val="standardContextual"/>
        </w:rPr>
        <w:tab/>
      </w:r>
      <w:r w:rsidRPr="002F2808" w:rsidR="002F2808">
        <w:rPr>
          <w:rFonts w:ascii="Calibri" w:hAnsi="Calibri" w:eastAsia="Aptos" w:cs="Calibri"/>
          <w:bCs/>
          <w:kern w:val="2"/>
          <w:szCs w:val="22"/>
          <w:lang w:eastAsia="en-US"/>
          <w14:ligatures w14:val="standardContextual"/>
        </w:rPr>
        <w:tab/>
      </w:r>
      <w:r w:rsidRPr="002F2808" w:rsidR="002F2808">
        <w:rPr>
          <w:rFonts w:ascii="Calibri" w:hAnsi="Calibri" w:cs="Calibri"/>
          <w:szCs w:val="22"/>
        </w:rPr>
        <w:t>Nieuwe Commissievoorstellen en initiatieven van de lidstaten van de Europese Unie</w:t>
      </w:r>
    </w:p>
    <w:p w:rsidRPr="002F2808" w:rsidR="002F2808" w:rsidP="002F2808" w:rsidRDefault="002F2808" w14:paraId="688A5E74" w14:textId="77777777">
      <w:pPr>
        <w:spacing w:after="160" w:line="240" w:lineRule="auto"/>
        <w:rPr>
          <w:rFonts w:ascii="Calibri" w:hAnsi="Calibri" w:cs="Calibri"/>
          <w:szCs w:val="22"/>
        </w:rPr>
      </w:pPr>
      <w:r w:rsidRPr="002F2808">
        <w:rPr>
          <w:rFonts w:ascii="Calibri" w:hAnsi="Calibri" w:eastAsia="Aptos" w:cs="Calibri"/>
          <w:bCs/>
          <w:kern w:val="2"/>
          <w:szCs w:val="22"/>
          <w:lang w:eastAsia="en-US"/>
          <w14:ligatures w14:val="standardContextual"/>
        </w:rPr>
        <w:t xml:space="preserve">Nr. </w:t>
      </w:r>
      <w:r w:rsidRPr="002F2808" w:rsidR="000E6338">
        <w:rPr>
          <w:rFonts w:ascii="Calibri" w:hAnsi="Calibri" w:eastAsia="Aptos" w:cs="Calibri"/>
          <w:bCs/>
          <w:kern w:val="2"/>
          <w:szCs w:val="22"/>
          <w:lang w:eastAsia="en-US"/>
          <w14:ligatures w14:val="standardContextual"/>
        </w:rPr>
        <w:t>4264</w:t>
      </w:r>
      <w:r w:rsidRPr="002F2808">
        <w:rPr>
          <w:rFonts w:ascii="Calibri" w:hAnsi="Calibri" w:eastAsia="Aptos" w:cs="Calibri"/>
          <w:bCs/>
          <w:kern w:val="2"/>
          <w:szCs w:val="22"/>
          <w:lang w:eastAsia="en-US"/>
          <w14:ligatures w14:val="standardContextual"/>
        </w:rPr>
        <w:tab/>
        <w:t xml:space="preserve">Brief van de </w:t>
      </w:r>
      <w:r w:rsidRPr="002F2808">
        <w:rPr>
          <w:rFonts w:ascii="Calibri" w:hAnsi="Calibri" w:cs="Calibri"/>
          <w:szCs w:val="22"/>
        </w:rPr>
        <w:t>minister van Buitenlandse Zaken</w:t>
      </w:r>
    </w:p>
    <w:p w:rsidRPr="002F2808" w:rsidR="000E6338" w:rsidP="000E6338" w:rsidRDefault="002F2808" w14:paraId="757B8A9F" w14:textId="2BAD3546">
      <w:pPr>
        <w:spacing w:after="160" w:line="276" w:lineRule="auto"/>
        <w:rPr>
          <w:rFonts w:ascii="Calibri" w:hAnsi="Calibri" w:eastAsia="Aptos" w:cs="Calibri"/>
          <w:bCs/>
          <w:kern w:val="2"/>
          <w:szCs w:val="22"/>
          <w:lang w:eastAsia="en-US"/>
          <w14:ligatures w14:val="standardContextual"/>
        </w:rPr>
      </w:pPr>
      <w:r w:rsidRPr="002F2808">
        <w:rPr>
          <w:rFonts w:ascii="Calibri" w:hAnsi="Calibri" w:eastAsia="Aptos" w:cs="Calibri"/>
          <w:bCs/>
          <w:kern w:val="2"/>
          <w:szCs w:val="22"/>
          <w:lang w:eastAsia="en-US"/>
          <w14:ligatures w14:val="standardContextual"/>
        </w:rPr>
        <w:t>Aan de Voorzitter van de Tweede Kamer der Staten-Generaal</w:t>
      </w:r>
    </w:p>
    <w:p w:rsidRPr="002F2808" w:rsidR="002F2808" w:rsidP="000E6338" w:rsidRDefault="002F2808" w14:paraId="06B10A89" w14:textId="042C8648">
      <w:pPr>
        <w:spacing w:after="160" w:line="276" w:lineRule="auto"/>
        <w:rPr>
          <w:rFonts w:ascii="Calibri" w:hAnsi="Calibri" w:eastAsia="Aptos" w:cs="Calibri"/>
          <w:bCs/>
          <w:kern w:val="2"/>
          <w:szCs w:val="22"/>
          <w:lang w:eastAsia="en-US"/>
          <w14:ligatures w14:val="standardContextual"/>
        </w:rPr>
      </w:pPr>
      <w:r w:rsidRPr="002F2808">
        <w:rPr>
          <w:rFonts w:ascii="Calibri" w:hAnsi="Calibri" w:eastAsia="Aptos" w:cs="Calibri"/>
          <w:bCs/>
          <w:kern w:val="2"/>
          <w:szCs w:val="22"/>
          <w:lang w:eastAsia="en-US"/>
          <w14:ligatures w14:val="standardContextual"/>
        </w:rPr>
        <w:t>Den Haag, 6 februari 2026</w:t>
      </w:r>
    </w:p>
    <w:p w:rsidRPr="002F2808" w:rsidR="000E6338" w:rsidP="000E6338" w:rsidRDefault="000E6338" w14:paraId="1F81F584" w14:textId="77777777">
      <w:pPr>
        <w:spacing w:after="160" w:line="276" w:lineRule="auto"/>
        <w:rPr>
          <w:rFonts w:ascii="Calibri" w:hAnsi="Calibri" w:eastAsia="Aptos" w:cs="Calibri"/>
          <w:bCs/>
          <w:kern w:val="2"/>
          <w:szCs w:val="22"/>
          <w:lang w:eastAsia="en-US"/>
          <w14:ligatures w14:val="standardContextual"/>
        </w:rPr>
      </w:pPr>
    </w:p>
    <w:p w:rsidRPr="002F2808" w:rsidR="000E6338" w:rsidP="000E6338" w:rsidRDefault="000E6338" w14:paraId="461B6B56" w14:textId="203A2C5D">
      <w:pPr>
        <w:spacing w:after="160" w:line="276" w:lineRule="auto"/>
        <w:rPr>
          <w:rFonts w:ascii="Calibri" w:hAnsi="Calibri" w:eastAsia="Aptos" w:cs="Calibri"/>
          <w:bCs/>
          <w:kern w:val="2"/>
          <w:szCs w:val="22"/>
          <w:lang w:eastAsia="en-US"/>
          <w14:ligatures w14:val="standardContextual"/>
        </w:rPr>
      </w:pPr>
      <w:r w:rsidRPr="002F2808">
        <w:rPr>
          <w:rFonts w:ascii="Calibri" w:hAnsi="Calibri" w:eastAsia="Aptos" w:cs="Calibri"/>
          <w:bCs/>
          <w:kern w:val="2"/>
          <w:szCs w:val="22"/>
          <w:lang w:eastAsia="en-US"/>
          <w14:ligatures w14:val="standardContextual"/>
        </w:rPr>
        <w:t>Overeenkomstig de bestaande afspraken ontvangt u hierbij 7 fiches die werden opgesteld door de werkgroep Beoordeling Nieuwe Commissie voorstellen (BNC).</w:t>
      </w:r>
    </w:p>
    <w:p w:rsidRPr="002F2808" w:rsidR="000E6338" w:rsidP="000E6338" w:rsidRDefault="000E6338" w14:paraId="24F18A1A" w14:textId="77777777">
      <w:pPr>
        <w:spacing w:after="160" w:line="276" w:lineRule="auto"/>
        <w:rPr>
          <w:rFonts w:ascii="Calibri" w:hAnsi="Calibri" w:eastAsia="Aptos" w:cs="Calibri"/>
          <w:bCs/>
          <w:kern w:val="2"/>
          <w:szCs w:val="22"/>
          <w:lang w:eastAsia="en-US"/>
          <w14:ligatures w14:val="standardContextual"/>
        </w:rPr>
      </w:pPr>
    </w:p>
    <w:p w:rsidRPr="002F2808" w:rsidR="000E6338" w:rsidP="000E6338" w:rsidRDefault="000E6338" w14:paraId="614BC256" w14:textId="77777777">
      <w:pPr>
        <w:spacing w:after="160" w:line="276" w:lineRule="auto"/>
        <w:rPr>
          <w:rFonts w:ascii="Calibri" w:hAnsi="Calibri" w:eastAsia="Aptos" w:cs="Calibri"/>
          <w:bCs/>
          <w:kern w:val="2"/>
          <w:szCs w:val="22"/>
          <w:lang w:eastAsia="en-US"/>
          <w14:ligatures w14:val="standardContextual"/>
        </w:rPr>
      </w:pPr>
      <w:r w:rsidRPr="002F2808">
        <w:rPr>
          <w:rFonts w:ascii="Calibri" w:hAnsi="Calibri" w:eastAsia="Aptos" w:cs="Calibri"/>
          <w:bCs/>
          <w:kern w:val="2"/>
          <w:szCs w:val="22"/>
          <w:lang w:eastAsia="en-US"/>
          <w14:ligatures w14:val="standardContextual"/>
        </w:rPr>
        <w:t>Fiche - Pakket EU-netwerken (Kamerstuk 22 112, nr. 4260).</w:t>
      </w:r>
    </w:p>
    <w:p w:rsidRPr="002F2808" w:rsidR="000E6338" w:rsidP="000E6338" w:rsidRDefault="000E6338" w14:paraId="326B549B" w14:textId="77777777">
      <w:pPr>
        <w:spacing w:after="160" w:line="276" w:lineRule="auto"/>
        <w:rPr>
          <w:rFonts w:ascii="Calibri" w:hAnsi="Calibri" w:eastAsia="Aptos" w:cs="Calibri"/>
          <w:bCs/>
          <w:kern w:val="2"/>
          <w:szCs w:val="22"/>
          <w:lang w:eastAsia="en-US"/>
          <w14:ligatures w14:val="standardContextual"/>
        </w:rPr>
      </w:pPr>
      <w:r w:rsidRPr="002F2808">
        <w:rPr>
          <w:rFonts w:ascii="Calibri" w:hAnsi="Calibri" w:eastAsia="Aptos" w:cs="Calibri"/>
          <w:bCs/>
          <w:kern w:val="2"/>
          <w:szCs w:val="22"/>
          <w:lang w:eastAsia="en-US"/>
          <w14:ligatures w14:val="standardContextual"/>
        </w:rPr>
        <w:t>Fiche - Omnibuspakket veiligheid van voedsel en diervoeder (Kamerstuk 22 112, nr. 4261).</w:t>
      </w:r>
    </w:p>
    <w:p w:rsidRPr="002F2808" w:rsidR="000E6338" w:rsidP="000E6338" w:rsidRDefault="000E6338" w14:paraId="5A997F58" w14:textId="77777777">
      <w:pPr>
        <w:spacing w:after="160" w:line="276" w:lineRule="auto"/>
        <w:rPr>
          <w:rFonts w:ascii="Calibri" w:hAnsi="Calibri" w:eastAsia="Aptos" w:cs="Calibri"/>
          <w:bCs/>
          <w:kern w:val="2"/>
          <w:szCs w:val="22"/>
          <w:lang w:eastAsia="en-US"/>
          <w14:ligatures w14:val="standardContextual"/>
        </w:rPr>
      </w:pPr>
      <w:r w:rsidRPr="002F2808">
        <w:rPr>
          <w:rFonts w:ascii="Calibri" w:hAnsi="Calibri" w:eastAsia="Aptos" w:cs="Calibri"/>
          <w:bCs/>
          <w:kern w:val="2"/>
          <w:szCs w:val="22"/>
          <w:lang w:eastAsia="en-US"/>
          <w14:ligatures w14:val="standardContextual"/>
        </w:rPr>
        <w:t>Fiche - Mededeling herziening actieplan Europese Unie voor de Alpenregio (Kamerstuk 22 112, nr. 4262).</w:t>
      </w:r>
    </w:p>
    <w:p w:rsidRPr="002F2808" w:rsidR="000E6338" w:rsidP="000E6338" w:rsidRDefault="000E6338" w14:paraId="4DB74648" w14:textId="77777777">
      <w:pPr>
        <w:spacing w:after="160" w:line="276" w:lineRule="auto"/>
        <w:rPr>
          <w:rFonts w:ascii="Calibri" w:hAnsi="Calibri" w:eastAsia="Aptos" w:cs="Calibri"/>
          <w:bCs/>
          <w:kern w:val="2"/>
          <w:szCs w:val="22"/>
          <w:lang w:eastAsia="en-US"/>
          <w14:ligatures w14:val="standardContextual"/>
        </w:rPr>
      </w:pPr>
      <w:r w:rsidRPr="002F2808">
        <w:rPr>
          <w:rFonts w:ascii="Calibri" w:hAnsi="Calibri" w:eastAsia="Aptos" w:cs="Calibri"/>
          <w:bCs/>
          <w:kern w:val="2"/>
          <w:szCs w:val="22"/>
          <w:lang w:eastAsia="en-US"/>
          <w14:ligatures w14:val="standardContextual"/>
        </w:rPr>
        <w:t>Fiche - Mededeling Routekaart voor kwaliteitsbanen (Kamerstuk 22 112, nr. 4263).</w:t>
      </w:r>
    </w:p>
    <w:p w:rsidRPr="002F2808" w:rsidR="000E6338" w:rsidP="000E6338" w:rsidRDefault="000E6338" w14:paraId="0B1026E7" w14:textId="77777777">
      <w:pPr>
        <w:spacing w:after="160" w:line="259" w:lineRule="auto"/>
        <w:rPr>
          <w:rFonts w:ascii="Calibri" w:hAnsi="Calibri" w:eastAsia="Aptos" w:cs="Calibri"/>
          <w:bCs/>
          <w:kern w:val="2"/>
          <w:szCs w:val="22"/>
          <w:lang w:eastAsia="en-US"/>
          <w14:ligatures w14:val="standardContextual"/>
        </w:rPr>
      </w:pPr>
      <w:r w:rsidRPr="002F2808">
        <w:rPr>
          <w:rFonts w:ascii="Calibri" w:hAnsi="Calibri" w:eastAsia="Aptos" w:cs="Calibri"/>
          <w:bCs/>
          <w:kern w:val="2"/>
          <w:szCs w:val="22"/>
          <w:lang w:eastAsia="en-US"/>
          <w14:ligatures w14:val="standardContextual"/>
        </w:rPr>
        <w:t>Fiche - Herziening precursorenwetgeving.</w:t>
      </w:r>
    </w:p>
    <w:p w:rsidRPr="002F2808" w:rsidR="000E6338" w:rsidP="000E6338" w:rsidRDefault="000E6338" w14:paraId="05B1313B" w14:textId="77777777">
      <w:pPr>
        <w:spacing w:after="160" w:line="259" w:lineRule="auto"/>
        <w:rPr>
          <w:rFonts w:ascii="Calibri" w:hAnsi="Calibri" w:eastAsia="Aptos" w:cs="Calibri"/>
          <w:bCs/>
          <w:kern w:val="2"/>
          <w:szCs w:val="22"/>
          <w:lang w:eastAsia="en-US"/>
          <w14:ligatures w14:val="standardContextual"/>
        </w:rPr>
      </w:pPr>
      <w:r w:rsidRPr="002F2808">
        <w:rPr>
          <w:rFonts w:ascii="Calibri" w:hAnsi="Calibri" w:eastAsia="Aptos" w:cs="Calibri"/>
          <w:bCs/>
          <w:kern w:val="2"/>
          <w:szCs w:val="22"/>
          <w:lang w:eastAsia="en-US"/>
          <w14:ligatures w14:val="standardContextual"/>
        </w:rPr>
        <w:t>Fiche - Aanbeveling voor het openen van onderhandelingen met het Verenigd Koninkrijk (VK) over deelname aan de interne elektriciteitsmarkt en een bijdrage van het VK aan cohesiefondsen(Kamerstuk 22 112, nr. 4265).</w:t>
      </w:r>
    </w:p>
    <w:p w:rsidRPr="002F2808" w:rsidR="000E6338" w:rsidP="000E6338" w:rsidRDefault="000E6338" w14:paraId="79BA5895" w14:textId="77777777">
      <w:pPr>
        <w:spacing w:after="160" w:line="259" w:lineRule="auto"/>
        <w:rPr>
          <w:rFonts w:ascii="Calibri" w:hAnsi="Calibri" w:eastAsia="Aptos" w:cs="Calibri"/>
          <w:bCs/>
          <w:kern w:val="2"/>
          <w:szCs w:val="22"/>
          <w:lang w:eastAsia="en-US"/>
          <w14:ligatures w14:val="standardContextual"/>
        </w:rPr>
      </w:pPr>
      <w:r w:rsidRPr="002F2808">
        <w:rPr>
          <w:rFonts w:ascii="Calibri" w:hAnsi="Calibri" w:eastAsia="Aptos" w:cs="Calibri"/>
          <w:bCs/>
          <w:kern w:val="2"/>
          <w:szCs w:val="22"/>
          <w:lang w:eastAsia="en-US"/>
          <w14:ligatures w14:val="standardContextual"/>
        </w:rPr>
        <w:t>Fiche - Pakket Militaire Mobiliteit(Kamerstuk 22 112, nr. 4266).</w:t>
      </w:r>
    </w:p>
    <w:p w:rsidRPr="002F2808" w:rsidR="000E6338" w:rsidP="002F2808" w:rsidRDefault="000E6338" w14:paraId="7CE53626" w14:textId="77777777">
      <w:pPr>
        <w:pStyle w:val="Geenafstand"/>
        <w:rPr>
          <w:rFonts w:ascii="Calibri" w:hAnsi="Calibri" w:eastAsia="Aptos" w:cs="Calibri"/>
          <w:szCs w:val="22"/>
          <w:lang w:eastAsia="en-US"/>
        </w:rPr>
      </w:pPr>
    </w:p>
    <w:p w:rsidRPr="002F2808" w:rsidR="000E6338" w:rsidP="002F2808" w:rsidRDefault="000E6338" w14:paraId="4A3BACEC" w14:textId="77777777">
      <w:pPr>
        <w:pStyle w:val="Geenafstand"/>
        <w:rPr>
          <w:rFonts w:ascii="Calibri" w:hAnsi="Calibri" w:eastAsia="Aptos" w:cs="Calibri"/>
          <w:szCs w:val="22"/>
          <w:lang w:eastAsia="en-US"/>
        </w:rPr>
      </w:pPr>
      <w:r w:rsidRPr="002F2808">
        <w:rPr>
          <w:rFonts w:ascii="Calibri" w:hAnsi="Calibri" w:eastAsia="Aptos" w:cs="Calibri"/>
          <w:szCs w:val="22"/>
          <w:lang w:eastAsia="en-US"/>
        </w:rPr>
        <w:t>De minister van Buitenlandse Zaken,</w:t>
      </w:r>
    </w:p>
    <w:p w:rsidRPr="002F2808" w:rsidR="000E6338" w:rsidP="002F2808" w:rsidRDefault="000E6338" w14:paraId="03AB4E07" w14:textId="77777777">
      <w:pPr>
        <w:pStyle w:val="Geenafstand"/>
        <w:rPr>
          <w:rFonts w:ascii="Calibri" w:hAnsi="Calibri" w:eastAsia="Aptos" w:cs="Calibri"/>
          <w:szCs w:val="22"/>
          <w:lang w:eastAsia="en-US"/>
        </w:rPr>
      </w:pPr>
      <w:r w:rsidRPr="002F2808">
        <w:rPr>
          <w:rFonts w:ascii="Calibri" w:hAnsi="Calibri" w:eastAsia="Aptos" w:cs="Calibri"/>
          <w:szCs w:val="22"/>
          <w:lang w:eastAsia="en-US"/>
        </w:rPr>
        <w:t>D.M. van Weel</w:t>
      </w:r>
    </w:p>
    <w:p w:rsidRPr="002F2808" w:rsidR="000E6338" w:rsidP="002F2808" w:rsidRDefault="000E6338" w14:paraId="5DDD0DDA" w14:textId="77777777">
      <w:pPr>
        <w:pStyle w:val="Geenafstand"/>
        <w:rPr>
          <w:rFonts w:ascii="Calibri" w:hAnsi="Calibri" w:eastAsia="Aptos" w:cs="Calibri"/>
          <w:szCs w:val="22"/>
          <w:lang w:eastAsia="en-US"/>
        </w:rPr>
      </w:pPr>
    </w:p>
    <w:p w:rsidRPr="002F2808" w:rsidR="002F2808" w:rsidRDefault="002F2808" w14:paraId="36D23057" w14:textId="77777777">
      <w:pPr>
        <w:spacing w:line="240" w:lineRule="auto"/>
        <w:rPr>
          <w:rFonts w:ascii="Calibri" w:hAnsi="Calibri" w:eastAsia="Aptos" w:cs="Calibri"/>
          <w:kern w:val="2"/>
          <w:szCs w:val="22"/>
          <w:lang w:eastAsia="en-US"/>
          <w14:ligatures w14:val="standardContextual"/>
        </w:rPr>
      </w:pPr>
      <w:r w:rsidRPr="002F2808">
        <w:rPr>
          <w:rFonts w:ascii="Calibri" w:hAnsi="Calibri" w:eastAsia="Aptos" w:cs="Calibri"/>
          <w:b/>
          <w:kern w:val="2"/>
          <w:szCs w:val="22"/>
          <w:lang w:eastAsia="en-US"/>
          <w14:ligatures w14:val="standardContextual"/>
        </w:rPr>
        <w:br w:type="page"/>
      </w:r>
    </w:p>
    <w:p w:rsidRPr="002F2808" w:rsidR="009A3B1D" w:rsidP="002F2808" w:rsidRDefault="008C1E1C" w14:paraId="3855D1C4" w14:textId="6EFB394D">
      <w:pPr>
        <w:pStyle w:val="Kop1"/>
        <w:numPr>
          <w:ilvl w:val="0"/>
          <w:numId w:val="0"/>
        </w:numPr>
        <w:spacing w:before="0" w:after="0" w:line="240" w:lineRule="auto"/>
        <w:rPr>
          <w:rFonts w:ascii="Calibri" w:hAnsi="Calibri" w:cs="Calibri"/>
          <w:b w:val="0"/>
          <w:i/>
          <w:sz w:val="22"/>
          <w:szCs w:val="22"/>
        </w:rPr>
      </w:pPr>
      <w:r w:rsidRPr="002F2808">
        <w:rPr>
          <w:rFonts w:ascii="Calibri" w:hAnsi="Calibri" w:cs="Calibri"/>
          <w:sz w:val="22"/>
          <w:szCs w:val="22"/>
        </w:rPr>
        <w:lastRenderedPageBreak/>
        <w:t>F</w:t>
      </w:r>
      <w:r w:rsidRPr="002F2808" w:rsidR="009A3B1D">
        <w:rPr>
          <w:rFonts w:ascii="Calibri" w:hAnsi="Calibri" w:cs="Calibri"/>
          <w:sz w:val="22"/>
          <w:szCs w:val="22"/>
        </w:rPr>
        <w:t>iche</w:t>
      </w:r>
      <w:r w:rsidRPr="002F2808">
        <w:rPr>
          <w:rFonts w:ascii="Calibri" w:hAnsi="Calibri" w:cs="Calibri"/>
          <w:sz w:val="22"/>
          <w:szCs w:val="22"/>
        </w:rPr>
        <w:t xml:space="preserve">: </w:t>
      </w:r>
      <w:r w:rsidRPr="002F2808" w:rsidR="00CA6273">
        <w:rPr>
          <w:rFonts w:ascii="Calibri" w:hAnsi="Calibri" w:cs="Calibri"/>
          <w:sz w:val="22"/>
          <w:szCs w:val="22"/>
        </w:rPr>
        <w:t>Herziening</w:t>
      </w:r>
      <w:r w:rsidRPr="002F2808" w:rsidR="00CA7543">
        <w:rPr>
          <w:rFonts w:ascii="Calibri" w:hAnsi="Calibri" w:cs="Calibri"/>
          <w:sz w:val="22"/>
          <w:szCs w:val="22"/>
        </w:rPr>
        <w:t xml:space="preserve"> precursorenwetgeving</w:t>
      </w:r>
      <w:r w:rsidRPr="002F2808" w:rsidR="00707C49">
        <w:rPr>
          <w:rFonts w:ascii="Calibri" w:hAnsi="Calibri" w:cs="Calibri"/>
          <w:sz w:val="22"/>
          <w:szCs w:val="22"/>
        </w:rPr>
        <w:t xml:space="preserve">  </w:t>
      </w:r>
    </w:p>
    <w:p w:rsidRPr="002F2808" w:rsidR="009A3B1D" w:rsidP="002F2808" w:rsidRDefault="009A3B1D" w14:paraId="4F5D2405" w14:textId="77777777">
      <w:pPr>
        <w:spacing w:line="240" w:lineRule="auto"/>
        <w:rPr>
          <w:rFonts w:ascii="Calibri" w:hAnsi="Calibri" w:cs="Calibri"/>
          <w:szCs w:val="22"/>
        </w:rPr>
      </w:pPr>
    </w:p>
    <w:p w:rsidRPr="002F2808" w:rsidR="009A3B1D" w:rsidP="002F2808" w:rsidRDefault="009A3B1D" w14:paraId="433BA929" w14:textId="77777777">
      <w:pPr>
        <w:numPr>
          <w:ilvl w:val="0"/>
          <w:numId w:val="3"/>
        </w:numPr>
        <w:spacing w:line="240" w:lineRule="auto"/>
        <w:rPr>
          <w:rFonts w:ascii="Calibri" w:hAnsi="Calibri" w:cs="Calibri"/>
          <w:b/>
          <w:szCs w:val="22"/>
        </w:rPr>
      </w:pPr>
      <w:r w:rsidRPr="002F2808">
        <w:rPr>
          <w:rFonts w:ascii="Calibri" w:hAnsi="Calibri" w:cs="Calibri"/>
          <w:b/>
          <w:szCs w:val="22"/>
        </w:rPr>
        <w:t>Algemene gegevens</w:t>
      </w:r>
    </w:p>
    <w:p w:rsidRPr="002F2808" w:rsidR="00B866C3" w:rsidP="002F2808" w:rsidRDefault="00F74E07" w14:paraId="33DCBB8C" w14:textId="77777777">
      <w:pPr>
        <w:numPr>
          <w:ilvl w:val="0"/>
          <w:numId w:val="4"/>
        </w:numPr>
        <w:spacing w:line="240" w:lineRule="auto"/>
        <w:rPr>
          <w:rFonts w:ascii="Calibri" w:hAnsi="Calibri" w:cs="Calibri"/>
          <w:i/>
          <w:iCs/>
          <w:szCs w:val="22"/>
          <w:lang w:val="en-US"/>
        </w:rPr>
      </w:pPr>
      <w:r w:rsidRPr="002F2808">
        <w:rPr>
          <w:rFonts w:ascii="Calibri" w:hAnsi="Calibri" w:cs="Calibri"/>
          <w:i/>
          <w:iCs/>
          <w:szCs w:val="22"/>
          <w:lang w:val="en-US"/>
        </w:rPr>
        <w:t>Titel voorstel</w:t>
      </w:r>
    </w:p>
    <w:p w:rsidRPr="002F2808" w:rsidR="00F74E07" w:rsidP="002F2808" w:rsidRDefault="00AC5451" w14:paraId="62D55F76" w14:textId="75CB92BF">
      <w:pPr>
        <w:spacing w:line="240" w:lineRule="auto"/>
        <w:rPr>
          <w:rFonts w:ascii="Calibri" w:hAnsi="Calibri" w:cs="Calibri"/>
          <w:i/>
          <w:iCs/>
          <w:szCs w:val="22"/>
          <w:lang w:val="en-US"/>
        </w:rPr>
      </w:pPr>
      <w:r w:rsidRPr="002F2808">
        <w:rPr>
          <w:rFonts w:ascii="Calibri" w:hAnsi="Calibri" w:cs="Calibri"/>
          <w:szCs w:val="22"/>
          <w:lang w:val="en-US"/>
        </w:rPr>
        <w:t>REGULATION OF THE EUROPEAN PARLIAMENT AND OF THE COUNCIL on monitoring and controlling drug precursors and repealing Regulations (EC) No 273/2004 and (EC) No 111/2005</w:t>
      </w:r>
    </w:p>
    <w:p w:rsidRPr="002F2808" w:rsidR="00CA6273" w:rsidP="002F2808" w:rsidRDefault="00CA6273" w14:paraId="5878922B" w14:textId="77777777">
      <w:pPr>
        <w:spacing w:line="240" w:lineRule="auto"/>
        <w:ind w:left="360"/>
        <w:rPr>
          <w:rFonts w:ascii="Calibri" w:hAnsi="Calibri" w:cs="Calibri"/>
          <w:i/>
          <w:iCs/>
          <w:szCs w:val="22"/>
          <w:lang w:val="en-US"/>
        </w:rPr>
      </w:pPr>
    </w:p>
    <w:p w:rsidRPr="002F2808" w:rsidR="00CA6273" w:rsidP="002F2808" w:rsidRDefault="00F74E07" w14:paraId="2FC0C771" w14:textId="77777777">
      <w:pPr>
        <w:numPr>
          <w:ilvl w:val="0"/>
          <w:numId w:val="4"/>
        </w:numPr>
        <w:spacing w:line="240" w:lineRule="auto"/>
        <w:rPr>
          <w:rFonts w:ascii="Calibri" w:hAnsi="Calibri" w:cs="Calibri"/>
          <w:i/>
          <w:iCs/>
          <w:szCs w:val="22"/>
        </w:rPr>
      </w:pPr>
      <w:r w:rsidRPr="002F2808">
        <w:rPr>
          <w:rFonts w:ascii="Calibri" w:hAnsi="Calibri" w:cs="Calibri"/>
          <w:i/>
          <w:iCs/>
          <w:szCs w:val="22"/>
        </w:rPr>
        <w:t>Datum ontvangst Commissiedocument</w:t>
      </w:r>
    </w:p>
    <w:p w:rsidRPr="002F2808" w:rsidR="00F74E07" w:rsidP="002F2808" w:rsidRDefault="00BD1572" w14:paraId="2EBC1C57" w14:textId="52AA28BA">
      <w:pPr>
        <w:spacing w:line="240" w:lineRule="auto"/>
        <w:rPr>
          <w:rFonts w:ascii="Calibri" w:hAnsi="Calibri" w:cs="Calibri"/>
          <w:szCs w:val="22"/>
        </w:rPr>
      </w:pPr>
      <w:r w:rsidRPr="002F2808">
        <w:rPr>
          <w:rFonts w:ascii="Calibri" w:hAnsi="Calibri" w:cs="Calibri"/>
          <w:i/>
          <w:iCs/>
          <w:szCs w:val="22"/>
        </w:rPr>
        <w:t xml:space="preserve"> </w:t>
      </w:r>
      <w:r w:rsidRPr="002F2808" w:rsidR="00125911">
        <w:rPr>
          <w:rFonts w:ascii="Calibri" w:hAnsi="Calibri" w:cs="Calibri"/>
          <w:szCs w:val="22"/>
        </w:rPr>
        <w:t>3</w:t>
      </w:r>
      <w:r w:rsidRPr="002F2808">
        <w:rPr>
          <w:rFonts w:ascii="Calibri" w:hAnsi="Calibri" w:cs="Calibri"/>
          <w:szCs w:val="22"/>
        </w:rPr>
        <w:t xml:space="preserve"> december 2025</w:t>
      </w:r>
    </w:p>
    <w:p w:rsidRPr="002F2808" w:rsidR="00CA6273" w:rsidP="002F2808" w:rsidRDefault="00CA6273" w14:paraId="05075A21" w14:textId="77777777">
      <w:pPr>
        <w:spacing w:line="240" w:lineRule="auto"/>
        <w:rPr>
          <w:rFonts w:ascii="Calibri" w:hAnsi="Calibri" w:cs="Calibri"/>
          <w:i/>
          <w:iCs/>
          <w:szCs w:val="22"/>
        </w:rPr>
      </w:pPr>
    </w:p>
    <w:p w:rsidRPr="002F2808" w:rsidR="00CA6273" w:rsidP="002F2808" w:rsidRDefault="00F74E07" w14:paraId="01849B6A" w14:textId="77777777">
      <w:pPr>
        <w:numPr>
          <w:ilvl w:val="0"/>
          <w:numId w:val="4"/>
        </w:numPr>
        <w:spacing w:line="240" w:lineRule="auto"/>
        <w:rPr>
          <w:rFonts w:ascii="Calibri" w:hAnsi="Calibri" w:cs="Calibri"/>
          <w:i/>
          <w:iCs/>
          <w:szCs w:val="22"/>
        </w:rPr>
      </w:pPr>
      <w:r w:rsidRPr="002F2808">
        <w:rPr>
          <w:rFonts w:ascii="Calibri" w:hAnsi="Calibri" w:cs="Calibri"/>
          <w:i/>
          <w:iCs/>
          <w:szCs w:val="22"/>
        </w:rPr>
        <w:t>Nr. Commissiedocument</w:t>
      </w:r>
    </w:p>
    <w:p w:rsidRPr="002F2808" w:rsidR="00F74E07" w:rsidP="002F2808" w:rsidRDefault="00BD1572" w14:paraId="019813B8" w14:textId="1A3D830D">
      <w:pPr>
        <w:spacing w:line="240" w:lineRule="auto"/>
        <w:rPr>
          <w:rFonts w:ascii="Calibri" w:hAnsi="Calibri" w:cs="Calibri"/>
          <w:szCs w:val="22"/>
        </w:rPr>
      </w:pPr>
      <w:r w:rsidRPr="002F2808">
        <w:rPr>
          <w:rFonts w:ascii="Calibri" w:hAnsi="Calibri" w:cs="Calibri"/>
          <w:i/>
          <w:iCs/>
          <w:szCs w:val="22"/>
        </w:rPr>
        <w:t xml:space="preserve"> </w:t>
      </w:r>
      <w:r w:rsidRPr="002F2808">
        <w:rPr>
          <w:rFonts w:ascii="Calibri" w:hAnsi="Calibri" w:cs="Calibri"/>
          <w:szCs w:val="22"/>
        </w:rPr>
        <w:t>COM(2025) 747</w:t>
      </w:r>
    </w:p>
    <w:p w:rsidRPr="002F2808" w:rsidR="00CA6273" w:rsidP="002F2808" w:rsidRDefault="00CA6273" w14:paraId="13601760" w14:textId="77777777">
      <w:pPr>
        <w:spacing w:line="240" w:lineRule="auto"/>
        <w:rPr>
          <w:rFonts w:ascii="Calibri" w:hAnsi="Calibri" w:cs="Calibri"/>
          <w:i/>
          <w:iCs/>
          <w:szCs w:val="22"/>
        </w:rPr>
      </w:pPr>
    </w:p>
    <w:p w:rsidRPr="002F2808" w:rsidR="00F74E07" w:rsidP="002F2808" w:rsidRDefault="00C85F76" w14:paraId="423932B7" w14:textId="507FA3B9">
      <w:pPr>
        <w:numPr>
          <w:ilvl w:val="0"/>
          <w:numId w:val="4"/>
        </w:numPr>
        <w:spacing w:line="240" w:lineRule="auto"/>
        <w:rPr>
          <w:rFonts w:ascii="Calibri" w:hAnsi="Calibri" w:cs="Calibri"/>
          <w:i/>
          <w:iCs/>
          <w:szCs w:val="22"/>
        </w:rPr>
      </w:pPr>
      <w:r w:rsidRPr="002F2808">
        <w:rPr>
          <w:rFonts w:ascii="Calibri" w:hAnsi="Calibri" w:cs="Calibri"/>
          <w:i/>
          <w:iCs/>
          <w:szCs w:val="22"/>
        </w:rPr>
        <w:t>EUR</w:t>
      </w:r>
      <w:r w:rsidRPr="002F2808" w:rsidR="00F74E07">
        <w:rPr>
          <w:rFonts w:ascii="Calibri" w:hAnsi="Calibri" w:cs="Calibri"/>
          <w:i/>
          <w:iCs/>
          <w:szCs w:val="22"/>
        </w:rPr>
        <w:t>-</w:t>
      </w:r>
      <w:r w:rsidRPr="002F2808">
        <w:rPr>
          <w:rFonts w:ascii="Calibri" w:hAnsi="Calibri" w:cs="Calibri"/>
          <w:i/>
          <w:iCs/>
          <w:szCs w:val="22"/>
        </w:rPr>
        <w:t>L</w:t>
      </w:r>
      <w:r w:rsidRPr="002F2808" w:rsidR="00F74E07">
        <w:rPr>
          <w:rFonts w:ascii="Calibri" w:hAnsi="Calibri" w:cs="Calibri"/>
          <w:i/>
          <w:iCs/>
          <w:szCs w:val="22"/>
        </w:rPr>
        <w:t>ex</w:t>
      </w:r>
    </w:p>
    <w:p w:rsidRPr="002F2808" w:rsidR="00CA6273" w:rsidP="002F2808" w:rsidRDefault="00564CD5" w14:paraId="09CA6FF1" w14:textId="16969A6B">
      <w:pPr>
        <w:spacing w:line="240" w:lineRule="auto"/>
        <w:rPr>
          <w:rFonts w:ascii="Calibri" w:hAnsi="Calibri" w:cs="Calibri"/>
          <w:i/>
          <w:iCs/>
          <w:szCs w:val="22"/>
          <w:lang w:val="fr-FR"/>
        </w:rPr>
      </w:pPr>
      <w:hyperlink w:history="1" r:id="rId12">
        <w:r w:rsidRPr="002F2808">
          <w:rPr>
            <w:rStyle w:val="Hyperlink"/>
            <w:rFonts w:ascii="Calibri" w:hAnsi="Calibri" w:cs="Calibri"/>
            <w:szCs w:val="22"/>
            <w:lang w:val="fr-FR"/>
          </w:rPr>
          <w:t>EUR-Lex - 52025PC0747 - EN - EUR-Lex</w:t>
        </w:r>
      </w:hyperlink>
      <w:r w:rsidRPr="002F2808" w:rsidR="00CA6273">
        <w:rPr>
          <w:rFonts w:ascii="Calibri" w:hAnsi="Calibri" w:cs="Calibri"/>
          <w:szCs w:val="22"/>
        </w:rPr>
        <w:fldChar w:fldCharType="begin"/>
      </w:r>
      <w:r w:rsidRPr="002F2808" w:rsidR="00CA6273">
        <w:rPr>
          <w:rFonts w:ascii="Calibri" w:hAnsi="Calibri" w:cs="Calibri"/>
          <w:szCs w:val="22"/>
          <w:lang w:val="fr-FR"/>
        </w:rPr>
        <w:instrText>https://eur-lex.europa.eu/legal-content/EN/TXT/?uri=celex:52025PC0747"</w:instrText>
      </w:r>
      <w:r w:rsidRPr="002F2808" w:rsidR="00CA6273">
        <w:rPr>
          <w:rFonts w:ascii="Calibri" w:hAnsi="Calibri" w:cs="Calibri"/>
          <w:szCs w:val="22"/>
        </w:rPr>
        <w:fldChar w:fldCharType="separate"/>
      </w:r>
      <w:r w:rsidRPr="002F2808" w:rsidR="00CA6273">
        <w:rPr>
          <w:rStyle w:val="Hyperlink"/>
          <w:rFonts w:ascii="Calibri" w:hAnsi="Calibri" w:cs="Calibri"/>
          <w:i/>
          <w:iCs/>
          <w:szCs w:val="22"/>
          <w:lang w:val="fr-FR"/>
        </w:rPr>
        <w:t>EUR-Lex - 52025PC0747 - EN - EUR-Lex</w:t>
      </w:r>
      <w:r w:rsidRPr="002F2808" w:rsidR="00CA6273">
        <w:rPr>
          <w:rFonts w:ascii="Calibri" w:hAnsi="Calibri" w:cs="Calibri"/>
          <w:szCs w:val="22"/>
        </w:rPr>
        <w:fldChar w:fldCharType="end"/>
      </w:r>
    </w:p>
    <w:p w:rsidRPr="002F2808" w:rsidR="00CA6273" w:rsidP="002F2808" w:rsidRDefault="00CA6273" w14:paraId="0206E28F" w14:textId="77777777">
      <w:pPr>
        <w:spacing w:line="240" w:lineRule="auto"/>
        <w:ind w:left="360"/>
        <w:rPr>
          <w:rFonts w:ascii="Calibri" w:hAnsi="Calibri" w:cs="Calibri"/>
          <w:i/>
          <w:iCs/>
          <w:szCs w:val="22"/>
          <w:lang w:val="fr-FR"/>
        </w:rPr>
      </w:pPr>
    </w:p>
    <w:p w:rsidRPr="002F2808" w:rsidR="00F74E07" w:rsidP="002F2808" w:rsidRDefault="00F74E07" w14:paraId="275B6B27" w14:textId="77777777">
      <w:pPr>
        <w:numPr>
          <w:ilvl w:val="0"/>
          <w:numId w:val="4"/>
        </w:numPr>
        <w:spacing w:line="240" w:lineRule="auto"/>
        <w:rPr>
          <w:rFonts w:ascii="Calibri" w:hAnsi="Calibri" w:cs="Calibri"/>
          <w:i/>
          <w:iCs/>
          <w:szCs w:val="22"/>
        </w:rPr>
      </w:pPr>
      <w:r w:rsidRPr="002F2808">
        <w:rPr>
          <w:rFonts w:ascii="Calibri" w:hAnsi="Calibri" w:cs="Calibri"/>
          <w:i/>
          <w:iCs/>
          <w:szCs w:val="22"/>
        </w:rPr>
        <w:t xml:space="preserve">Nr. impact assessment Commissie en Opinie </w:t>
      </w:r>
      <w:r w:rsidRPr="002F2808" w:rsidR="00F30C33">
        <w:rPr>
          <w:rFonts w:ascii="Calibri" w:hAnsi="Calibri" w:cs="Calibri"/>
          <w:i/>
          <w:szCs w:val="22"/>
        </w:rPr>
        <w:t>Raad voor Regelgevingstoetsing</w:t>
      </w:r>
    </w:p>
    <w:p w:rsidRPr="002F2808" w:rsidR="00B866C3" w:rsidP="002F2808" w:rsidRDefault="00B866C3" w14:paraId="2D6CD222" w14:textId="2E087C3D">
      <w:pPr>
        <w:spacing w:line="240" w:lineRule="auto"/>
        <w:rPr>
          <w:rFonts w:ascii="Calibri" w:hAnsi="Calibri" w:cs="Calibri"/>
          <w:iCs/>
          <w:szCs w:val="22"/>
          <w:lang w:val="en-US"/>
        </w:rPr>
      </w:pPr>
      <w:r w:rsidRPr="002F2808">
        <w:rPr>
          <w:rFonts w:ascii="Calibri" w:hAnsi="Calibri" w:cs="Calibri"/>
          <w:iCs/>
          <w:szCs w:val="22"/>
          <w:lang w:val="en-US"/>
        </w:rPr>
        <w:t xml:space="preserve">SEC(2025) 328, SWD(2025) 397, SWD(2025) 398final, SWD(2025) 399 </w:t>
      </w:r>
    </w:p>
    <w:p w:rsidRPr="002F2808" w:rsidR="00CA6273" w:rsidP="002F2808" w:rsidRDefault="00CA6273" w14:paraId="0BCEB57D" w14:textId="77777777">
      <w:pPr>
        <w:spacing w:line="240" w:lineRule="auto"/>
        <w:rPr>
          <w:rFonts w:ascii="Calibri" w:hAnsi="Calibri" w:cs="Calibri"/>
          <w:i/>
          <w:iCs/>
          <w:szCs w:val="22"/>
          <w:lang w:val="en-US"/>
        </w:rPr>
      </w:pPr>
    </w:p>
    <w:p w:rsidRPr="002F2808" w:rsidR="00F74E07" w:rsidP="002F2808" w:rsidRDefault="00F74E07" w14:paraId="792A7FD8" w14:textId="7FDB399E">
      <w:pPr>
        <w:numPr>
          <w:ilvl w:val="0"/>
          <w:numId w:val="4"/>
        </w:numPr>
        <w:spacing w:line="240" w:lineRule="auto"/>
        <w:rPr>
          <w:rFonts w:ascii="Calibri" w:hAnsi="Calibri" w:cs="Calibri"/>
          <w:i/>
          <w:iCs/>
          <w:szCs w:val="22"/>
        </w:rPr>
      </w:pPr>
      <w:r w:rsidRPr="002F2808">
        <w:rPr>
          <w:rFonts w:ascii="Calibri" w:hAnsi="Calibri" w:cs="Calibri"/>
          <w:i/>
          <w:iCs/>
          <w:szCs w:val="22"/>
        </w:rPr>
        <w:t>Behandelingstraject Raad</w:t>
      </w:r>
    </w:p>
    <w:p w:rsidRPr="002F2808" w:rsidR="00CA6273" w:rsidP="002F2808" w:rsidRDefault="001A6D2F" w14:paraId="2951629D" w14:textId="4060DEC6">
      <w:pPr>
        <w:spacing w:line="240" w:lineRule="auto"/>
        <w:rPr>
          <w:rFonts w:ascii="Calibri" w:hAnsi="Calibri" w:cs="Calibri"/>
          <w:szCs w:val="22"/>
        </w:rPr>
      </w:pPr>
      <w:r w:rsidRPr="002F2808">
        <w:rPr>
          <w:rFonts w:ascii="Calibri" w:hAnsi="Calibri" w:cs="Calibri"/>
          <w:szCs w:val="22"/>
        </w:rPr>
        <w:t>ECOFIN-Raad</w:t>
      </w:r>
    </w:p>
    <w:p w:rsidRPr="002F2808" w:rsidR="00CA6273" w:rsidP="002F2808" w:rsidRDefault="00CA6273" w14:paraId="4899E744" w14:textId="77777777">
      <w:pPr>
        <w:spacing w:line="240" w:lineRule="auto"/>
        <w:rPr>
          <w:rFonts w:ascii="Calibri" w:hAnsi="Calibri" w:cs="Calibri"/>
          <w:szCs w:val="22"/>
        </w:rPr>
      </w:pPr>
    </w:p>
    <w:p w:rsidRPr="002F2808" w:rsidR="00330FE7" w:rsidP="002F2808" w:rsidRDefault="00330FE7" w14:paraId="6E778903" w14:textId="2AE92BD4">
      <w:pPr>
        <w:numPr>
          <w:ilvl w:val="0"/>
          <w:numId w:val="4"/>
        </w:numPr>
        <w:spacing w:line="240" w:lineRule="auto"/>
        <w:rPr>
          <w:rFonts w:ascii="Calibri" w:hAnsi="Calibri" w:cs="Calibri"/>
          <w:i/>
          <w:iCs/>
          <w:szCs w:val="22"/>
        </w:rPr>
      </w:pPr>
      <w:r w:rsidRPr="002F2808">
        <w:rPr>
          <w:rFonts w:ascii="Calibri" w:hAnsi="Calibri" w:cs="Calibri"/>
          <w:i/>
          <w:iCs/>
          <w:szCs w:val="22"/>
        </w:rPr>
        <w:t>Eerstverantwoordelijk ministerie</w:t>
      </w:r>
    </w:p>
    <w:p w:rsidRPr="002F2808" w:rsidR="00CA6273" w:rsidP="002F2808" w:rsidRDefault="0049050F" w14:paraId="7F6A689F" w14:textId="5609A2F9">
      <w:pPr>
        <w:spacing w:line="240" w:lineRule="auto"/>
        <w:rPr>
          <w:rFonts w:ascii="Calibri" w:hAnsi="Calibri" w:cs="Calibri"/>
          <w:szCs w:val="22"/>
        </w:rPr>
      </w:pPr>
      <w:r w:rsidRPr="002F2808">
        <w:rPr>
          <w:rFonts w:ascii="Calibri" w:hAnsi="Calibri" w:cs="Calibri"/>
          <w:szCs w:val="22"/>
        </w:rPr>
        <w:t xml:space="preserve">Ministerie van Volksgezondheid, Welzijn en Sport, in nauwe samenwerking met het </w:t>
      </w:r>
      <w:r w:rsidRPr="002F2808" w:rsidR="00CA6273">
        <w:rPr>
          <w:rFonts w:ascii="Calibri" w:hAnsi="Calibri" w:cs="Calibri"/>
          <w:szCs w:val="22"/>
        </w:rPr>
        <w:t>Ministerie van Justitie</w:t>
      </w:r>
      <w:r w:rsidRPr="002F2808" w:rsidR="00DB609C">
        <w:rPr>
          <w:rFonts w:ascii="Calibri" w:hAnsi="Calibri" w:cs="Calibri"/>
          <w:szCs w:val="22"/>
        </w:rPr>
        <w:t xml:space="preserve"> en Veiligheid</w:t>
      </w:r>
      <w:r w:rsidRPr="002F2808" w:rsidR="00CA6273">
        <w:rPr>
          <w:rFonts w:ascii="Calibri" w:hAnsi="Calibri" w:cs="Calibri"/>
          <w:szCs w:val="22"/>
        </w:rPr>
        <w:t xml:space="preserve"> en </w:t>
      </w:r>
      <w:r w:rsidRPr="002F2808" w:rsidR="001A6D2F">
        <w:rPr>
          <w:rFonts w:ascii="Calibri" w:hAnsi="Calibri" w:cs="Calibri"/>
          <w:szCs w:val="22"/>
        </w:rPr>
        <w:t xml:space="preserve">het </w:t>
      </w:r>
      <w:r w:rsidRPr="002F2808">
        <w:rPr>
          <w:rFonts w:ascii="Calibri" w:hAnsi="Calibri" w:cs="Calibri"/>
          <w:szCs w:val="22"/>
        </w:rPr>
        <w:t>M</w:t>
      </w:r>
      <w:r w:rsidRPr="002F2808" w:rsidR="001A6D2F">
        <w:rPr>
          <w:rFonts w:ascii="Calibri" w:hAnsi="Calibri" w:cs="Calibri"/>
          <w:szCs w:val="22"/>
        </w:rPr>
        <w:t xml:space="preserve">inisterie van Financiën </w:t>
      </w:r>
    </w:p>
    <w:p w:rsidRPr="002F2808" w:rsidR="00CA6273" w:rsidP="002F2808" w:rsidRDefault="00CA6273" w14:paraId="328EA151" w14:textId="77777777">
      <w:pPr>
        <w:spacing w:line="240" w:lineRule="auto"/>
        <w:rPr>
          <w:rFonts w:ascii="Calibri" w:hAnsi="Calibri" w:cs="Calibri"/>
          <w:szCs w:val="22"/>
        </w:rPr>
      </w:pPr>
    </w:p>
    <w:p w:rsidRPr="002F2808" w:rsidR="00330FE7" w:rsidP="002F2808" w:rsidRDefault="00330FE7" w14:paraId="7AD0288E" w14:textId="77777777">
      <w:pPr>
        <w:numPr>
          <w:ilvl w:val="0"/>
          <w:numId w:val="4"/>
        </w:numPr>
        <w:spacing w:line="240" w:lineRule="auto"/>
        <w:rPr>
          <w:rFonts w:ascii="Calibri" w:hAnsi="Calibri" w:cs="Calibri"/>
          <w:i/>
          <w:iCs/>
          <w:szCs w:val="22"/>
        </w:rPr>
      </w:pPr>
      <w:r w:rsidRPr="002F2808">
        <w:rPr>
          <w:rFonts w:ascii="Calibri" w:hAnsi="Calibri" w:cs="Calibri"/>
          <w:i/>
          <w:iCs/>
          <w:szCs w:val="22"/>
        </w:rPr>
        <w:t>Rechtsbasis</w:t>
      </w:r>
    </w:p>
    <w:p w:rsidRPr="002F2808" w:rsidR="000D5EC6" w:rsidP="002F2808" w:rsidRDefault="000D5EC6" w14:paraId="2B83BEFB" w14:textId="399032F0">
      <w:pPr>
        <w:spacing w:line="240" w:lineRule="auto"/>
        <w:rPr>
          <w:rFonts w:ascii="Calibri" w:hAnsi="Calibri" w:cs="Calibri"/>
          <w:szCs w:val="22"/>
        </w:rPr>
      </w:pPr>
      <w:r w:rsidRPr="002F2808">
        <w:rPr>
          <w:rFonts w:ascii="Calibri" w:hAnsi="Calibri" w:cs="Calibri"/>
          <w:szCs w:val="22"/>
        </w:rPr>
        <w:t>Artikel 33, 114 en 207 VWEU</w:t>
      </w:r>
    </w:p>
    <w:p w:rsidRPr="002F2808" w:rsidR="006D1EA3" w:rsidP="002F2808" w:rsidRDefault="006D1EA3" w14:paraId="7D84BE15" w14:textId="77777777">
      <w:pPr>
        <w:spacing w:line="240" w:lineRule="auto"/>
        <w:rPr>
          <w:rFonts w:ascii="Calibri" w:hAnsi="Calibri" w:cs="Calibri"/>
          <w:szCs w:val="22"/>
        </w:rPr>
      </w:pPr>
    </w:p>
    <w:p w:rsidRPr="002F2808" w:rsidR="00330FE7" w:rsidP="002F2808" w:rsidRDefault="00330FE7" w14:paraId="1EB0C227" w14:textId="77777777">
      <w:pPr>
        <w:numPr>
          <w:ilvl w:val="0"/>
          <w:numId w:val="4"/>
        </w:numPr>
        <w:spacing w:line="240" w:lineRule="auto"/>
        <w:rPr>
          <w:rFonts w:ascii="Calibri" w:hAnsi="Calibri" w:cs="Calibri"/>
          <w:i/>
          <w:iCs/>
          <w:szCs w:val="22"/>
        </w:rPr>
      </w:pPr>
      <w:r w:rsidRPr="002F2808">
        <w:rPr>
          <w:rFonts w:ascii="Calibri" w:hAnsi="Calibri" w:cs="Calibri"/>
          <w:i/>
          <w:iCs/>
          <w:szCs w:val="22"/>
        </w:rPr>
        <w:t>Besluitvormingsprocedure Raad</w:t>
      </w:r>
    </w:p>
    <w:p w:rsidRPr="002F2808" w:rsidR="00CA6273" w:rsidP="002F2808" w:rsidRDefault="00CA6273" w14:paraId="46645672" w14:textId="573F7852">
      <w:pPr>
        <w:spacing w:line="240" w:lineRule="auto"/>
        <w:rPr>
          <w:rFonts w:ascii="Calibri" w:hAnsi="Calibri" w:cs="Calibri"/>
          <w:szCs w:val="22"/>
        </w:rPr>
      </w:pPr>
      <w:r w:rsidRPr="002F2808">
        <w:rPr>
          <w:rFonts w:ascii="Calibri" w:hAnsi="Calibri" w:cs="Calibri"/>
          <w:szCs w:val="22"/>
        </w:rPr>
        <w:t>Gekwalificeerde meerderheid</w:t>
      </w:r>
    </w:p>
    <w:p w:rsidRPr="002F2808" w:rsidR="00CA6273" w:rsidP="002F2808" w:rsidRDefault="00CA6273" w14:paraId="15BD2072" w14:textId="77777777">
      <w:pPr>
        <w:spacing w:line="240" w:lineRule="auto"/>
        <w:rPr>
          <w:rFonts w:ascii="Calibri" w:hAnsi="Calibri" w:cs="Calibri"/>
          <w:szCs w:val="22"/>
        </w:rPr>
      </w:pPr>
    </w:p>
    <w:p w:rsidRPr="002F2808" w:rsidR="00330FE7" w:rsidP="002F2808" w:rsidRDefault="00330FE7" w14:paraId="7E1521AA" w14:textId="77777777">
      <w:pPr>
        <w:numPr>
          <w:ilvl w:val="0"/>
          <w:numId w:val="4"/>
        </w:numPr>
        <w:spacing w:line="240" w:lineRule="auto"/>
        <w:rPr>
          <w:rFonts w:ascii="Calibri" w:hAnsi="Calibri" w:cs="Calibri"/>
          <w:i/>
          <w:iCs/>
          <w:szCs w:val="22"/>
        </w:rPr>
      </w:pPr>
      <w:r w:rsidRPr="002F2808">
        <w:rPr>
          <w:rFonts w:ascii="Calibri" w:hAnsi="Calibri" w:cs="Calibri"/>
          <w:i/>
          <w:iCs/>
          <w:szCs w:val="22"/>
        </w:rPr>
        <w:t>Rol Europees Parlement</w:t>
      </w:r>
    </w:p>
    <w:p w:rsidRPr="002F2808" w:rsidR="00CA6273" w:rsidP="002F2808" w:rsidRDefault="00CA6273" w14:paraId="71B7F10B" w14:textId="53789D89">
      <w:pPr>
        <w:spacing w:line="240" w:lineRule="auto"/>
        <w:rPr>
          <w:rFonts w:ascii="Calibri" w:hAnsi="Calibri" w:cs="Calibri"/>
          <w:szCs w:val="22"/>
        </w:rPr>
      </w:pPr>
      <w:r w:rsidRPr="002F2808">
        <w:rPr>
          <w:rFonts w:ascii="Calibri" w:hAnsi="Calibri" w:cs="Calibri"/>
          <w:szCs w:val="22"/>
        </w:rPr>
        <w:t>Medebeslissing</w:t>
      </w:r>
    </w:p>
    <w:p w:rsidRPr="002F2808" w:rsidR="009A3B1D" w:rsidP="002F2808" w:rsidRDefault="009A3B1D" w14:paraId="0BB96C40" w14:textId="77777777">
      <w:pPr>
        <w:spacing w:line="240" w:lineRule="auto"/>
        <w:rPr>
          <w:rFonts w:ascii="Calibri" w:hAnsi="Calibri" w:cs="Calibri"/>
          <w:b/>
          <w:szCs w:val="22"/>
        </w:rPr>
      </w:pPr>
    </w:p>
    <w:p w:rsidRPr="002F2808" w:rsidR="00CB7FF8" w:rsidP="002F2808" w:rsidRDefault="00E539A8" w14:paraId="637A7F88" w14:textId="77777777">
      <w:pPr>
        <w:numPr>
          <w:ilvl w:val="0"/>
          <w:numId w:val="3"/>
        </w:numPr>
        <w:spacing w:line="240" w:lineRule="auto"/>
        <w:rPr>
          <w:rFonts w:ascii="Calibri" w:hAnsi="Calibri" w:cs="Calibri"/>
          <w:b/>
          <w:szCs w:val="22"/>
        </w:rPr>
      </w:pPr>
      <w:r w:rsidRPr="002F2808">
        <w:rPr>
          <w:rFonts w:ascii="Calibri" w:hAnsi="Calibri" w:cs="Calibri"/>
          <w:b/>
          <w:szCs w:val="22"/>
        </w:rPr>
        <w:t>Essentie</w:t>
      </w:r>
      <w:r w:rsidRPr="002F2808" w:rsidR="00CB7FF8">
        <w:rPr>
          <w:rFonts w:ascii="Calibri" w:hAnsi="Calibri" w:cs="Calibri"/>
          <w:b/>
          <w:szCs w:val="22"/>
        </w:rPr>
        <w:t xml:space="preserve"> voorstel </w:t>
      </w:r>
    </w:p>
    <w:p w:rsidRPr="002F2808" w:rsidR="00CB7FF8" w:rsidP="002F2808" w:rsidRDefault="00CB7FF8" w14:paraId="6D7B6BA8" w14:textId="77777777">
      <w:pPr>
        <w:pStyle w:val="Spreekpunten"/>
        <w:numPr>
          <w:ilvl w:val="0"/>
          <w:numId w:val="5"/>
        </w:numPr>
        <w:spacing w:line="240" w:lineRule="auto"/>
        <w:rPr>
          <w:rFonts w:ascii="Calibri" w:hAnsi="Calibri" w:cs="Calibri"/>
          <w:i/>
          <w:iCs/>
          <w:sz w:val="22"/>
          <w:szCs w:val="22"/>
          <w:lang w:val="nl-NL" w:eastAsia="zh-CN"/>
        </w:rPr>
      </w:pPr>
      <w:r w:rsidRPr="002F2808">
        <w:rPr>
          <w:rFonts w:ascii="Calibri" w:hAnsi="Calibri" w:cs="Calibri"/>
          <w:i/>
          <w:iCs/>
          <w:sz w:val="22"/>
          <w:szCs w:val="22"/>
          <w:lang w:val="nl-NL" w:eastAsia="zh-CN"/>
        </w:rPr>
        <w:t>Inhoud voorstel</w:t>
      </w:r>
    </w:p>
    <w:p w:rsidRPr="002F2808" w:rsidR="003C3B1C" w:rsidP="002F2808" w:rsidRDefault="000D5EC6" w14:paraId="0CF04A63" w14:textId="60F752B9">
      <w:pPr>
        <w:pStyle w:val="Normaalweb"/>
        <w:rPr>
          <w:rFonts w:ascii="Calibri" w:hAnsi="Calibri" w:cs="Calibri"/>
          <w:sz w:val="22"/>
          <w:szCs w:val="22"/>
        </w:rPr>
      </w:pPr>
      <w:r w:rsidRPr="002F2808">
        <w:rPr>
          <w:rFonts w:ascii="Calibri" w:hAnsi="Calibri" w:cs="Calibri"/>
          <w:sz w:val="22"/>
          <w:szCs w:val="22"/>
        </w:rPr>
        <w:t xml:space="preserve">Op 3 december 2025 heeft de Europese Commissie (hierna: de Commissie) een voorstel gepubliceerd voor een verordening betreffende de monitoring en controle van drugsprecursoren en tot intrekking van </w:t>
      </w:r>
      <w:r w:rsidRPr="002F2808" w:rsidR="00125911">
        <w:rPr>
          <w:rFonts w:ascii="Calibri" w:hAnsi="Calibri" w:cs="Calibri"/>
          <w:sz w:val="22"/>
          <w:szCs w:val="22"/>
        </w:rPr>
        <w:t>V</w:t>
      </w:r>
      <w:r w:rsidRPr="002F2808">
        <w:rPr>
          <w:rFonts w:ascii="Calibri" w:hAnsi="Calibri" w:cs="Calibri"/>
          <w:sz w:val="22"/>
          <w:szCs w:val="22"/>
        </w:rPr>
        <w:t>erordening 273/2004</w:t>
      </w:r>
      <w:r w:rsidRPr="002F2808" w:rsidR="00125911">
        <w:rPr>
          <w:rStyle w:val="Voetnootmarkering"/>
          <w:rFonts w:ascii="Calibri" w:hAnsi="Calibri" w:cs="Calibri"/>
          <w:sz w:val="22"/>
          <w:szCs w:val="22"/>
        </w:rPr>
        <w:footnoteReference w:id="1"/>
      </w:r>
      <w:r w:rsidRPr="002F2808">
        <w:rPr>
          <w:rFonts w:ascii="Calibri" w:hAnsi="Calibri" w:cs="Calibri"/>
          <w:sz w:val="22"/>
          <w:szCs w:val="22"/>
        </w:rPr>
        <w:t xml:space="preserve"> en </w:t>
      </w:r>
      <w:r w:rsidRPr="002F2808" w:rsidR="00125911">
        <w:rPr>
          <w:rFonts w:ascii="Calibri" w:hAnsi="Calibri" w:cs="Calibri"/>
          <w:sz w:val="22"/>
          <w:szCs w:val="22"/>
        </w:rPr>
        <w:t>V</w:t>
      </w:r>
      <w:r w:rsidRPr="002F2808">
        <w:rPr>
          <w:rFonts w:ascii="Calibri" w:hAnsi="Calibri" w:cs="Calibri"/>
          <w:sz w:val="22"/>
          <w:szCs w:val="22"/>
        </w:rPr>
        <w:t>erordening 111/2005</w:t>
      </w:r>
      <w:r w:rsidRPr="002F2808" w:rsidR="00125911">
        <w:rPr>
          <w:rStyle w:val="Voetnootmarkering"/>
          <w:rFonts w:ascii="Calibri" w:hAnsi="Calibri" w:cs="Calibri"/>
          <w:sz w:val="22"/>
          <w:szCs w:val="22"/>
        </w:rPr>
        <w:footnoteReference w:id="2"/>
      </w:r>
      <w:r w:rsidRPr="002F2808">
        <w:rPr>
          <w:rFonts w:ascii="Calibri" w:hAnsi="Calibri" w:cs="Calibri"/>
          <w:sz w:val="22"/>
          <w:szCs w:val="22"/>
        </w:rPr>
        <w:t xml:space="preserve">. </w:t>
      </w:r>
      <w:r w:rsidRPr="002F2808" w:rsidR="00982341">
        <w:rPr>
          <w:rFonts w:ascii="Calibri" w:hAnsi="Calibri" w:cs="Calibri"/>
          <w:sz w:val="22"/>
          <w:szCs w:val="22"/>
        </w:rPr>
        <w:t>Precursoren zijn stoffen die kunnen dienen als grondstof voor de productie van (synthetische) drugs</w:t>
      </w:r>
      <w:r w:rsidRPr="002F2808" w:rsidR="0032779E">
        <w:rPr>
          <w:rFonts w:ascii="Calibri" w:hAnsi="Calibri" w:cs="Calibri"/>
          <w:sz w:val="22"/>
          <w:szCs w:val="22"/>
        </w:rPr>
        <w:t xml:space="preserve">. Deze stoffen worden ook </w:t>
      </w:r>
      <w:r w:rsidRPr="002F2808" w:rsidR="00982341">
        <w:rPr>
          <w:rFonts w:ascii="Calibri" w:hAnsi="Calibri" w:cs="Calibri"/>
          <w:sz w:val="22"/>
          <w:szCs w:val="22"/>
        </w:rPr>
        <w:t xml:space="preserve">gebruikt voor legitieme toepassingen, waaronder medische en industriële doeleinden. </w:t>
      </w:r>
      <w:r w:rsidRPr="002F2808" w:rsidR="00982341">
        <w:rPr>
          <w:rFonts w:ascii="Calibri" w:hAnsi="Calibri" w:cs="Calibri"/>
          <w:sz w:val="22"/>
          <w:szCs w:val="22"/>
        </w:rPr>
        <w:br/>
      </w:r>
      <w:r w:rsidRPr="002F2808" w:rsidR="00BD1572">
        <w:rPr>
          <w:rFonts w:ascii="Calibri" w:hAnsi="Calibri" w:cs="Calibri"/>
          <w:sz w:val="22"/>
          <w:szCs w:val="22"/>
        </w:rPr>
        <w:t>Het voorstel moderniseert en vervangt de huidige regelgeving voor drugsprecursoren</w:t>
      </w:r>
      <w:r w:rsidRPr="002F2808">
        <w:rPr>
          <w:rFonts w:ascii="Calibri" w:hAnsi="Calibri" w:cs="Calibri"/>
          <w:sz w:val="22"/>
          <w:szCs w:val="22"/>
        </w:rPr>
        <w:t xml:space="preserve">. </w:t>
      </w:r>
      <w:r w:rsidRPr="002F2808" w:rsidR="00F35742">
        <w:rPr>
          <w:rFonts w:ascii="Calibri" w:hAnsi="Calibri" w:cs="Calibri"/>
          <w:sz w:val="22"/>
          <w:szCs w:val="22"/>
        </w:rPr>
        <w:t xml:space="preserve">Uit een evaluatie in 2020 was gebleken dat deze een aantal tekortkomingen </w:t>
      </w:r>
      <w:r w:rsidRPr="002F2808" w:rsidR="00B9137A">
        <w:rPr>
          <w:rFonts w:ascii="Calibri" w:hAnsi="Calibri" w:cs="Calibri"/>
          <w:sz w:val="22"/>
          <w:szCs w:val="22"/>
        </w:rPr>
        <w:t>had</w:t>
      </w:r>
      <w:r w:rsidRPr="002F2808" w:rsidR="00F35742">
        <w:rPr>
          <w:rFonts w:ascii="Calibri" w:hAnsi="Calibri" w:cs="Calibri"/>
          <w:sz w:val="22"/>
          <w:szCs w:val="22"/>
        </w:rPr>
        <w:t xml:space="preserve">. </w:t>
      </w:r>
      <w:r w:rsidRPr="002F2808" w:rsidR="00982341">
        <w:rPr>
          <w:rFonts w:ascii="Calibri" w:hAnsi="Calibri" w:cs="Calibri"/>
          <w:sz w:val="22"/>
          <w:szCs w:val="22"/>
        </w:rPr>
        <w:t>Daarnaast is v</w:t>
      </w:r>
      <w:r w:rsidRPr="002F2808" w:rsidR="00F35742">
        <w:rPr>
          <w:rFonts w:ascii="Calibri" w:hAnsi="Calibri" w:cs="Calibri"/>
          <w:sz w:val="22"/>
          <w:szCs w:val="22"/>
        </w:rPr>
        <w:t xml:space="preserve">ernieuwing </w:t>
      </w:r>
      <w:r w:rsidRPr="002F2808" w:rsidR="000334E9">
        <w:rPr>
          <w:rFonts w:ascii="Calibri" w:hAnsi="Calibri" w:cs="Calibri"/>
          <w:sz w:val="22"/>
          <w:szCs w:val="22"/>
        </w:rPr>
        <w:t>nodig</w:t>
      </w:r>
      <w:r w:rsidRPr="002F2808" w:rsidR="0036605A">
        <w:rPr>
          <w:rFonts w:ascii="Calibri" w:hAnsi="Calibri" w:cs="Calibri"/>
          <w:sz w:val="22"/>
          <w:szCs w:val="22"/>
        </w:rPr>
        <w:t xml:space="preserve">, </w:t>
      </w:r>
      <w:r w:rsidRPr="002F2808" w:rsidR="000334E9">
        <w:rPr>
          <w:rFonts w:ascii="Calibri" w:hAnsi="Calibri" w:cs="Calibri"/>
          <w:sz w:val="22"/>
          <w:szCs w:val="22"/>
        </w:rPr>
        <w:t xml:space="preserve">omdat de drugsmarkt en daarmee de vraag naar </w:t>
      </w:r>
      <w:r w:rsidRPr="002F2808" w:rsidR="008A254D">
        <w:rPr>
          <w:rFonts w:ascii="Calibri" w:hAnsi="Calibri" w:cs="Calibri"/>
          <w:sz w:val="22"/>
          <w:szCs w:val="22"/>
        </w:rPr>
        <w:t xml:space="preserve">(designer) </w:t>
      </w:r>
      <w:r w:rsidRPr="002F2808" w:rsidR="000334E9">
        <w:rPr>
          <w:rFonts w:ascii="Calibri" w:hAnsi="Calibri" w:cs="Calibri"/>
          <w:sz w:val="22"/>
          <w:szCs w:val="22"/>
        </w:rPr>
        <w:t>precursoren sterk groeit</w:t>
      </w:r>
      <w:r w:rsidRPr="002F2808" w:rsidR="003D31AE">
        <w:rPr>
          <w:rFonts w:ascii="Calibri" w:hAnsi="Calibri" w:cs="Calibri"/>
          <w:sz w:val="22"/>
          <w:szCs w:val="22"/>
        </w:rPr>
        <w:t xml:space="preserve">. </w:t>
      </w:r>
      <w:r w:rsidRPr="002F2808" w:rsidR="003C3B1C">
        <w:rPr>
          <w:rFonts w:ascii="Calibri" w:hAnsi="Calibri" w:cs="Calibri"/>
          <w:sz w:val="22"/>
          <w:szCs w:val="22"/>
        </w:rPr>
        <w:t xml:space="preserve">Het woord ‘designer’ duidt erop dat een precursor speciaal ontworpen is om te dienen als grondstof </w:t>
      </w:r>
      <w:r w:rsidRPr="002F2808" w:rsidR="003C3B1C">
        <w:rPr>
          <w:rFonts w:ascii="Calibri" w:hAnsi="Calibri" w:cs="Calibri"/>
          <w:sz w:val="22"/>
          <w:szCs w:val="22"/>
        </w:rPr>
        <w:lastRenderedPageBreak/>
        <w:t>voor drugs en net iets verschilt van een bestaande stof om een verbod te ontwijken (art</w:t>
      </w:r>
      <w:r w:rsidRPr="002F2808" w:rsidR="00BB3A7F">
        <w:rPr>
          <w:rFonts w:ascii="Calibri" w:hAnsi="Calibri" w:cs="Calibri"/>
          <w:sz w:val="22"/>
          <w:szCs w:val="22"/>
        </w:rPr>
        <w:t>ikel</w:t>
      </w:r>
      <w:r w:rsidRPr="002F2808" w:rsidR="003C3B1C">
        <w:rPr>
          <w:rFonts w:ascii="Calibri" w:hAnsi="Calibri" w:cs="Calibri"/>
          <w:sz w:val="22"/>
          <w:szCs w:val="22"/>
        </w:rPr>
        <w:t xml:space="preserve"> 2</w:t>
      </w:r>
      <w:r w:rsidRPr="002F2808" w:rsidR="00BB3A7F">
        <w:rPr>
          <w:rFonts w:ascii="Calibri" w:hAnsi="Calibri" w:cs="Calibri"/>
          <w:sz w:val="22"/>
          <w:szCs w:val="22"/>
        </w:rPr>
        <w:t>, lid</w:t>
      </w:r>
      <w:r w:rsidRPr="002F2808" w:rsidR="003C3B1C">
        <w:rPr>
          <w:rFonts w:ascii="Calibri" w:hAnsi="Calibri" w:cs="Calibri"/>
          <w:sz w:val="22"/>
          <w:szCs w:val="22"/>
        </w:rPr>
        <w:t xml:space="preserve"> 8</w:t>
      </w:r>
      <w:r w:rsidRPr="002F2808" w:rsidR="00BB3A7F">
        <w:rPr>
          <w:rFonts w:ascii="Calibri" w:hAnsi="Calibri" w:cs="Calibri"/>
          <w:sz w:val="22"/>
          <w:szCs w:val="22"/>
        </w:rPr>
        <w:t>, van het voorstel</w:t>
      </w:r>
      <w:r w:rsidRPr="002F2808" w:rsidR="003C3B1C">
        <w:rPr>
          <w:rFonts w:ascii="Calibri" w:hAnsi="Calibri" w:cs="Calibri"/>
          <w:sz w:val="22"/>
          <w:szCs w:val="22"/>
        </w:rPr>
        <w:t>). In de conceptverordening gaat het echter over alle precursoren voor drugs, dus ook reeds bestaande (artikel 3</w:t>
      </w:r>
      <w:r w:rsidRPr="002F2808" w:rsidR="00BB3A7F">
        <w:rPr>
          <w:rFonts w:ascii="Calibri" w:hAnsi="Calibri" w:cs="Calibri"/>
          <w:sz w:val="22"/>
          <w:szCs w:val="22"/>
        </w:rPr>
        <w:t>,</w:t>
      </w:r>
      <w:r w:rsidRPr="002F2808" w:rsidR="003C3B1C">
        <w:rPr>
          <w:rFonts w:ascii="Calibri" w:hAnsi="Calibri" w:cs="Calibri"/>
          <w:sz w:val="22"/>
          <w:szCs w:val="22"/>
        </w:rPr>
        <w:t xml:space="preserve"> lid 1</w:t>
      </w:r>
      <w:r w:rsidRPr="002F2808" w:rsidR="00BB3A7F">
        <w:rPr>
          <w:rFonts w:ascii="Calibri" w:hAnsi="Calibri" w:cs="Calibri"/>
          <w:sz w:val="22"/>
          <w:szCs w:val="22"/>
        </w:rPr>
        <w:t>, van het voorstel</w:t>
      </w:r>
      <w:r w:rsidRPr="002F2808" w:rsidR="003C3B1C">
        <w:rPr>
          <w:rFonts w:ascii="Calibri" w:hAnsi="Calibri" w:cs="Calibri"/>
          <w:sz w:val="22"/>
          <w:szCs w:val="22"/>
        </w:rPr>
        <w:t>). Deze definitie van precursoren wijkt af van de definitie van precursoren in kaderbesluit 2004/757.</w:t>
      </w:r>
      <w:r w:rsidRPr="002F2808" w:rsidR="00FD01C2">
        <w:rPr>
          <w:rStyle w:val="Voetnootmarkering"/>
          <w:rFonts w:ascii="Calibri" w:hAnsi="Calibri" w:cs="Calibri"/>
          <w:sz w:val="22"/>
          <w:szCs w:val="22"/>
        </w:rPr>
        <w:footnoteReference w:id="3"/>
      </w:r>
    </w:p>
    <w:p w:rsidRPr="002F2808" w:rsidR="00AC5451" w:rsidP="002F2808" w:rsidRDefault="003D31AE" w14:paraId="38513AC9" w14:textId="3FF448A4">
      <w:pPr>
        <w:pStyle w:val="Normaalweb"/>
        <w:rPr>
          <w:rFonts w:ascii="Calibri" w:hAnsi="Calibri" w:cs="Calibri"/>
          <w:sz w:val="22"/>
          <w:szCs w:val="22"/>
        </w:rPr>
      </w:pPr>
      <w:r w:rsidRPr="002F2808">
        <w:rPr>
          <w:rFonts w:ascii="Calibri" w:hAnsi="Calibri" w:cs="Calibri"/>
          <w:sz w:val="22"/>
          <w:szCs w:val="22"/>
        </w:rPr>
        <w:t xml:space="preserve">Het voorstel beoogt het gebruik van precursoren voor de vervaardiging van illegale drugs tegen te gaan en tegelijkertijd de regels voor de legitieme handel te vereenvoudigen. </w:t>
      </w:r>
      <w:r w:rsidRPr="002F2808" w:rsidR="0032779E">
        <w:rPr>
          <w:rFonts w:ascii="Calibri" w:hAnsi="Calibri" w:cs="Calibri"/>
          <w:sz w:val="22"/>
          <w:szCs w:val="22"/>
        </w:rPr>
        <w:t>D</w:t>
      </w:r>
      <w:r w:rsidRPr="002F2808" w:rsidR="000D5EC6">
        <w:rPr>
          <w:rFonts w:ascii="Calibri" w:hAnsi="Calibri" w:cs="Calibri"/>
          <w:sz w:val="22"/>
          <w:szCs w:val="22"/>
        </w:rPr>
        <w:t>e afgelopen jaren is de handel in designerprecursor</w:t>
      </w:r>
      <w:r w:rsidRPr="002F2808" w:rsidR="00DB609C">
        <w:rPr>
          <w:rFonts w:ascii="Calibri" w:hAnsi="Calibri" w:cs="Calibri"/>
          <w:sz w:val="22"/>
          <w:szCs w:val="22"/>
        </w:rPr>
        <w:t>en</w:t>
      </w:r>
      <w:r w:rsidRPr="002F2808" w:rsidR="0032779E">
        <w:rPr>
          <w:rFonts w:ascii="Calibri" w:hAnsi="Calibri" w:cs="Calibri"/>
          <w:sz w:val="22"/>
          <w:szCs w:val="22"/>
        </w:rPr>
        <w:t xml:space="preserve"> toegenomen.</w:t>
      </w:r>
      <w:r w:rsidRPr="002F2808" w:rsidR="000D5EC6">
        <w:rPr>
          <w:rFonts w:ascii="Calibri" w:hAnsi="Calibri" w:cs="Calibri"/>
          <w:sz w:val="22"/>
          <w:szCs w:val="22"/>
        </w:rPr>
        <w:t xml:space="preserve"> </w:t>
      </w:r>
      <w:r w:rsidRPr="002F2808" w:rsidR="0032779E">
        <w:rPr>
          <w:rFonts w:ascii="Calibri" w:hAnsi="Calibri" w:cs="Calibri"/>
          <w:sz w:val="22"/>
          <w:szCs w:val="22"/>
        </w:rPr>
        <w:t>Deze stoffen kennen nauwelijks l</w:t>
      </w:r>
      <w:r w:rsidRPr="002F2808" w:rsidR="000D5EC6">
        <w:rPr>
          <w:rFonts w:ascii="Calibri" w:hAnsi="Calibri" w:cs="Calibri"/>
          <w:sz w:val="22"/>
          <w:szCs w:val="22"/>
        </w:rPr>
        <w:t>egitiem</w:t>
      </w:r>
      <w:r w:rsidRPr="002F2808" w:rsidR="0032779E">
        <w:rPr>
          <w:rFonts w:ascii="Calibri" w:hAnsi="Calibri" w:cs="Calibri"/>
          <w:sz w:val="22"/>
          <w:szCs w:val="22"/>
        </w:rPr>
        <w:t>e toepassingen,</w:t>
      </w:r>
      <w:r w:rsidRPr="002F2808" w:rsidR="000D5EC6">
        <w:rPr>
          <w:rFonts w:ascii="Calibri" w:hAnsi="Calibri" w:cs="Calibri"/>
          <w:sz w:val="22"/>
          <w:szCs w:val="22"/>
        </w:rPr>
        <w:t xml:space="preserve"> behalve voor onderzoek en innovatie. Dit vormt een uitdaging voor de controle op drugprecursor</w:t>
      </w:r>
      <w:r w:rsidRPr="002F2808" w:rsidR="00DB609C">
        <w:rPr>
          <w:rFonts w:ascii="Calibri" w:hAnsi="Calibri" w:cs="Calibri"/>
          <w:sz w:val="22"/>
          <w:szCs w:val="22"/>
        </w:rPr>
        <w:t>en</w:t>
      </w:r>
      <w:r w:rsidRPr="002F2808" w:rsidR="000D5EC6">
        <w:rPr>
          <w:rFonts w:ascii="Calibri" w:hAnsi="Calibri" w:cs="Calibri"/>
          <w:sz w:val="22"/>
          <w:szCs w:val="22"/>
        </w:rPr>
        <w:t xml:space="preserve"> op mondiaal niveau en binnen de EU. </w:t>
      </w:r>
      <w:r w:rsidRPr="002F2808" w:rsidR="0032779E">
        <w:rPr>
          <w:rFonts w:ascii="Calibri" w:hAnsi="Calibri" w:cs="Calibri"/>
          <w:sz w:val="22"/>
          <w:szCs w:val="22"/>
        </w:rPr>
        <w:t>Het voorstel introduceert nieuwe regels voor deze stoffen en digitaliseert administratieve verplichtingen om de regeldruk te verminderen</w:t>
      </w:r>
      <w:r w:rsidRPr="002F2808" w:rsidR="000D5EC6">
        <w:rPr>
          <w:rFonts w:ascii="Calibri" w:hAnsi="Calibri" w:cs="Calibri"/>
          <w:sz w:val="22"/>
          <w:szCs w:val="22"/>
        </w:rPr>
        <w:t>.</w:t>
      </w:r>
      <w:r w:rsidRPr="002F2808" w:rsidR="00B7466C">
        <w:rPr>
          <w:rFonts w:ascii="Calibri" w:hAnsi="Calibri" w:cs="Calibri"/>
          <w:sz w:val="22"/>
          <w:szCs w:val="22"/>
        </w:rPr>
        <w:t xml:space="preserve"> </w:t>
      </w:r>
      <w:r w:rsidRPr="002F2808" w:rsidR="0032779E">
        <w:rPr>
          <w:rFonts w:ascii="Calibri" w:hAnsi="Calibri" w:cs="Calibri"/>
          <w:sz w:val="22"/>
          <w:szCs w:val="22"/>
        </w:rPr>
        <w:t>De</w:t>
      </w:r>
      <w:r w:rsidRPr="002F2808" w:rsidR="000D5EC6">
        <w:rPr>
          <w:rFonts w:ascii="Calibri" w:hAnsi="Calibri" w:cs="Calibri"/>
          <w:sz w:val="22"/>
          <w:szCs w:val="22"/>
        </w:rPr>
        <w:t xml:space="preserve"> controle op drugprecursor</w:t>
      </w:r>
      <w:r w:rsidRPr="002F2808" w:rsidR="00B7466C">
        <w:rPr>
          <w:rFonts w:ascii="Calibri" w:hAnsi="Calibri" w:cs="Calibri"/>
          <w:sz w:val="22"/>
          <w:szCs w:val="22"/>
        </w:rPr>
        <w:t>en</w:t>
      </w:r>
      <w:r w:rsidRPr="002F2808" w:rsidR="000D5EC6">
        <w:rPr>
          <w:rFonts w:ascii="Calibri" w:hAnsi="Calibri" w:cs="Calibri"/>
          <w:sz w:val="22"/>
          <w:szCs w:val="22"/>
        </w:rPr>
        <w:t xml:space="preserve"> </w:t>
      </w:r>
      <w:r w:rsidRPr="002F2808" w:rsidR="007D493C">
        <w:rPr>
          <w:rFonts w:ascii="Calibri" w:hAnsi="Calibri" w:cs="Calibri"/>
          <w:sz w:val="22"/>
          <w:szCs w:val="22"/>
        </w:rPr>
        <w:t xml:space="preserve">in </w:t>
      </w:r>
      <w:r w:rsidRPr="002F2808" w:rsidR="000D5EC6">
        <w:rPr>
          <w:rFonts w:ascii="Calibri" w:hAnsi="Calibri" w:cs="Calibri"/>
          <w:sz w:val="22"/>
          <w:szCs w:val="22"/>
        </w:rPr>
        <w:t>belangrijk</w:t>
      </w:r>
      <w:r w:rsidRPr="002F2808" w:rsidR="007D493C">
        <w:rPr>
          <w:rFonts w:ascii="Calibri" w:hAnsi="Calibri" w:cs="Calibri"/>
          <w:sz w:val="22"/>
          <w:szCs w:val="22"/>
        </w:rPr>
        <w:t>e mate verband met</w:t>
      </w:r>
      <w:r w:rsidRPr="002F2808" w:rsidR="000D5EC6">
        <w:rPr>
          <w:rFonts w:ascii="Calibri" w:hAnsi="Calibri" w:cs="Calibri"/>
          <w:sz w:val="22"/>
          <w:szCs w:val="22"/>
        </w:rPr>
        <w:t xml:space="preserve"> de EU</w:t>
      </w:r>
      <w:r w:rsidRPr="002F2808" w:rsidR="0032779E">
        <w:rPr>
          <w:rFonts w:ascii="Calibri" w:hAnsi="Calibri" w:cs="Calibri"/>
          <w:sz w:val="22"/>
          <w:szCs w:val="22"/>
        </w:rPr>
        <w:t>-</w:t>
      </w:r>
      <w:r w:rsidRPr="002F2808" w:rsidR="000D5EC6">
        <w:rPr>
          <w:rFonts w:ascii="Calibri" w:hAnsi="Calibri" w:cs="Calibri"/>
          <w:sz w:val="22"/>
          <w:szCs w:val="22"/>
        </w:rPr>
        <w:t>Drugsstrategie en het EU</w:t>
      </w:r>
      <w:r w:rsidRPr="002F2808" w:rsidR="0032779E">
        <w:rPr>
          <w:rFonts w:ascii="Calibri" w:hAnsi="Calibri" w:cs="Calibri"/>
          <w:sz w:val="22"/>
          <w:szCs w:val="22"/>
        </w:rPr>
        <w:t>-</w:t>
      </w:r>
      <w:r w:rsidRPr="002F2808" w:rsidR="000D5EC6">
        <w:rPr>
          <w:rFonts w:ascii="Calibri" w:hAnsi="Calibri" w:cs="Calibri"/>
          <w:sz w:val="22"/>
          <w:szCs w:val="22"/>
        </w:rPr>
        <w:t>Actieplan tegen drugshandel</w:t>
      </w:r>
      <w:r w:rsidRPr="002F2808" w:rsidR="00B7466C">
        <w:rPr>
          <w:rFonts w:ascii="Calibri" w:hAnsi="Calibri" w:cs="Calibri"/>
          <w:sz w:val="22"/>
          <w:szCs w:val="22"/>
        </w:rPr>
        <w:t>, waarvoor aparte BNC-fiches zijn opgesteld.</w:t>
      </w:r>
      <w:r w:rsidRPr="002F2808" w:rsidR="000D5EC6">
        <w:rPr>
          <w:rFonts w:ascii="Calibri" w:hAnsi="Calibri" w:cs="Calibri"/>
          <w:sz w:val="22"/>
          <w:szCs w:val="22"/>
        </w:rPr>
        <w:t xml:space="preserve"> </w:t>
      </w:r>
    </w:p>
    <w:p w:rsidRPr="002F2808" w:rsidR="004F32EB" w:rsidP="002F2808" w:rsidRDefault="000D5EC6" w14:paraId="7E13DCFF" w14:textId="4CF5048B">
      <w:pPr>
        <w:pStyle w:val="Normaalweb"/>
        <w:rPr>
          <w:rFonts w:ascii="Calibri" w:hAnsi="Calibri" w:cs="Calibri"/>
          <w:sz w:val="22"/>
          <w:szCs w:val="22"/>
        </w:rPr>
      </w:pPr>
      <w:r w:rsidRPr="002F2808">
        <w:rPr>
          <w:rStyle w:val="Zwaar"/>
          <w:rFonts w:ascii="Calibri" w:hAnsi="Calibri" w:cs="Calibri"/>
          <w:b w:val="0"/>
          <w:bCs w:val="0"/>
          <w:sz w:val="22"/>
          <w:szCs w:val="22"/>
        </w:rPr>
        <w:t>Het voorstel maakt onderscheid tussen</w:t>
      </w:r>
      <w:r w:rsidRPr="002F2808" w:rsidR="00AA3718">
        <w:rPr>
          <w:rStyle w:val="Zwaar"/>
          <w:rFonts w:ascii="Calibri" w:hAnsi="Calibri" w:cs="Calibri"/>
          <w:b w:val="0"/>
          <w:bCs w:val="0"/>
          <w:sz w:val="22"/>
          <w:szCs w:val="22"/>
        </w:rPr>
        <w:t xml:space="preserve"> </w:t>
      </w:r>
      <w:r w:rsidRPr="002F2808" w:rsidR="00787546">
        <w:rPr>
          <w:rStyle w:val="Zwaar"/>
          <w:rFonts w:ascii="Calibri" w:hAnsi="Calibri" w:cs="Calibri"/>
          <w:b w:val="0"/>
          <w:bCs w:val="0"/>
          <w:sz w:val="22"/>
          <w:szCs w:val="22"/>
        </w:rPr>
        <w:t>drie categorieën</w:t>
      </w:r>
      <w:r w:rsidRPr="002F2808">
        <w:rPr>
          <w:rStyle w:val="Zwaar"/>
          <w:rFonts w:ascii="Calibri" w:hAnsi="Calibri" w:cs="Calibri"/>
          <w:b w:val="0"/>
          <w:bCs w:val="0"/>
          <w:sz w:val="22"/>
          <w:szCs w:val="22"/>
        </w:rPr>
        <w:t xml:space="preserve"> van drugsprecursoren, afhankelijk van hun risico voor de illegale productie van drugs.</w:t>
      </w:r>
      <w:r w:rsidRPr="002F2808" w:rsidR="00003712">
        <w:rPr>
          <w:rStyle w:val="Zwaar"/>
          <w:rFonts w:ascii="Calibri" w:hAnsi="Calibri" w:cs="Calibri"/>
          <w:b w:val="0"/>
          <w:bCs w:val="0"/>
          <w:sz w:val="22"/>
          <w:szCs w:val="22"/>
        </w:rPr>
        <w:t xml:space="preserve"> Deze categorieën zijn vastgesteld in de bijlagen bij de verordening. </w:t>
      </w:r>
      <w:r w:rsidRPr="002F2808">
        <w:rPr>
          <w:rStyle w:val="Zwaar"/>
          <w:rFonts w:ascii="Calibri" w:hAnsi="Calibri" w:cs="Calibri"/>
          <w:b w:val="0"/>
          <w:bCs w:val="0"/>
          <w:sz w:val="22"/>
          <w:szCs w:val="22"/>
        </w:rPr>
        <w:t xml:space="preserve">Categorie 1 omvat </w:t>
      </w:r>
      <w:r w:rsidRPr="002F2808" w:rsidR="004F32EB">
        <w:rPr>
          <w:rStyle w:val="Zwaar"/>
          <w:rFonts w:ascii="Calibri" w:hAnsi="Calibri" w:cs="Calibri"/>
          <w:b w:val="0"/>
          <w:bCs w:val="0"/>
          <w:sz w:val="22"/>
          <w:szCs w:val="22"/>
        </w:rPr>
        <w:t>stoffen met het hoogste risico</w:t>
      </w:r>
      <w:r w:rsidRPr="002F2808" w:rsidR="0061080D">
        <w:rPr>
          <w:rStyle w:val="Zwaar"/>
          <w:rFonts w:ascii="Calibri" w:hAnsi="Calibri" w:cs="Calibri"/>
          <w:b w:val="0"/>
          <w:bCs w:val="0"/>
          <w:sz w:val="22"/>
          <w:szCs w:val="22"/>
        </w:rPr>
        <w:t xml:space="preserve"> op gebruik in de illegale productie van drugs</w:t>
      </w:r>
      <w:r w:rsidRPr="002F2808" w:rsidR="004F32EB">
        <w:rPr>
          <w:rStyle w:val="Zwaar"/>
          <w:rFonts w:ascii="Calibri" w:hAnsi="Calibri" w:cs="Calibri"/>
          <w:b w:val="0"/>
          <w:bCs w:val="0"/>
          <w:sz w:val="22"/>
          <w:szCs w:val="22"/>
        </w:rPr>
        <w:t xml:space="preserve">, die striktere controle vereisen, zoals verplichte vergunningen voor handel en strikte rapportageverplichtingen. </w:t>
      </w:r>
      <w:r w:rsidRPr="002F2808" w:rsidR="005F0C6C">
        <w:rPr>
          <w:rStyle w:val="Zwaar"/>
          <w:rFonts w:ascii="Calibri" w:hAnsi="Calibri" w:cs="Calibri"/>
          <w:b w:val="0"/>
          <w:bCs w:val="0"/>
          <w:sz w:val="22"/>
          <w:szCs w:val="22"/>
        </w:rPr>
        <w:t xml:space="preserve">Voor deze categorie blijft de bestaande verplichting gelden om te verifiëren of klanten ook een vergunning hebben. </w:t>
      </w:r>
      <w:r w:rsidRPr="002F2808" w:rsidR="005F0C6C">
        <w:rPr>
          <w:rFonts w:ascii="Calibri" w:hAnsi="Calibri" w:cs="Calibri"/>
          <w:sz w:val="22"/>
          <w:szCs w:val="22"/>
        </w:rPr>
        <w:t xml:space="preserve">De verplichting om klantverklaringen te verkrijgen, moet echter niet langer </w:t>
      </w:r>
      <w:r w:rsidRPr="002F2808" w:rsidR="00DD6785">
        <w:rPr>
          <w:rFonts w:ascii="Calibri" w:hAnsi="Calibri" w:cs="Calibri"/>
          <w:sz w:val="22"/>
          <w:szCs w:val="22"/>
        </w:rPr>
        <w:t xml:space="preserve">worden </w:t>
      </w:r>
      <w:r w:rsidRPr="002F2808" w:rsidR="005F0C6C">
        <w:rPr>
          <w:rFonts w:ascii="Calibri" w:hAnsi="Calibri" w:cs="Calibri"/>
          <w:sz w:val="22"/>
          <w:szCs w:val="22"/>
        </w:rPr>
        <w:t xml:space="preserve">gehandhaafd, aangezien deze administratieve lasten met zich meebrengt zonder duidelijke voordelen voor het vergemakkelijken van de identificatie van verdachte transacties. </w:t>
      </w:r>
      <w:r w:rsidRPr="002F2808" w:rsidR="004F32EB">
        <w:rPr>
          <w:rFonts w:ascii="Calibri" w:hAnsi="Calibri" w:cs="Calibri"/>
          <w:sz w:val="22"/>
          <w:szCs w:val="22"/>
        </w:rPr>
        <w:t>Categorie 2 betreft</w:t>
      </w:r>
      <w:r w:rsidRPr="002F2808" w:rsidR="00DD6785">
        <w:rPr>
          <w:rFonts w:ascii="Calibri" w:hAnsi="Calibri" w:cs="Calibri"/>
          <w:sz w:val="22"/>
          <w:szCs w:val="22"/>
        </w:rPr>
        <w:t xml:space="preserve">, zogeheten </w:t>
      </w:r>
      <w:r w:rsidRPr="002F2808" w:rsidR="00DD6785">
        <w:rPr>
          <w:rFonts w:ascii="Calibri" w:hAnsi="Calibri" w:cs="Calibri"/>
          <w:i/>
          <w:iCs/>
          <w:sz w:val="22"/>
          <w:szCs w:val="22"/>
        </w:rPr>
        <w:t>du</w:t>
      </w:r>
      <w:r w:rsidRPr="002F2808" w:rsidR="007D493C">
        <w:rPr>
          <w:rFonts w:ascii="Calibri" w:hAnsi="Calibri" w:cs="Calibri"/>
          <w:i/>
          <w:iCs/>
          <w:sz w:val="22"/>
          <w:szCs w:val="22"/>
        </w:rPr>
        <w:t>a</w:t>
      </w:r>
      <w:r w:rsidRPr="002F2808" w:rsidR="00DD6785">
        <w:rPr>
          <w:rFonts w:ascii="Calibri" w:hAnsi="Calibri" w:cs="Calibri"/>
          <w:i/>
          <w:iCs/>
          <w:sz w:val="22"/>
          <w:szCs w:val="22"/>
        </w:rPr>
        <w:t>l-use</w:t>
      </w:r>
      <w:r w:rsidRPr="002F2808" w:rsidR="00DD6785">
        <w:rPr>
          <w:rFonts w:ascii="Calibri" w:hAnsi="Calibri" w:cs="Calibri"/>
          <w:sz w:val="22"/>
          <w:szCs w:val="22"/>
        </w:rPr>
        <w:t xml:space="preserve">, </w:t>
      </w:r>
      <w:r w:rsidRPr="002F2808" w:rsidR="004F32EB">
        <w:rPr>
          <w:rFonts w:ascii="Calibri" w:hAnsi="Calibri" w:cs="Calibri"/>
          <w:sz w:val="22"/>
          <w:szCs w:val="22"/>
        </w:rPr>
        <w:t xml:space="preserve">stoffen die veelvuldig worden gebruikt in de legitieme industrie, maar die ook misbruikt kunnen worden voor drugproductie, waarvoor de controle </w:t>
      </w:r>
      <w:r w:rsidRPr="002F2808" w:rsidR="005F0C6C">
        <w:rPr>
          <w:rFonts w:ascii="Calibri" w:hAnsi="Calibri" w:cs="Calibri"/>
          <w:sz w:val="22"/>
          <w:szCs w:val="22"/>
        </w:rPr>
        <w:t>uitsluitend</w:t>
      </w:r>
      <w:r w:rsidRPr="002F2808" w:rsidR="004F32EB">
        <w:rPr>
          <w:rFonts w:ascii="Calibri" w:hAnsi="Calibri" w:cs="Calibri"/>
          <w:sz w:val="22"/>
          <w:szCs w:val="22"/>
        </w:rPr>
        <w:t xml:space="preserve"> gericht is op de externe handel.</w:t>
      </w:r>
      <w:r w:rsidRPr="002F2808" w:rsidR="005F0C6C">
        <w:rPr>
          <w:rFonts w:ascii="Calibri" w:hAnsi="Calibri" w:cs="Calibri"/>
          <w:sz w:val="22"/>
          <w:szCs w:val="22"/>
        </w:rPr>
        <w:t xml:space="preserve"> Om de administratieve belasting te verminderen, moeten verplichtingen voor externe handelaren beperkt blijven tot het registreren van hun activiteiten, zonder de vereiste goedkeuring door nationale autoriteiten.</w:t>
      </w:r>
      <w:r w:rsidRPr="002F2808" w:rsidR="005F0C6C">
        <w:rPr>
          <w:rFonts w:ascii="Calibri" w:hAnsi="Calibri" w:cs="Calibri"/>
          <w:sz w:val="22"/>
          <w:szCs w:val="22"/>
          <w:lang w:eastAsia="zh-CN"/>
        </w:rPr>
        <w:t xml:space="preserve"> </w:t>
      </w:r>
      <w:r w:rsidRPr="002F2808" w:rsidR="004F32EB">
        <w:rPr>
          <w:rFonts w:ascii="Calibri" w:hAnsi="Calibri" w:cs="Calibri"/>
          <w:sz w:val="22"/>
          <w:szCs w:val="22"/>
        </w:rPr>
        <w:t>Categorie 3 introduceert de nieuwe regels voor designerprecursoren, die in principe verboden zijn voor commercieel gebruik, maar waarvan kleinschalige transacties voor onderzoeksdoeleinden onder strikte voorwaarden mogelijk blijven.</w:t>
      </w:r>
      <w:r w:rsidRPr="002F2808" w:rsidR="005F0C6C">
        <w:rPr>
          <w:rFonts w:ascii="Calibri" w:hAnsi="Calibri" w:cs="Calibri"/>
          <w:sz w:val="22"/>
          <w:szCs w:val="22"/>
        </w:rPr>
        <w:t xml:space="preserve"> Als ‘operators’ Categorie 3 drugprecursor</w:t>
      </w:r>
      <w:r w:rsidRPr="002F2808" w:rsidR="008B68C5">
        <w:rPr>
          <w:rFonts w:ascii="Calibri" w:hAnsi="Calibri" w:cs="Calibri"/>
          <w:sz w:val="22"/>
          <w:szCs w:val="22"/>
        </w:rPr>
        <w:t xml:space="preserve">en </w:t>
      </w:r>
      <w:r w:rsidRPr="002F2808" w:rsidR="005F0C6C">
        <w:rPr>
          <w:rFonts w:ascii="Calibri" w:hAnsi="Calibri" w:cs="Calibri"/>
          <w:sz w:val="22"/>
          <w:szCs w:val="22"/>
        </w:rPr>
        <w:t>in grotere hoeveelheden of voor andere legitieme doeleinden dan onderzoek en innovatie nodig hebben, moeten zij vervolgens een vergunning verkrijgen in overeenstemming met de bepalingen voor Categorie 1 drugprecursor</w:t>
      </w:r>
      <w:r w:rsidRPr="002F2808" w:rsidR="008B68C5">
        <w:rPr>
          <w:rFonts w:ascii="Calibri" w:hAnsi="Calibri" w:cs="Calibri"/>
          <w:sz w:val="22"/>
          <w:szCs w:val="22"/>
        </w:rPr>
        <w:t>en</w:t>
      </w:r>
      <w:r w:rsidRPr="002F2808" w:rsidR="005F0C6C">
        <w:rPr>
          <w:rFonts w:ascii="Calibri" w:hAnsi="Calibri" w:cs="Calibri"/>
          <w:sz w:val="22"/>
          <w:szCs w:val="22"/>
        </w:rPr>
        <w:t>, aangezien de risico's vergelijkbaar zijn</w:t>
      </w:r>
      <w:r w:rsidRPr="002F2808" w:rsidR="00BD1572">
        <w:rPr>
          <w:rFonts w:ascii="Calibri" w:hAnsi="Calibri" w:cs="Calibri"/>
          <w:sz w:val="22"/>
          <w:szCs w:val="22"/>
        </w:rPr>
        <w:t xml:space="preserve">. </w:t>
      </w:r>
      <w:r w:rsidRPr="002F2808" w:rsidR="00927C84">
        <w:rPr>
          <w:rFonts w:ascii="Calibri" w:hAnsi="Calibri" w:cs="Calibri"/>
          <w:sz w:val="22"/>
          <w:szCs w:val="22"/>
        </w:rPr>
        <w:t>Deze (generieke groepen of families) designer precursoren worden in beginsel verboden (behalve voor onderzoek en innovatie), tenzij er grond is voor ontheffing. Dit betekent dat ook individuele designerprecursoren (die onder een stofgroep of -familie vallen) onder het verbod kunnen vallen, ook als zij niet afzonderlijk zijn genoemd.</w:t>
      </w:r>
    </w:p>
    <w:p w:rsidRPr="002F2808" w:rsidR="00BD1572" w:rsidP="002F2808" w:rsidRDefault="0022749E" w14:paraId="7A165D39" w14:textId="4CF6D7EF">
      <w:pPr>
        <w:pStyle w:val="Normaalweb"/>
        <w:rPr>
          <w:rFonts w:ascii="Calibri" w:hAnsi="Calibri" w:cs="Calibri"/>
          <w:sz w:val="22"/>
          <w:szCs w:val="22"/>
        </w:rPr>
      </w:pPr>
      <w:r w:rsidRPr="002F2808">
        <w:rPr>
          <w:rStyle w:val="Zwaar"/>
          <w:rFonts w:ascii="Calibri" w:hAnsi="Calibri" w:cs="Calibri"/>
          <w:b w:val="0"/>
          <w:bCs w:val="0"/>
          <w:sz w:val="22"/>
          <w:szCs w:val="22"/>
        </w:rPr>
        <w:t xml:space="preserve">Ten tweede zorgt samenvoeging van de bestaande wetgeving voor meer </w:t>
      </w:r>
      <w:r w:rsidRPr="002F2808" w:rsidR="00E670B3">
        <w:rPr>
          <w:rStyle w:val="Zwaar"/>
          <w:rFonts w:ascii="Calibri" w:hAnsi="Calibri" w:cs="Calibri"/>
          <w:b w:val="0"/>
          <w:bCs w:val="0"/>
          <w:sz w:val="22"/>
          <w:szCs w:val="22"/>
        </w:rPr>
        <w:t xml:space="preserve">(juridische) </w:t>
      </w:r>
      <w:r w:rsidRPr="002F2808" w:rsidR="0034042F">
        <w:rPr>
          <w:rStyle w:val="Zwaar"/>
          <w:rFonts w:ascii="Calibri" w:hAnsi="Calibri" w:cs="Calibri"/>
          <w:b w:val="0"/>
          <w:bCs w:val="0"/>
          <w:sz w:val="22"/>
          <w:szCs w:val="22"/>
        </w:rPr>
        <w:t>duidelijkheid</w:t>
      </w:r>
      <w:r w:rsidRPr="002F2808">
        <w:rPr>
          <w:rStyle w:val="Zwaar"/>
          <w:rFonts w:ascii="Calibri" w:hAnsi="Calibri" w:cs="Calibri"/>
          <w:b w:val="0"/>
          <w:bCs w:val="0"/>
          <w:sz w:val="22"/>
          <w:szCs w:val="22"/>
        </w:rPr>
        <w:t xml:space="preserve"> en consistentie door d</w:t>
      </w:r>
      <w:r w:rsidRPr="002F2808" w:rsidR="00BD1572">
        <w:rPr>
          <w:rStyle w:val="Zwaar"/>
          <w:rFonts w:ascii="Calibri" w:hAnsi="Calibri" w:cs="Calibri"/>
          <w:b w:val="0"/>
          <w:bCs w:val="0"/>
          <w:sz w:val="22"/>
          <w:szCs w:val="22"/>
        </w:rPr>
        <w:t>igitalisering en vereenvoudiging van toezicht</w:t>
      </w:r>
      <w:r w:rsidRPr="002F2808" w:rsidR="004F32EB">
        <w:rPr>
          <w:rStyle w:val="Zwaar"/>
          <w:rFonts w:ascii="Calibri" w:hAnsi="Calibri" w:cs="Calibri"/>
          <w:b w:val="0"/>
          <w:bCs w:val="0"/>
          <w:sz w:val="22"/>
          <w:szCs w:val="22"/>
        </w:rPr>
        <w:t xml:space="preserve"> en </w:t>
      </w:r>
      <w:r w:rsidRPr="002F2808" w:rsidR="00CA7543">
        <w:rPr>
          <w:rStyle w:val="Zwaar"/>
          <w:rFonts w:ascii="Calibri" w:hAnsi="Calibri" w:cs="Calibri"/>
          <w:b w:val="0"/>
          <w:bCs w:val="0"/>
          <w:sz w:val="22"/>
          <w:szCs w:val="22"/>
        </w:rPr>
        <w:t>handhaving</w:t>
      </w:r>
      <w:r w:rsidRPr="002F2808">
        <w:rPr>
          <w:rStyle w:val="Zwaar"/>
          <w:rFonts w:ascii="Calibri" w:hAnsi="Calibri" w:cs="Calibri"/>
          <w:b w:val="0"/>
          <w:bCs w:val="0"/>
          <w:sz w:val="22"/>
          <w:szCs w:val="22"/>
        </w:rPr>
        <w:t xml:space="preserve">. </w:t>
      </w:r>
      <w:r w:rsidRPr="002F2808" w:rsidR="004F32EB">
        <w:rPr>
          <w:rStyle w:val="Zwaar"/>
          <w:rFonts w:ascii="Calibri" w:hAnsi="Calibri" w:cs="Calibri"/>
          <w:b w:val="0"/>
          <w:bCs w:val="0"/>
          <w:sz w:val="22"/>
          <w:szCs w:val="22"/>
        </w:rPr>
        <w:t xml:space="preserve">Het voorstel introduceert een centraal elektronisch licentiesysteem dat de </w:t>
      </w:r>
      <w:r w:rsidRPr="002F2808" w:rsidR="00EB11DA">
        <w:rPr>
          <w:rStyle w:val="Zwaar"/>
          <w:rFonts w:ascii="Calibri" w:hAnsi="Calibri" w:cs="Calibri"/>
          <w:b w:val="0"/>
          <w:bCs w:val="0"/>
          <w:sz w:val="22"/>
          <w:szCs w:val="22"/>
        </w:rPr>
        <w:t>aanvraag</w:t>
      </w:r>
      <w:r w:rsidRPr="002F2808" w:rsidR="004F32EB">
        <w:rPr>
          <w:rStyle w:val="Zwaar"/>
          <w:rFonts w:ascii="Calibri" w:hAnsi="Calibri" w:cs="Calibri"/>
          <w:b w:val="0"/>
          <w:bCs w:val="0"/>
          <w:sz w:val="22"/>
          <w:szCs w:val="22"/>
        </w:rPr>
        <w:t xml:space="preserve"> en het beheer van vergunningen voor drugsprecursoren vergemakkelijkt. Het stelt zowel de autoriteiten als bedrijven, vooral het M</w:t>
      </w:r>
      <w:r w:rsidRPr="002F2808" w:rsidR="00DD6785">
        <w:rPr>
          <w:rStyle w:val="Zwaar"/>
          <w:rFonts w:ascii="Calibri" w:hAnsi="Calibri" w:cs="Calibri"/>
          <w:b w:val="0"/>
          <w:bCs w:val="0"/>
          <w:sz w:val="22"/>
          <w:szCs w:val="22"/>
        </w:rPr>
        <w:t>idden en Klein Bedrijf (M</w:t>
      </w:r>
      <w:r w:rsidRPr="002F2808" w:rsidR="004F32EB">
        <w:rPr>
          <w:rStyle w:val="Zwaar"/>
          <w:rFonts w:ascii="Calibri" w:hAnsi="Calibri" w:cs="Calibri"/>
          <w:b w:val="0"/>
          <w:bCs w:val="0"/>
          <w:sz w:val="22"/>
          <w:szCs w:val="22"/>
        </w:rPr>
        <w:t>KB</w:t>
      </w:r>
      <w:r w:rsidRPr="002F2808" w:rsidR="00DD6785">
        <w:rPr>
          <w:rStyle w:val="Zwaar"/>
          <w:rFonts w:ascii="Calibri" w:hAnsi="Calibri" w:cs="Calibri"/>
          <w:b w:val="0"/>
          <w:bCs w:val="0"/>
          <w:sz w:val="22"/>
          <w:szCs w:val="22"/>
        </w:rPr>
        <w:t>)</w:t>
      </w:r>
      <w:r w:rsidRPr="002F2808" w:rsidR="004F32EB">
        <w:rPr>
          <w:rStyle w:val="Zwaar"/>
          <w:rFonts w:ascii="Calibri" w:hAnsi="Calibri" w:cs="Calibri"/>
          <w:b w:val="0"/>
          <w:bCs w:val="0"/>
          <w:sz w:val="22"/>
          <w:szCs w:val="22"/>
        </w:rPr>
        <w:t xml:space="preserve">, in staat om sneller en </w:t>
      </w:r>
      <w:r w:rsidRPr="002F2808" w:rsidR="00EB11DA">
        <w:rPr>
          <w:rStyle w:val="Zwaar"/>
          <w:rFonts w:ascii="Calibri" w:hAnsi="Calibri" w:cs="Calibri"/>
          <w:b w:val="0"/>
          <w:bCs w:val="0"/>
          <w:sz w:val="22"/>
          <w:szCs w:val="22"/>
        </w:rPr>
        <w:t>efficiënter</w:t>
      </w:r>
      <w:r w:rsidRPr="002F2808" w:rsidR="004F32EB">
        <w:rPr>
          <w:rStyle w:val="Zwaar"/>
          <w:rFonts w:ascii="Calibri" w:hAnsi="Calibri" w:cs="Calibri"/>
          <w:b w:val="0"/>
          <w:bCs w:val="0"/>
          <w:sz w:val="22"/>
          <w:szCs w:val="22"/>
        </w:rPr>
        <w:t xml:space="preserve"> vergunningen voor het handelen met precursoren aan te vragen en te verifiëren</w:t>
      </w:r>
      <w:r w:rsidRPr="002F2808">
        <w:rPr>
          <w:rFonts w:ascii="Calibri" w:hAnsi="Calibri" w:cs="Calibri"/>
          <w:sz w:val="22"/>
          <w:szCs w:val="22"/>
        </w:rPr>
        <w:t>.</w:t>
      </w:r>
      <w:r w:rsidRPr="002F2808" w:rsidR="00006F38">
        <w:rPr>
          <w:rFonts w:ascii="Calibri" w:hAnsi="Calibri" w:cs="Calibri"/>
          <w:sz w:val="22"/>
          <w:szCs w:val="22"/>
        </w:rPr>
        <w:t xml:space="preserve"> Dat vergroot het concurrentievermogen van die sector.</w:t>
      </w:r>
      <w:r w:rsidRPr="002F2808" w:rsidR="00E670B3">
        <w:rPr>
          <w:rFonts w:ascii="Calibri" w:hAnsi="Calibri" w:cs="Calibri"/>
          <w:sz w:val="22"/>
          <w:szCs w:val="22"/>
        </w:rPr>
        <w:t xml:space="preserve"> </w:t>
      </w:r>
      <w:r w:rsidRPr="002F2808" w:rsidR="004F32EB">
        <w:rPr>
          <w:rFonts w:ascii="Calibri" w:hAnsi="Calibri" w:cs="Calibri"/>
          <w:sz w:val="22"/>
          <w:szCs w:val="22"/>
        </w:rPr>
        <w:t>Bedrijven die met drugsprecursoren werken zijn verplicht</w:t>
      </w:r>
      <w:r w:rsidRPr="002F2808" w:rsidR="00EB11DA">
        <w:rPr>
          <w:rFonts w:ascii="Calibri" w:hAnsi="Calibri" w:cs="Calibri"/>
          <w:sz w:val="22"/>
          <w:szCs w:val="22"/>
        </w:rPr>
        <w:t xml:space="preserve"> </w:t>
      </w:r>
      <w:r w:rsidRPr="002F2808" w:rsidR="004F32EB">
        <w:rPr>
          <w:rFonts w:ascii="Calibri" w:hAnsi="Calibri" w:cs="Calibri"/>
          <w:sz w:val="22"/>
          <w:szCs w:val="22"/>
        </w:rPr>
        <w:t xml:space="preserve">om meldingen en rapportages digitaal in te dienen. De digitalisering van de controle over drugsprecursoren zal worden gekoppeld aan het EU-douanesysteem, het zogenaamde </w:t>
      </w:r>
      <w:r w:rsidRPr="002F2808" w:rsidR="004F32EB">
        <w:rPr>
          <w:rFonts w:ascii="Calibri" w:hAnsi="Calibri" w:cs="Calibri"/>
          <w:i/>
          <w:iCs/>
          <w:sz w:val="22"/>
          <w:szCs w:val="22"/>
        </w:rPr>
        <w:t>Single Window</w:t>
      </w:r>
      <w:r w:rsidRPr="002F2808" w:rsidR="004F32EB">
        <w:rPr>
          <w:rFonts w:ascii="Calibri" w:hAnsi="Calibri" w:cs="Calibri"/>
          <w:sz w:val="22"/>
          <w:szCs w:val="22"/>
        </w:rPr>
        <w:t xml:space="preserve">. Dit systeem zorgt ervoor dat gegevens over de invoer en uitvoer van precursoren automatisch worden gedeeld tussen de </w:t>
      </w:r>
      <w:r w:rsidRPr="002F2808" w:rsidR="004F32EB">
        <w:rPr>
          <w:rFonts w:ascii="Calibri" w:hAnsi="Calibri" w:cs="Calibri"/>
          <w:sz w:val="22"/>
          <w:szCs w:val="22"/>
        </w:rPr>
        <w:lastRenderedPageBreak/>
        <w:t>verschillende relevante autoriteiten</w:t>
      </w:r>
      <w:r w:rsidRPr="002F2808" w:rsidR="005F0C6C">
        <w:rPr>
          <w:rFonts w:ascii="Calibri" w:hAnsi="Calibri" w:cs="Calibri"/>
          <w:sz w:val="22"/>
          <w:szCs w:val="22"/>
        </w:rPr>
        <w:t>.</w:t>
      </w:r>
      <w:r w:rsidRPr="002F2808" w:rsidR="004F32EB">
        <w:rPr>
          <w:rFonts w:ascii="Calibri" w:hAnsi="Calibri" w:cs="Calibri"/>
          <w:sz w:val="22"/>
          <w:szCs w:val="22"/>
        </w:rPr>
        <w:t xml:space="preserve"> Deze koppeling maakt het mogelijk om sneller verdachte zendingen te identificeren en te monitoren, wat de controle op de handel in precursoren aanzienlijk vergemakkelijkt.</w:t>
      </w:r>
      <w:r w:rsidRPr="002F2808" w:rsidR="00B7466C">
        <w:rPr>
          <w:rFonts w:ascii="Calibri" w:hAnsi="Calibri" w:cs="Calibri"/>
          <w:sz w:val="22"/>
          <w:szCs w:val="22"/>
        </w:rPr>
        <w:t xml:space="preserve"> </w:t>
      </w:r>
      <w:r w:rsidRPr="002F2808" w:rsidR="00E670B3">
        <w:rPr>
          <w:rFonts w:ascii="Calibri" w:hAnsi="Calibri" w:cs="Calibri"/>
          <w:sz w:val="22"/>
          <w:szCs w:val="22"/>
        </w:rPr>
        <w:t xml:space="preserve">Ook komt er een precursorendatabank </w:t>
      </w:r>
      <w:r w:rsidRPr="002F2808" w:rsidR="006C7BA9">
        <w:rPr>
          <w:rFonts w:ascii="Calibri" w:hAnsi="Calibri" w:cs="Calibri"/>
          <w:sz w:val="22"/>
          <w:szCs w:val="22"/>
        </w:rPr>
        <w:t xml:space="preserve">(legaal en illegaal) bij </w:t>
      </w:r>
      <w:r w:rsidRPr="002F2808" w:rsidR="00335195">
        <w:rPr>
          <w:rFonts w:ascii="Calibri" w:hAnsi="Calibri" w:cs="Calibri"/>
          <w:sz w:val="22"/>
          <w:szCs w:val="22"/>
        </w:rPr>
        <w:t>h</w:t>
      </w:r>
      <w:r w:rsidRPr="002F2808" w:rsidR="006C7BA9">
        <w:rPr>
          <w:rFonts w:ascii="Calibri" w:hAnsi="Calibri" w:cs="Calibri"/>
          <w:sz w:val="22"/>
          <w:szCs w:val="22"/>
        </w:rPr>
        <w:t>e</w:t>
      </w:r>
      <w:r w:rsidRPr="002F2808" w:rsidR="00335195">
        <w:rPr>
          <w:rFonts w:ascii="Calibri" w:hAnsi="Calibri" w:cs="Calibri"/>
          <w:sz w:val="22"/>
          <w:szCs w:val="22"/>
        </w:rPr>
        <w:t>t</w:t>
      </w:r>
      <w:r w:rsidRPr="002F2808" w:rsidR="006C7BA9">
        <w:rPr>
          <w:rFonts w:ascii="Calibri" w:hAnsi="Calibri" w:cs="Calibri"/>
          <w:sz w:val="22"/>
          <w:szCs w:val="22"/>
        </w:rPr>
        <w:t xml:space="preserve"> EU</w:t>
      </w:r>
      <w:r w:rsidRPr="002F2808" w:rsidR="00335195">
        <w:rPr>
          <w:rFonts w:ascii="Calibri" w:hAnsi="Calibri" w:cs="Calibri"/>
          <w:sz w:val="22"/>
          <w:szCs w:val="22"/>
        </w:rPr>
        <w:t xml:space="preserve"> Drugs Agentschap (EU</w:t>
      </w:r>
      <w:r w:rsidRPr="002F2808" w:rsidR="006C7BA9">
        <w:rPr>
          <w:rFonts w:ascii="Calibri" w:hAnsi="Calibri" w:cs="Calibri"/>
          <w:sz w:val="22"/>
          <w:szCs w:val="22"/>
        </w:rPr>
        <w:t xml:space="preserve">DA) </w:t>
      </w:r>
      <w:r w:rsidRPr="002F2808" w:rsidR="00E670B3">
        <w:rPr>
          <w:rFonts w:ascii="Calibri" w:hAnsi="Calibri" w:cs="Calibri"/>
          <w:sz w:val="22"/>
          <w:szCs w:val="22"/>
        </w:rPr>
        <w:t>ter ondersteuning van de betrokken organisaties</w:t>
      </w:r>
      <w:r w:rsidRPr="002F2808" w:rsidR="00527C5B">
        <w:rPr>
          <w:rFonts w:ascii="Calibri" w:hAnsi="Calibri" w:cs="Calibri"/>
          <w:sz w:val="22"/>
          <w:szCs w:val="22"/>
        </w:rPr>
        <w:t xml:space="preserve"> </w:t>
      </w:r>
      <w:r w:rsidRPr="002F2808" w:rsidR="00B7466C">
        <w:rPr>
          <w:rFonts w:ascii="Calibri" w:hAnsi="Calibri" w:cs="Calibri"/>
          <w:sz w:val="22"/>
          <w:szCs w:val="22"/>
        </w:rPr>
        <w:t>en bedrijven om hen in staat te stellen verdachte stoffe</w:t>
      </w:r>
      <w:r w:rsidRPr="002F2808" w:rsidR="00522FBD">
        <w:rPr>
          <w:rFonts w:ascii="Calibri" w:hAnsi="Calibri" w:cs="Calibri"/>
          <w:sz w:val="22"/>
          <w:szCs w:val="22"/>
        </w:rPr>
        <w:t>n</w:t>
      </w:r>
      <w:r w:rsidRPr="002F2808" w:rsidR="00B7466C">
        <w:rPr>
          <w:rFonts w:ascii="Calibri" w:hAnsi="Calibri" w:cs="Calibri"/>
          <w:sz w:val="22"/>
          <w:szCs w:val="22"/>
        </w:rPr>
        <w:t xml:space="preserve"> snel te identificeren. </w:t>
      </w:r>
      <w:r w:rsidRPr="002F2808" w:rsidR="005F0C6C">
        <w:rPr>
          <w:rFonts w:ascii="Calibri" w:hAnsi="Calibri" w:cs="Calibri"/>
          <w:sz w:val="22"/>
          <w:szCs w:val="22"/>
        </w:rPr>
        <w:t xml:space="preserve">Ook zal </w:t>
      </w:r>
      <w:r w:rsidRPr="002F2808" w:rsidR="00335195">
        <w:rPr>
          <w:rFonts w:ascii="Calibri" w:hAnsi="Calibri" w:cs="Calibri"/>
          <w:sz w:val="22"/>
          <w:szCs w:val="22"/>
        </w:rPr>
        <w:t xml:space="preserve">de </w:t>
      </w:r>
      <w:r w:rsidRPr="002F2808" w:rsidR="005F0C6C">
        <w:rPr>
          <w:rFonts w:ascii="Calibri" w:hAnsi="Calibri" w:cs="Calibri"/>
          <w:sz w:val="22"/>
          <w:szCs w:val="22"/>
        </w:rPr>
        <w:t xml:space="preserve">EUDA toegang hebben tot de informatie in het elektronisch systeem om de uitvoering van haar mandaat en de bijwerking van het precursorendatabank te vergemakkelijken. </w:t>
      </w:r>
      <w:r w:rsidRPr="002F2808" w:rsidR="00B7466C">
        <w:rPr>
          <w:rFonts w:ascii="Calibri" w:hAnsi="Calibri" w:cs="Calibri"/>
          <w:sz w:val="22"/>
          <w:szCs w:val="22"/>
        </w:rPr>
        <w:t xml:space="preserve">Ook zullen </w:t>
      </w:r>
      <w:r w:rsidRPr="002F2808" w:rsidR="000A50DB">
        <w:rPr>
          <w:rFonts w:ascii="Calibri" w:hAnsi="Calibri" w:cs="Calibri"/>
          <w:sz w:val="22"/>
          <w:szCs w:val="22"/>
        </w:rPr>
        <w:t>als gevolg van de digitalisering op</w:t>
      </w:r>
      <w:r w:rsidRPr="002F2808" w:rsidR="00527C5B">
        <w:rPr>
          <w:rFonts w:ascii="Calibri" w:hAnsi="Calibri" w:cs="Calibri"/>
          <w:sz w:val="22"/>
          <w:szCs w:val="22"/>
        </w:rPr>
        <w:t xml:space="preserve"> termijn rapportageverplichtingen voor nationale autoriteiten en handhavers vervallen</w:t>
      </w:r>
      <w:r w:rsidRPr="002F2808" w:rsidR="000A50DB">
        <w:rPr>
          <w:rFonts w:ascii="Calibri" w:hAnsi="Calibri" w:cs="Calibri"/>
          <w:sz w:val="22"/>
          <w:szCs w:val="22"/>
        </w:rPr>
        <w:t>.</w:t>
      </w:r>
    </w:p>
    <w:p w:rsidRPr="002F2808" w:rsidR="00C90118" w:rsidP="002F2808" w:rsidRDefault="0022749E" w14:paraId="1BE19889" w14:textId="4D04FD0C">
      <w:pPr>
        <w:pStyle w:val="Normaalweb"/>
        <w:rPr>
          <w:rFonts w:ascii="Calibri" w:hAnsi="Calibri" w:cs="Calibri"/>
          <w:sz w:val="22"/>
          <w:szCs w:val="22"/>
        </w:rPr>
      </w:pPr>
      <w:r w:rsidRPr="002F2808">
        <w:rPr>
          <w:rStyle w:val="Zwaar"/>
          <w:rFonts w:ascii="Calibri" w:hAnsi="Calibri" w:cs="Calibri"/>
          <w:b w:val="0"/>
          <w:bCs w:val="0"/>
          <w:sz w:val="22"/>
          <w:szCs w:val="22"/>
        </w:rPr>
        <w:t>Een derde vernieuwing is de h</w:t>
      </w:r>
      <w:r w:rsidRPr="002F2808" w:rsidR="00BD1572">
        <w:rPr>
          <w:rStyle w:val="Zwaar"/>
          <w:rFonts w:ascii="Calibri" w:hAnsi="Calibri" w:cs="Calibri"/>
          <w:b w:val="0"/>
          <w:bCs w:val="0"/>
          <w:sz w:val="22"/>
          <w:szCs w:val="22"/>
        </w:rPr>
        <w:t>armonisatie van interne en externe handelscontroles</w:t>
      </w:r>
      <w:r w:rsidRPr="002F2808">
        <w:rPr>
          <w:rStyle w:val="Zwaar"/>
          <w:rFonts w:ascii="Calibri" w:hAnsi="Calibri" w:cs="Calibri"/>
          <w:b w:val="0"/>
          <w:bCs w:val="0"/>
          <w:sz w:val="22"/>
          <w:szCs w:val="22"/>
        </w:rPr>
        <w:t xml:space="preserve">, </w:t>
      </w:r>
      <w:r w:rsidRPr="002F2808" w:rsidR="00B7466C">
        <w:rPr>
          <w:rStyle w:val="Zwaar"/>
          <w:rFonts w:ascii="Calibri" w:hAnsi="Calibri" w:cs="Calibri"/>
          <w:b w:val="0"/>
          <w:bCs w:val="0"/>
          <w:sz w:val="22"/>
          <w:szCs w:val="22"/>
        </w:rPr>
        <w:t>dit houdt in dat de wetgeving voor de handel met van drugsprecursoren binnen de EU en met derde landen waar mogelijk gelijkgetrokken worden</w:t>
      </w:r>
      <w:r w:rsidRPr="002F2808" w:rsidR="00C90118">
        <w:rPr>
          <w:rStyle w:val="Zwaar"/>
          <w:rFonts w:ascii="Calibri" w:hAnsi="Calibri" w:cs="Calibri"/>
          <w:b w:val="0"/>
          <w:bCs w:val="0"/>
          <w:sz w:val="22"/>
          <w:szCs w:val="22"/>
        </w:rPr>
        <w:t xml:space="preserve">. De verordening introduceert een uniform systeem voor meldingen van import en export. </w:t>
      </w:r>
      <w:r w:rsidRPr="002F2808" w:rsidR="00C90118">
        <w:rPr>
          <w:rFonts w:ascii="Calibri" w:hAnsi="Calibri" w:cs="Calibri"/>
          <w:sz w:val="22"/>
          <w:szCs w:val="22"/>
        </w:rPr>
        <w:t>Het doel hiervan is om de controlebevoegdheden van de nationale autoriteiten te versterken en de procedures voor het monitoren van de handel te vereenvoudigen. Hiermee beoog</w:t>
      </w:r>
      <w:r w:rsidRPr="002F2808" w:rsidR="00335195">
        <w:rPr>
          <w:rFonts w:ascii="Calibri" w:hAnsi="Calibri" w:cs="Calibri"/>
          <w:sz w:val="22"/>
          <w:szCs w:val="22"/>
        </w:rPr>
        <w:t>t</w:t>
      </w:r>
      <w:r w:rsidRPr="002F2808" w:rsidR="00C90118">
        <w:rPr>
          <w:rFonts w:ascii="Calibri" w:hAnsi="Calibri" w:cs="Calibri"/>
          <w:sz w:val="22"/>
          <w:szCs w:val="22"/>
        </w:rPr>
        <w:t xml:space="preserve"> de Commissie de administratieve lasten voor bedrijven en autoriteiten te verminderen. </w:t>
      </w:r>
    </w:p>
    <w:p w:rsidRPr="002F2808" w:rsidR="00315904" w:rsidP="002F2808" w:rsidRDefault="00C90118" w14:paraId="7E6D0F22" w14:textId="07E3C9FC">
      <w:pPr>
        <w:pStyle w:val="Normaalweb"/>
        <w:rPr>
          <w:rFonts w:ascii="Calibri" w:hAnsi="Calibri" w:cs="Calibri"/>
          <w:sz w:val="22"/>
          <w:szCs w:val="22"/>
        </w:rPr>
      </w:pPr>
      <w:r w:rsidRPr="002F2808">
        <w:rPr>
          <w:rFonts w:ascii="Calibri" w:hAnsi="Calibri" w:cs="Calibri"/>
          <w:sz w:val="22"/>
          <w:szCs w:val="22"/>
        </w:rPr>
        <w:t xml:space="preserve">Ook besteedt de </w:t>
      </w:r>
      <w:r w:rsidRPr="002F2808" w:rsidR="00315904">
        <w:rPr>
          <w:rFonts w:ascii="Calibri" w:hAnsi="Calibri" w:cs="Calibri"/>
          <w:sz w:val="22"/>
          <w:szCs w:val="22"/>
        </w:rPr>
        <w:t xml:space="preserve">verordening </w:t>
      </w:r>
      <w:r w:rsidRPr="002F2808">
        <w:rPr>
          <w:rFonts w:ascii="Calibri" w:hAnsi="Calibri" w:cs="Calibri"/>
          <w:sz w:val="22"/>
          <w:szCs w:val="22"/>
        </w:rPr>
        <w:t>expliciet</w:t>
      </w:r>
      <w:r w:rsidRPr="002F2808" w:rsidR="00315904">
        <w:rPr>
          <w:rFonts w:ascii="Calibri" w:hAnsi="Calibri" w:cs="Calibri"/>
          <w:sz w:val="22"/>
          <w:szCs w:val="22"/>
        </w:rPr>
        <w:t xml:space="preserve"> aandacht aan bewustwording, training en samenwerking tussen nationale diensten.</w:t>
      </w:r>
      <w:r w:rsidRPr="002F2808" w:rsidR="00FB754B">
        <w:rPr>
          <w:rFonts w:ascii="Calibri" w:hAnsi="Calibri" w:cs="Calibri"/>
          <w:sz w:val="22"/>
          <w:szCs w:val="22"/>
        </w:rPr>
        <w:t xml:space="preserve"> </w:t>
      </w:r>
      <w:r w:rsidRPr="002F2808">
        <w:rPr>
          <w:rFonts w:ascii="Calibri" w:hAnsi="Calibri" w:cs="Calibri"/>
          <w:sz w:val="22"/>
          <w:szCs w:val="22"/>
        </w:rPr>
        <w:t xml:space="preserve">Lidstaten moeten ervoor zorgen dat wetshandhavings- en douaneautoriteiten regelmatig getraind worden, bijvoorbeeld in risicomanagement, zodat zij effectief geplande en niet-geplande drugprecursoren kunnen opsporen die mogelijk gebruikt worden voor de illegale productie van drugs. Bovendien moeten lidstaten jaarlijks bewustwordingsacties organiseren voor operators die betrokken zijn bij de handel in drugprecursoren, om hen te informeren over hun verplichtingen onder de verordening. </w:t>
      </w:r>
      <w:r w:rsidRPr="002F2808" w:rsidR="00FB754B">
        <w:rPr>
          <w:rFonts w:ascii="Calibri" w:hAnsi="Calibri" w:cs="Calibri"/>
          <w:sz w:val="22"/>
          <w:szCs w:val="22"/>
        </w:rPr>
        <w:t>De verordening bevat geen strafbaarstellingen</w:t>
      </w:r>
      <w:r w:rsidRPr="002F2808" w:rsidR="00B7466C">
        <w:rPr>
          <w:rFonts w:ascii="Calibri" w:hAnsi="Calibri" w:cs="Calibri"/>
          <w:sz w:val="22"/>
          <w:szCs w:val="22"/>
        </w:rPr>
        <w:t xml:space="preserve"> van</w:t>
      </w:r>
      <w:r w:rsidRPr="002F2808" w:rsidR="00FB754B">
        <w:rPr>
          <w:rFonts w:ascii="Calibri" w:hAnsi="Calibri" w:cs="Calibri"/>
          <w:sz w:val="22"/>
          <w:szCs w:val="22"/>
        </w:rPr>
        <w:t xml:space="preserve"> </w:t>
      </w:r>
      <w:r w:rsidRPr="002F2808">
        <w:rPr>
          <w:rFonts w:ascii="Calibri" w:hAnsi="Calibri" w:cs="Calibri"/>
          <w:sz w:val="22"/>
          <w:szCs w:val="22"/>
        </w:rPr>
        <w:t xml:space="preserve">categorie 3 precursoren </w:t>
      </w:r>
      <w:r w:rsidRPr="002F2808" w:rsidR="00FB754B">
        <w:rPr>
          <w:rFonts w:ascii="Calibri" w:hAnsi="Calibri" w:cs="Calibri"/>
          <w:sz w:val="22"/>
          <w:szCs w:val="22"/>
        </w:rPr>
        <w:t>maar wel een verplichting daartoe voor de lidstaten</w:t>
      </w:r>
      <w:r w:rsidRPr="002F2808">
        <w:rPr>
          <w:rFonts w:ascii="Calibri" w:hAnsi="Calibri" w:cs="Calibri"/>
          <w:sz w:val="22"/>
          <w:szCs w:val="22"/>
        </w:rPr>
        <w:t>.</w:t>
      </w:r>
    </w:p>
    <w:p w:rsidRPr="002F2808" w:rsidR="000045DC" w:rsidP="002F2808" w:rsidRDefault="000045DC" w14:paraId="65BDD737" w14:textId="77777777">
      <w:pPr>
        <w:pStyle w:val="Normaalweb"/>
        <w:rPr>
          <w:rFonts w:ascii="Calibri" w:hAnsi="Calibri" w:cs="Calibri"/>
          <w:sz w:val="22"/>
          <w:szCs w:val="22"/>
        </w:rPr>
      </w:pPr>
    </w:p>
    <w:p w:rsidRPr="002F2808" w:rsidR="00003712" w:rsidP="002F2808" w:rsidRDefault="00CB7FF8" w14:paraId="7D601F01" w14:textId="382B6541">
      <w:pPr>
        <w:pStyle w:val="Spreekpunten"/>
        <w:numPr>
          <w:ilvl w:val="0"/>
          <w:numId w:val="5"/>
        </w:numPr>
        <w:spacing w:line="240" w:lineRule="auto"/>
        <w:rPr>
          <w:rFonts w:ascii="Calibri" w:hAnsi="Calibri" w:cs="Calibri"/>
          <w:i/>
          <w:iCs/>
          <w:sz w:val="22"/>
          <w:szCs w:val="22"/>
          <w:lang w:val="nl-NL" w:eastAsia="zh-CN"/>
        </w:rPr>
      </w:pPr>
      <w:r w:rsidRPr="002F2808">
        <w:rPr>
          <w:rFonts w:ascii="Calibri" w:hAnsi="Calibri" w:cs="Calibri"/>
          <w:i/>
          <w:iCs/>
          <w:sz w:val="22"/>
          <w:szCs w:val="22"/>
          <w:lang w:val="nl-NL" w:eastAsia="zh-CN"/>
        </w:rPr>
        <w:t>Impact assessment Commissie</w:t>
      </w:r>
    </w:p>
    <w:p w:rsidRPr="002F2808" w:rsidR="00E81A2D" w:rsidP="002F2808" w:rsidRDefault="00003712" w14:paraId="16B8A406" w14:textId="07A0E8CE">
      <w:pPr>
        <w:pStyle w:val="Spreekpunten"/>
        <w:numPr>
          <w:ilvl w:val="0"/>
          <w:numId w:val="0"/>
        </w:numPr>
        <w:spacing w:line="240" w:lineRule="auto"/>
        <w:rPr>
          <w:rFonts w:ascii="Calibri" w:hAnsi="Calibri" w:cs="Calibri"/>
          <w:sz w:val="22"/>
          <w:szCs w:val="22"/>
          <w:lang w:val="nl-NL" w:eastAsia="zh-CN"/>
        </w:rPr>
      </w:pPr>
      <w:r w:rsidRPr="002F2808">
        <w:rPr>
          <w:rFonts w:ascii="Calibri" w:hAnsi="Calibri" w:cs="Calibri"/>
          <w:sz w:val="22"/>
          <w:szCs w:val="22"/>
          <w:lang w:val="nl-NL" w:eastAsia="zh-CN"/>
        </w:rPr>
        <w:t xml:space="preserve">In het impact assessment van de Commissie zijn </w:t>
      </w:r>
      <w:r w:rsidRPr="002F2808" w:rsidR="00E81A2D">
        <w:rPr>
          <w:rFonts w:ascii="Calibri" w:hAnsi="Calibri" w:cs="Calibri"/>
          <w:sz w:val="22"/>
          <w:szCs w:val="22"/>
          <w:lang w:val="nl-NL" w:eastAsia="zh-CN"/>
        </w:rPr>
        <w:t>drie</w:t>
      </w:r>
      <w:r w:rsidRPr="002F2808">
        <w:rPr>
          <w:rFonts w:ascii="Calibri" w:hAnsi="Calibri" w:cs="Calibri"/>
          <w:sz w:val="22"/>
          <w:szCs w:val="22"/>
          <w:lang w:val="nl-NL" w:eastAsia="zh-CN"/>
        </w:rPr>
        <w:t xml:space="preserve"> beleidsopties overwogen om het beoogde doel te bereike</w:t>
      </w:r>
      <w:r w:rsidRPr="002F2808" w:rsidR="00E81A2D">
        <w:rPr>
          <w:rFonts w:ascii="Calibri" w:hAnsi="Calibri" w:cs="Calibri"/>
          <w:sz w:val="22"/>
          <w:szCs w:val="22"/>
          <w:lang w:val="nl-NL" w:eastAsia="zh-CN"/>
        </w:rPr>
        <w:t>n. De drie opties werden vergeleken op basis van hun effectiviteit in het verminderen van de illegale handel en productie van drugs. Optie 1 richt zich op het vereenvoudigen van de interne handelsprocedures voor designerprecursoren, door meldingsverplichtingen voor kleine hoeveelheden voor onderzoek en innovatie te vereenvoudigen. Deze optie vermindert de administratieve lasten, maar heeft mogelijk onvoldoende effect op de proliferatie van stoffen die voor illegale productie worden gebruikt.</w:t>
      </w:r>
    </w:p>
    <w:p w:rsidRPr="002F2808" w:rsidR="000045DC" w:rsidP="002F2808" w:rsidRDefault="000045DC" w14:paraId="6BB9DDBE" w14:textId="77777777">
      <w:pPr>
        <w:pStyle w:val="Spreekpunten"/>
        <w:numPr>
          <w:ilvl w:val="0"/>
          <w:numId w:val="0"/>
        </w:numPr>
        <w:spacing w:line="240" w:lineRule="auto"/>
        <w:rPr>
          <w:rFonts w:ascii="Calibri" w:hAnsi="Calibri" w:cs="Calibri"/>
          <w:sz w:val="22"/>
          <w:szCs w:val="22"/>
          <w:lang w:val="nl-NL" w:eastAsia="zh-CN"/>
        </w:rPr>
      </w:pPr>
    </w:p>
    <w:p w:rsidRPr="002F2808" w:rsidR="00003712" w:rsidP="002F2808" w:rsidRDefault="00E81A2D" w14:paraId="1B08DA0C" w14:textId="48C8834A">
      <w:pPr>
        <w:pStyle w:val="Spreekpunten"/>
        <w:numPr>
          <w:ilvl w:val="0"/>
          <w:numId w:val="0"/>
        </w:numPr>
        <w:spacing w:line="240" w:lineRule="auto"/>
        <w:rPr>
          <w:rFonts w:ascii="Calibri" w:hAnsi="Calibri" w:cs="Calibri"/>
          <w:i/>
          <w:iCs/>
          <w:sz w:val="22"/>
          <w:szCs w:val="22"/>
          <w:highlight w:val="yellow"/>
          <w:lang w:val="nl-NL"/>
        </w:rPr>
      </w:pPr>
      <w:r w:rsidRPr="002F2808">
        <w:rPr>
          <w:rFonts w:ascii="Calibri" w:hAnsi="Calibri" w:cs="Calibri"/>
          <w:sz w:val="22"/>
          <w:szCs w:val="22"/>
          <w:lang w:val="nl-NL" w:eastAsia="zh-CN"/>
        </w:rPr>
        <w:t>Optie 2 is een uitgebreide herziening van de wetgeving, met als doel de interne en externe handel beter af te stemmen. Het introduceert een nieuwe categorie voor designerprecursoren, die voor kleine hoeveelheden onderzoek vooraf moeten worden gemeld, terwijl voor grotere hoeveelheden een licentie vereist is. Deze optie biedt een meer effectieve controle en stroomlijning van procedures en wordt als de beste oplossing gezien voor het verminderen van illegale handel zonder onnodige belasting van bedrijven. Optie 3 is vergelijkbaar met optie 2, maar legt meer nadruk op strengere controlemaatregelen, zoals de vereisten voor licenties voor alle transacties van designerprecursoren. Hoewel deze optie het meeste effect heeft op het voorkomen van illegaal gebruik, verhoogt het de administratieve lasten en handhavingskosten aanzienlijk. De Commissie heeft geconcludeerd dat de tweede optie de beste keuze is gelet op de balans tussen effectiviteit en kosten. Volgens de impact assessment zal de vereenvoud</w:t>
      </w:r>
      <w:r w:rsidRPr="002F2808" w:rsidR="006D1EA3">
        <w:rPr>
          <w:rFonts w:ascii="Calibri" w:hAnsi="Calibri" w:cs="Calibri"/>
          <w:sz w:val="22"/>
          <w:szCs w:val="22"/>
          <w:lang w:val="nl-NL" w:eastAsia="zh-CN"/>
        </w:rPr>
        <w:t>i</w:t>
      </w:r>
      <w:r w:rsidRPr="002F2808">
        <w:rPr>
          <w:rFonts w:ascii="Calibri" w:hAnsi="Calibri" w:cs="Calibri"/>
          <w:sz w:val="22"/>
          <w:szCs w:val="22"/>
          <w:lang w:val="nl-NL" w:eastAsia="zh-CN"/>
        </w:rPr>
        <w:t>ging van procedures en versterking van controles zorgen voor verwachte jaarlijkse besparingen van 25,27 miljoen EUR.</w:t>
      </w:r>
    </w:p>
    <w:p w:rsidRPr="002F2808" w:rsidR="00CB7FF8" w:rsidP="002F2808" w:rsidRDefault="00CB7FF8" w14:paraId="078319D9" w14:textId="77777777">
      <w:pPr>
        <w:spacing w:line="240" w:lineRule="auto"/>
        <w:ind w:left="360" w:hanging="360"/>
        <w:rPr>
          <w:rFonts w:ascii="Calibri" w:hAnsi="Calibri" w:cs="Calibri"/>
          <w:b/>
          <w:szCs w:val="22"/>
        </w:rPr>
      </w:pPr>
    </w:p>
    <w:p w:rsidRPr="002F2808" w:rsidR="00CB7FF8" w:rsidP="002F2808" w:rsidRDefault="00CB7FF8" w14:paraId="4B833EFF" w14:textId="77777777">
      <w:pPr>
        <w:numPr>
          <w:ilvl w:val="0"/>
          <w:numId w:val="3"/>
        </w:numPr>
        <w:spacing w:line="240" w:lineRule="auto"/>
        <w:rPr>
          <w:rFonts w:ascii="Calibri" w:hAnsi="Calibri" w:cs="Calibri"/>
          <w:b/>
          <w:szCs w:val="22"/>
        </w:rPr>
      </w:pPr>
      <w:r w:rsidRPr="002F2808">
        <w:rPr>
          <w:rFonts w:ascii="Calibri" w:hAnsi="Calibri" w:cs="Calibri"/>
          <w:b/>
          <w:szCs w:val="22"/>
        </w:rPr>
        <w:t>Nederlandse</w:t>
      </w:r>
      <w:r w:rsidRPr="002F2808" w:rsidR="00F74E07">
        <w:rPr>
          <w:rFonts w:ascii="Calibri" w:hAnsi="Calibri" w:cs="Calibri"/>
          <w:b/>
          <w:szCs w:val="22"/>
        </w:rPr>
        <w:t xml:space="preserve"> positie ten aanzien van het</w:t>
      </w:r>
      <w:r w:rsidRPr="002F2808">
        <w:rPr>
          <w:rFonts w:ascii="Calibri" w:hAnsi="Calibri" w:cs="Calibri"/>
          <w:b/>
          <w:szCs w:val="22"/>
        </w:rPr>
        <w:t xml:space="preserve"> voorstel </w:t>
      </w:r>
    </w:p>
    <w:p w:rsidRPr="002F2808" w:rsidR="00F74E07" w:rsidP="002F2808" w:rsidRDefault="00F74E07" w14:paraId="05149A14" w14:textId="77777777">
      <w:pPr>
        <w:numPr>
          <w:ilvl w:val="0"/>
          <w:numId w:val="6"/>
        </w:numPr>
        <w:spacing w:line="240" w:lineRule="auto"/>
        <w:rPr>
          <w:rFonts w:ascii="Calibri" w:hAnsi="Calibri" w:cs="Calibri"/>
          <w:i/>
          <w:szCs w:val="22"/>
        </w:rPr>
      </w:pPr>
      <w:r w:rsidRPr="002F2808">
        <w:rPr>
          <w:rFonts w:ascii="Calibri" w:hAnsi="Calibri" w:cs="Calibri"/>
          <w:i/>
          <w:szCs w:val="22"/>
        </w:rPr>
        <w:t>Essentie Nederlands beleid op dit terrein</w:t>
      </w:r>
    </w:p>
    <w:p w:rsidRPr="002F2808" w:rsidR="00335195" w:rsidP="002F2808" w:rsidRDefault="008223D5" w14:paraId="5E17062A" w14:textId="011245EF">
      <w:pPr>
        <w:pStyle w:val="Normaalweb"/>
        <w:rPr>
          <w:rFonts w:ascii="Calibri" w:hAnsi="Calibri" w:cs="Calibri"/>
          <w:sz w:val="22"/>
          <w:szCs w:val="22"/>
        </w:rPr>
      </w:pPr>
      <w:r w:rsidRPr="002F2808">
        <w:rPr>
          <w:rStyle w:val="Zwaar"/>
          <w:rFonts w:ascii="Calibri" w:hAnsi="Calibri" w:cs="Calibri"/>
          <w:b w:val="0"/>
          <w:bCs w:val="0"/>
          <w:sz w:val="22"/>
          <w:szCs w:val="22"/>
        </w:rPr>
        <w:lastRenderedPageBreak/>
        <w:t>De productie en handel in synthetische drugs brengen aanzienlijke risico’s met zich mee voor de volksgezondheid, onder meer door hun wisselende samenstelling en daarmee samenhangende kans op acute gezondheidsincidenten. Daarnaast leiden drugsproductie en drugshandel tot brede maatschappelijke schade</w:t>
      </w:r>
      <w:r w:rsidRPr="002F2808" w:rsidR="00125911">
        <w:rPr>
          <w:rStyle w:val="Zwaar"/>
          <w:rFonts w:ascii="Calibri" w:hAnsi="Calibri" w:cs="Calibri"/>
          <w:b w:val="0"/>
          <w:bCs w:val="0"/>
          <w:sz w:val="22"/>
          <w:szCs w:val="22"/>
        </w:rPr>
        <w:t xml:space="preserve"> en dragen zij bij aan ondermijning door georganiseerde criminaliteit.</w:t>
      </w:r>
      <w:r w:rsidRPr="002F2808" w:rsidR="000921CB">
        <w:rPr>
          <w:rStyle w:val="Zwaar"/>
          <w:rFonts w:ascii="Calibri" w:hAnsi="Calibri" w:cs="Calibri"/>
          <w:b w:val="0"/>
          <w:bCs w:val="0"/>
          <w:sz w:val="22"/>
          <w:szCs w:val="22"/>
        </w:rPr>
        <w:t xml:space="preserve"> </w:t>
      </w:r>
      <w:r w:rsidRPr="002F2808" w:rsidR="00157F99">
        <w:rPr>
          <w:rStyle w:val="Zwaar"/>
          <w:rFonts w:ascii="Calibri" w:hAnsi="Calibri" w:cs="Calibri"/>
          <w:b w:val="0"/>
          <w:bCs w:val="0"/>
          <w:sz w:val="22"/>
          <w:szCs w:val="22"/>
        </w:rPr>
        <w:t>Georganiseerde criminaliteit houdt zich niet aan sectorale of nationale grenzen. Daarom is een brede en samenhangende aanpak op lokaal, nationaal en internationaal niveau noodzakelijk.</w:t>
      </w:r>
      <w:r w:rsidRPr="002F2808">
        <w:rPr>
          <w:rStyle w:val="Zwaar"/>
          <w:rFonts w:ascii="Calibri" w:hAnsi="Calibri" w:cs="Calibri"/>
          <w:b w:val="0"/>
          <w:bCs w:val="0"/>
          <w:sz w:val="22"/>
          <w:szCs w:val="22"/>
        </w:rPr>
        <w:br/>
      </w:r>
      <w:r w:rsidRPr="002F2808" w:rsidR="006D5A43">
        <w:rPr>
          <w:rStyle w:val="Zwaar"/>
          <w:rFonts w:ascii="Calibri" w:hAnsi="Calibri" w:cs="Calibri"/>
          <w:b w:val="0"/>
          <w:bCs w:val="0"/>
          <w:sz w:val="22"/>
          <w:szCs w:val="22"/>
        </w:rPr>
        <w:t xml:space="preserve">Het </w:t>
      </w:r>
      <w:r w:rsidRPr="002F2808" w:rsidR="0034042F">
        <w:rPr>
          <w:rStyle w:val="Zwaar"/>
          <w:rFonts w:ascii="Calibri" w:hAnsi="Calibri" w:cs="Calibri"/>
          <w:b w:val="0"/>
          <w:bCs w:val="0"/>
          <w:sz w:val="22"/>
          <w:szCs w:val="22"/>
        </w:rPr>
        <w:t>kabinets</w:t>
      </w:r>
      <w:r w:rsidRPr="002F2808" w:rsidR="006D5A43">
        <w:rPr>
          <w:rStyle w:val="Zwaar"/>
          <w:rFonts w:ascii="Calibri" w:hAnsi="Calibri" w:cs="Calibri"/>
          <w:b w:val="0"/>
          <w:bCs w:val="0"/>
          <w:sz w:val="22"/>
          <w:szCs w:val="22"/>
        </w:rPr>
        <w:t>beleid is gericht op het</w:t>
      </w:r>
      <w:r w:rsidRPr="002F2808" w:rsidR="0068315E">
        <w:rPr>
          <w:rStyle w:val="Zwaar"/>
          <w:rFonts w:ascii="Calibri" w:hAnsi="Calibri" w:cs="Calibri"/>
          <w:b w:val="0"/>
          <w:bCs w:val="0"/>
          <w:sz w:val="22"/>
          <w:szCs w:val="22"/>
        </w:rPr>
        <w:t xml:space="preserve"> </w:t>
      </w:r>
      <w:r w:rsidRPr="002F2808" w:rsidR="006D5A43">
        <w:rPr>
          <w:rStyle w:val="Zwaar"/>
          <w:rFonts w:ascii="Calibri" w:hAnsi="Calibri" w:cs="Calibri"/>
          <w:b w:val="0"/>
          <w:bCs w:val="0"/>
          <w:sz w:val="22"/>
          <w:szCs w:val="22"/>
        </w:rPr>
        <w:t xml:space="preserve">terugdringen van </w:t>
      </w:r>
      <w:r w:rsidRPr="002F2808" w:rsidR="0068315E">
        <w:rPr>
          <w:rStyle w:val="Zwaar"/>
          <w:rFonts w:ascii="Calibri" w:hAnsi="Calibri" w:cs="Calibri"/>
          <w:b w:val="0"/>
          <w:bCs w:val="0"/>
          <w:sz w:val="22"/>
          <w:szCs w:val="22"/>
        </w:rPr>
        <w:t xml:space="preserve">de </w:t>
      </w:r>
      <w:r w:rsidRPr="002F2808" w:rsidR="00BD1572">
        <w:rPr>
          <w:rStyle w:val="Zwaar"/>
          <w:rFonts w:ascii="Calibri" w:hAnsi="Calibri" w:cs="Calibri"/>
          <w:b w:val="0"/>
          <w:bCs w:val="0"/>
          <w:sz w:val="22"/>
          <w:szCs w:val="22"/>
        </w:rPr>
        <w:t>synthetische drugsproductie en -handel</w:t>
      </w:r>
      <w:r w:rsidRPr="002F2808" w:rsidR="00BD1572">
        <w:rPr>
          <w:rFonts w:ascii="Calibri" w:hAnsi="Calibri" w:cs="Calibri"/>
          <w:sz w:val="22"/>
          <w:szCs w:val="22"/>
        </w:rPr>
        <w:t xml:space="preserve">, mede vanwege de grote </w:t>
      </w:r>
      <w:r w:rsidRPr="002F2808" w:rsidR="006D5A43">
        <w:rPr>
          <w:rFonts w:ascii="Calibri" w:hAnsi="Calibri" w:cs="Calibri"/>
          <w:sz w:val="22"/>
          <w:szCs w:val="22"/>
        </w:rPr>
        <w:t xml:space="preserve">impact op </w:t>
      </w:r>
      <w:r w:rsidRPr="002F2808" w:rsidR="00BD1572">
        <w:rPr>
          <w:rFonts w:ascii="Calibri" w:hAnsi="Calibri" w:cs="Calibri"/>
          <w:sz w:val="22"/>
          <w:szCs w:val="22"/>
        </w:rPr>
        <w:t>veiligheid, gezondheid en milieu</w:t>
      </w:r>
      <w:r w:rsidRPr="002F2808" w:rsidR="0068315E">
        <w:rPr>
          <w:rFonts w:ascii="Calibri" w:hAnsi="Calibri" w:cs="Calibri"/>
          <w:sz w:val="22"/>
          <w:szCs w:val="22"/>
        </w:rPr>
        <w:t>.</w:t>
      </w:r>
      <w:r w:rsidRPr="002F2808" w:rsidR="00BD1572">
        <w:rPr>
          <w:rFonts w:ascii="Calibri" w:hAnsi="Calibri" w:cs="Calibri"/>
          <w:sz w:val="22"/>
          <w:szCs w:val="22"/>
        </w:rPr>
        <w:t xml:space="preserve"> </w:t>
      </w:r>
      <w:r w:rsidRPr="002F2808" w:rsidR="0034042F">
        <w:rPr>
          <w:rFonts w:ascii="Calibri" w:hAnsi="Calibri" w:cs="Calibri"/>
          <w:sz w:val="22"/>
          <w:szCs w:val="22"/>
        </w:rPr>
        <w:t>Het kabinet</w:t>
      </w:r>
      <w:r w:rsidRPr="002F2808" w:rsidR="00CA7543">
        <w:rPr>
          <w:rFonts w:ascii="Calibri" w:hAnsi="Calibri" w:cs="Calibri"/>
          <w:sz w:val="22"/>
          <w:szCs w:val="22"/>
        </w:rPr>
        <w:t xml:space="preserve"> zet in op zowel het inperken</w:t>
      </w:r>
      <w:r w:rsidRPr="002F2808" w:rsidR="006D0B4A">
        <w:rPr>
          <w:rFonts w:ascii="Calibri" w:hAnsi="Calibri" w:cs="Calibri"/>
          <w:sz w:val="22"/>
          <w:szCs w:val="22"/>
        </w:rPr>
        <w:t xml:space="preserve"> van de vraag als </w:t>
      </w:r>
      <w:r w:rsidRPr="002F2808" w:rsidR="006D5A43">
        <w:rPr>
          <w:rFonts w:ascii="Calibri" w:hAnsi="Calibri" w:cs="Calibri"/>
          <w:sz w:val="22"/>
          <w:szCs w:val="22"/>
        </w:rPr>
        <w:t xml:space="preserve">van </w:t>
      </w:r>
      <w:r w:rsidRPr="002F2808" w:rsidR="006D0B4A">
        <w:rPr>
          <w:rFonts w:ascii="Calibri" w:hAnsi="Calibri" w:cs="Calibri"/>
          <w:sz w:val="22"/>
          <w:szCs w:val="22"/>
        </w:rPr>
        <w:t>het aanbod.</w:t>
      </w:r>
      <w:r w:rsidRPr="002F2808" w:rsidR="0068315E">
        <w:rPr>
          <w:rFonts w:ascii="Calibri" w:hAnsi="Calibri" w:cs="Calibri"/>
          <w:sz w:val="22"/>
          <w:szCs w:val="22"/>
        </w:rPr>
        <w:t xml:space="preserve"> </w:t>
      </w:r>
      <w:r w:rsidRPr="002F2808" w:rsidR="0034042F">
        <w:rPr>
          <w:rFonts w:ascii="Calibri" w:hAnsi="Calibri" w:cs="Calibri"/>
          <w:sz w:val="22"/>
          <w:szCs w:val="22"/>
        </w:rPr>
        <w:t>Het kabinet</w:t>
      </w:r>
      <w:r w:rsidRPr="002F2808" w:rsidR="0068315E">
        <w:rPr>
          <w:rFonts w:ascii="Calibri" w:hAnsi="Calibri" w:cs="Calibri"/>
          <w:sz w:val="22"/>
          <w:szCs w:val="22"/>
        </w:rPr>
        <w:t xml:space="preserve"> is voorstander van een g</w:t>
      </w:r>
      <w:r w:rsidRPr="002F2808" w:rsidR="00BD1572">
        <w:rPr>
          <w:rStyle w:val="Zwaar"/>
          <w:rFonts w:ascii="Calibri" w:hAnsi="Calibri" w:cs="Calibri"/>
          <w:b w:val="0"/>
          <w:bCs w:val="0"/>
          <w:sz w:val="22"/>
          <w:szCs w:val="22"/>
        </w:rPr>
        <w:t>ecoördineerde EU-aanpak</w:t>
      </w:r>
      <w:r w:rsidRPr="002F2808" w:rsidR="00BD1572">
        <w:rPr>
          <w:rFonts w:ascii="Calibri" w:hAnsi="Calibri" w:cs="Calibri"/>
          <w:sz w:val="22"/>
          <w:szCs w:val="22"/>
        </w:rPr>
        <w:t xml:space="preserve"> van drugsproblematiek, in lijn met de EU</w:t>
      </w:r>
      <w:r w:rsidRPr="002F2808" w:rsidR="006D5A43">
        <w:rPr>
          <w:rFonts w:ascii="Calibri" w:hAnsi="Calibri" w:cs="Calibri"/>
          <w:sz w:val="22"/>
          <w:szCs w:val="22"/>
        </w:rPr>
        <w:t>-</w:t>
      </w:r>
      <w:r w:rsidRPr="002F2808" w:rsidR="00BD1572">
        <w:rPr>
          <w:rFonts w:ascii="Calibri" w:hAnsi="Calibri" w:cs="Calibri"/>
          <w:sz w:val="22"/>
          <w:szCs w:val="22"/>
        </w:rPr>
        <w:t>Drugsstrategie en het EU-actieplan tegen drugshandel.</w:t>
      </w:r>
      <w:r w:rsidRPr="002F2808" w:rsidR="00BC49CF">
        <w:rPr>
          <w:rStyle w:val="Voetnootmarkering"/>
          <w:rFonts w:ascii="Calibri" w:hAnsi="Calibri" w:cs="Calibri"/>
          <w:sz w:val="22"/>
          <w:szCs w:val="22"/>
        </w:rPr>
        <w:footnoteReference w:id="4"/>
      </w:r>
      <w:r w:rsidRPr="002F2808" w:rsidR="0068315E">
        <w:rPr>
          <w:rFonts w:ascii="Calibri" w:hAnsi="Calibri" w:cs="Calibri"/>
          <w:sz w:val="22"/>
          <w:szCs w:val="22"/>
        </w:rPr>
        <w:t xml:space="preserve"> </w:t>
      </w:r>
    </w:p>
    <w:p w:rsidRPr="002F2808" w:rsidR="005B439E" w:rsidP="002F2808" w:rsidRDefault="0034042F" w14:paraId="5CF7D830" w14:textId="77777777">
      <w:pPr>
        <w:pStyle w:val="Normaalweb"/>
        <w:rPr>
          <w:rFonts w:ascii="Calibri" w:hAnsi="Calibri" w:cs="Calibri"/>
          <w:sz w:val="22"/>
          <w:szCs w:val="22"/>
        </w:rPr>
      </w:pPr>
      <w:r w:rsidRPr="002F2808">
        <w:rPr>
          <w:rFonts w:ascii="Calibri" w:hAnsi="Calibri" w:cs="Calibri"/>
          <w:sz w:val="22"/>
          <w:szCs w:val="22"/>
        </w:rPr>
        <w:t xml:space="preserve">Het kabinet </w:t>
      </w:r>
      <w:r w:rsidRPr="002F2808" w:rsidR="0068315E">
        <w:rPr>
          <w:rFonts w:ascii="Calibri" w:hAnsi="Calibri" w:cs="Calibri"/>
          <w:sz w:val="22"/>
          <w:szCs w:val="22"/>
        </w:rPr>
        <w:t>onderschrijft het belang van b</w:t>
      </w:r>
      <w:r w:rsidRPr="002F2808" w:rsidR="00BD1572">
        <w:rPr>
          <w:rStyle w:val="Zwaar"/>
          <w:rFonts w:ascii="Calibri" w:hAnsi="Calibri" w:cs="Calibri"/>
          <w:b w:val="0"/>
          <w:bCs w:val="0"/>
          <w:sz w:val="22"/>
          <w:szCs w:val="22"/>
        </w:rPr>
        <w:t>ehoud van legale handel</w:t>
      </w:r>
      <w:r w:rsidRPr="002F2808" w:rsidR="00BD1572">
        <w:rPr>
          <w:rStyle w:val="Zwaar"/>
          <w:rFonts w:ascii="Calibri" w:hAnsi="Calibri" w:cs="Calibri"/>
          <w:sz w:val="22"/>
          <w:szCs w:val="22"/>
        </w:rPr>
        <w:t xml:space="preserve"> </w:t>
      </w:r>
      <w:r w:rsidRPr="002F2808" w:rsidR="00BD1572">
        <w:rPr>
          <w:rFonts w:ascii="Calibri" w:hAnsi="Calibri" w:cs="Calibri"/>
          <w:sz w:val="22"/>
          <w:szCs w:val="22"/>
        </w:rPr>
        <w:t xml:space="preserve">in </w:t>
      </w:r>
      <w:r w:rsidRPr="002F2808" w:rsidR="00CA7543">
        <w:rPr>
          <w:rFonts w:ascii="Calibri" w:hAnsi="Calibri" w:cs="Calibri"/>
          <w:sz w:val="22"/>
          <w:szCs w:val="22"/>
        </w:rPr>
        <w:t xml:space="preserve"> de </w:t>
      </w:r>
      <w:r w:rsidRPr="002F2808" w:rsidR="00BD1572">
        <w:rPr>
          <w:rFonts w:ascii="Calibri" w:hAnsi="Calibri" w:cs="Calibri"/>
          <w:sz w:val="22"/>
          <w:szCs w:val="22"/>
        </w:rPr>
        <w:t>chemi</w:t>
      </w:r>
      <w:r w:rsidRPr="002F2808" w:rsidR="00CA7543">
        <w:rPr>
          <w:rFonts w:ascii="Calibri" w:hAnsi="Calibri" w:cs="Calibri"/>
          <w:sz w:val="22"/>
          <w:szCs w:val="22"/>
        </w:rPr>
        <w:t>sche- en</w:t>
      </w:r>
      <w:r w:rsidRPr="002F2808" w:rsidR="00BD1572">
        <w:rPr>
          <w:rFonts w:ascii="Calibri" w:hAnsi="Calibri" w:cs="Calibri"/>
          <w:sz w:val="22"/>
          <w:szCs w:val="22"/>
        </w:rPr>
        <w:t xml:space="preserve"> farmaceutische</w:t>
      </w:r>
      <w:r w:rsidRPr="002F2808" w:rsidR="00CA7543">
        <w:rPr>
          <w:rFonts w:ascii="Calibri" w:hAnsi="Calibri" w:cs="Calibri"/>
          <w:sz w:val="22"/>
          <w:szCs w:val="22"/>
        </w:rPr>
        <w:t xml:space="preserve"> branche, </w:t>
      </w:r>
      <w:r w:rsidRPr="002F2808" w:rsidR="00BD1572">
        <w:rPr>
          <w:rFonts w:ascii="Calibri" w:hAnsi="Calibri" w:cs="Calibri"/>
          <w:sz w:val="22"/>
          <w:szCs w:val="22"/>
        </w:rPr>
        <w:t>met aandacht voor werkbare regelgeving en beperkte regeldruk.</w:t>
      </w:r>
      <w:r w:rsidRPr="002F2808" w:rsidR="000641A0">
        <w:rPr>
          <w:rFonts w:ascii="Calibri" w:hAnsi="Calibri" w:cs="Calibri"/>
          <w:sz w:val="22"/>
          <w:szCs w:val="22"/>
        </w:rPr>
        <w:t xml:space="preserve"> Omdat deze stoffen ook voor legale doeleinden kunnen worden gebruikt en de handel in </w:t>
      </w:r>
      <w:r w:rsidRPr="002F2808" w:rsidR="003C3B1C">
        <w:rPr>
          <w:rFonts w:ascii="Calibri" w:hAnsi="Calibri" w:cs="Calibri"/>
          <w:sz w:val="22"/>
          <w:szCs w:val="22"/>
        </w:rPr>
        <w:t>categorie II</w:t>
      </w:r>
      <w:r w:rsidRPr="002F2808" w:rsidR="000641A0">
        <w:rPr>
          <w:rFonts w:ascii="Calibri" w:hAnsi="Calibri" w:cs="Calibri"/>
          <w:sz w:val="22"/>
          <w:szCs w:val="22"/>
        </w:rPr>
        <w:t xml:space="preserve"> stoffen in beginsel legaal is, kan toegang tot deze stoffen niet algemeen worden verboden. Er moeten derhalve maatregelen worden genomen om het juiste evenwicht te vinden tussen enerzijds de wens om te voorkomen dat drugsprecursoren in handen komen van illegale drugsproducenten en anderzijds het </w:t>
      </w:r>
      <w:r w:rsidRPr="002F2808" w:rsidR="008223D5">
        <w:rPr>
          <w:rFonts w:ascii="Calibri" w:hAnsi="Calibri" w:cs="Calibri"/>
          <w:sz w:val="22"/>
          <w:szCs w:val="22"/>
        </w:rPr>
        <w:t xml:space="preserve">belang van het veiligstellen van legitieme toepassingen, waaronder de productie van geneesmiddelen. </w:t>
      </w:r>
      <w:r w:rsidRPr="002F2808" w:rsidR="00DF26B8">
        <w:rPr>
          <w:rFonts w:ascii="Calibri" w:hAnsi="Calibri" w:cs="Calibri"/>
          <w:sz w:val="22"/>
          <w:szCs w:val="22"/>
        </w:rPr>
        <w:t xml:space="preserve">Deze afweging vraagt om gerichte maatregelen die misbruik tegengaan zonder legale toepassingen onnodig te belemmeren. </w:t>
      </w:r>
    </w:p>
    <w:p w:rsidRPr="002F2808" w:rsidR="006D0B4A" w:rsidP="002F2808" w:rsidRDefault="00DF26B8" w14:paraId="5AA20A93" w14:textId="5231D652">
      <w:pPr>
        <w:pStyle w:val="Normaalweb"/>
        <w:rPr>
          <w:rFonts w:ascii="Calibri" w:hAnsi="Calibri" w:cs="Calibri"/>
          <w:sz w:val="22"/>
          <w:szCs w:val="22"/>
        </w:rPr>
      </w:pPr>
      <w:r w:rsidRPr="002F2808">
        <w:rPr>
          <w:rFonts w:ascii="Calibri" w:hAnsi="Calibri" w:cs="Calibri"/>
          <w:sz w:val="22"/>
          <w:szCs w:val="22"/>
        </w:rPr>
        <w:t xml:space="preserve">Het kabinet geeft hier invulling aan door </w:t>
      </w:r>
      <w:r w:rsidRPr="002F2808" w:rsidR="0068315E">
        <w:rPr>
          <w:rFonts w:ascii="Calibri" w:hAnsi="Calibri" w:cs="Calibri"/>
          <w:sz w:val="22"/>
          <w:szCs w:val="22"/>
        </w:rPr>
        <w:t xml:space="preserve">een </w:t>
      </w:r>
      <w:r w:rsidRPr="002F2808" w:rsidR="006D0B4A">
        <w:rPr>
          <w:rFonts w:ascii="Calibri" w:hAnsi="Calibri" w:cs="Calibri"/>
          <w:sz w:val="22"/>
          <w:szCs w:val="22"/>
        </w:rPr>
        <w:t>ketenbenadering</w:t>
      </w:r>
      <w:r w:rsidRPr="002F2808">
        <w:rPr>
          <w:rFonts w:ascii="Calibri" w:hAnsi="Calibri" w:cs="Calibri"/>
          <w:sz w:val="22"/>
          <w:szCs w:val="22"/>
        </w:rPr>
        <w:t xml:space="preserve"> te hanteren</w:t>
      </w:r>
      <w:r w:rsidRPr="002F2808" w:rsidR="00BD1572">
        <w:rPr>
          <w:rFonts w:ascii="Calibri" w:hAnsi="Calibri" w:cs="Calibri"/>
          <w:sz w:val="22"/>
          <w:szCs w:val="22"/>
        </w:rPr>
        <w:t xml:space="preserve">, publiek-private samenwerking </w:t>
      </w:r>
      <w:r w:rsidRPr="002F2808">
        <w:rPr>
          <w:rFonts w:ascii="Calibri" w:hAnsi="Calibri" w:cs="Calibri"/>
          <w:sz w:val="22"/>
          <w:szCs w:val="22"/>
        </w:rPr>
        <w:t>te versterken</w:t>
      </w:r>
      <w:r w:rsidRPr="002F2808" w:rsidR="00BD1572">
        <w:rPr>
          <w:rFonts w:ascii="Calibri" w:hAnsi="Calibri" w:cs="Calibri"/>
          <w:sz w:val="22"/>
          <w:szCs w:val="22"/>
        </w:rPr>
        <w:t xml:space="preserve"> en intensie</w:t>
      </w:r>
      <w:r w:rsidRPr="002F2808">
        <w:rPr>
          <w:rFonts w:ascii="Calibri" w:hAnsi="Calibri" w:cs="Calibri"/>
          <w:sz w:val="22"/>
          <w:szCs w:val="22"/>
        </w:rPr>
        <w:t>f</w:t>
      </w:r>
      <w:r w:rsidRPr="002F2808" w:rsidR="00BD1572">
        <w:rPr>
          <w:rFonts w:ascii="Calibri" w:hAnsi="Calibri" w:cs="Calibri"/>
          <w:sz w:val="22"/>
          <w:szCs w:val="22"/>
        </w:rPr>
        <w:t xml:space="preserve"> samen</w:t>
      </w:r>
      <w:r w:rsidRPr="002F2808">
        <w:rPr>
          <w:rFonts w:ascii="Calibri" w:hAnsi="Calibri" w:cs="Calibri"/>
          <w:sz w:val="22"/>
          <w:szCs w:val="22"/>
        </w:rPr>
        <w:t xml:space="preserve"> te </w:t>
      </w:r>
      <w:r w:rsidRPr="002F2808" w:rsidR="00BD1572">
        <w:rPr>
          <w:rFonts w:ascii="Calibri" w:hAnsi="Calibri" w:cs="Calibri"/>
          <w:sz w:val="22"/>
          <w:szCs w:val="22"/>
        </w:rPr>
        <w:t>werk</w:t>
      </w:r>
      <w:r w:rsidRPr="002F2808">
        <w:rPr>
          <w:rFonts w:ascii="Calibri" w:hAnsi="Calibri" w:cs="Calibri"/>
          <w:sz w:val="22"/>
          <w:szCs w:val="22"/>
        </w:rPr>
        <w:t>en</w:t>
      </w:r>
      <w:r w:rsidRPr="002F2808" w:rsidR="00BD1572">
        <w:rPr>
          <w:rFonts w:ascii="Calibri" w:hAnsi="Calibri" w:cs="Calibri"/>
          <w:sz w:val="22"/>
          <w:szCs w:val="22"/>
        </w:rPr>
        <w:t xml:space="preserve"> met buurlanden</w:t>
      </w:r>
      <w:r w:rsidRPr="002F2808">
        <w:rPr>
          <w:rFonts w:ascii="Calibri" w:hAnsi="Calibri" w:cs="Calibri"/>
          <w:sz w:val="22"/>
          <w:szCs w:val="22"/>
        </w:rPr>
        <w:t>,</w:t>
      </w:r>
      <w:r w:rsidRPr="002F2808" w:rsidR="00522FBD">
        <w:rPr>
          <w:rFonts w:ascii="Calibri" w:hAnsi="Calibri" w:cs="Calibri"/>
          <w:sz w:val="22"/>
          <w:szCs w:val="22"/>
        </w:rPr>
        <w:t xml:space="preserve"> andere EU</w:t>
      </w:r>
      <w:r w:rsidRPr="002F2808">
        <w:rPr>
          <w:rFonts w:ascii="Calibri" w:hAnsi="Calibri" w:cs="Calibri"/>
          <w:sz w:val="22"/>
          <w:szCs w:val="22"/>
        </w:rPr>
        <w:t>-</w:t>
      </w:r>
      <w:r w:rsidRPr="002F2808" w:rsidR="00522FBD">
        <w:rPr>
          <w:rFonts w:ascii="Calibri" w:hAnsi="Calibri" w:cs="Calibri"/>
          <w:sz w:val="22"/>
          <w:szCs w:val="22"/>
        </w:rPr>
        <w:t xml:space="preserve">lidstaten </w:t>
      </w:r>
      <w:r w:rsidRPr="002F2808" w:rsidR="00BD1572">
        <w:rPr>
          <w:rFonts w:ascii="Calibri" w:hAnsi="Calibri" w:cs="Calibri"/>
          <w:sz w:val="22"/>
          <w:szCs w:val="22"/>
        </w:rPr>
        <w:t xml:space="preserve">en EU-agentschappen </w:t>
      </w:r>
      <w:r w:rsidRPr="002F2808">
        <w:rPr>
          <w:rFonts w:ascii="Calibri" w:hAnsi="Calibri" w:cs="Calibri"/>
          <w:sz w:val="22"/>
          <w:szCs w:val="22"/>
        </w:rPr>
        <w:t>zo</w:t>
      </w:r>
      <w:r w:rsidRPr="002F2808" w:rsidR="00BD1572">
        <w:rPr>
          <w:rFonts w:ascii="Calibri" w:hAnsi="Calibri" w:cs="Calibri"/>
          <w:sz w:val="22"/>
          <w:szCs w:val="22"/>
        </w:rPr>
        <w:t xml:space="preserve">als Europol en </w:t>
      </w:r>
      <w:r w:rsidRPr="002F2808" w:rsidR="00335195">
        <w:rPr>
          <w:rFonts w:ascii="Calibri" w:hAnsi="Calibri" w:cs="Calibri"/>
          <w:sz w:val="22"/>
          <w:szCs w:val="22"/>
        </w:rPr>
        <w:t xml:space="preserve">de </w:t>
      </w:r>
      <w:r w:rsidRPr="002F2808" w:rsidR="00BD1572">
        <w:rPr>
          <w:rFonts w:ascii="Calibri" w:hAnsi="Calibri" w:cs="Calibri"/>
          <w:sz w:val="22"/>
          <w:szCs w:val="22"/>
        </w:rPr>
        <w:t>EUDA</w:t>
      </w:r>
      <w:r w:rsidRPr="002F2808" w:rsidR="006D0B4A">
        <w:rPr>
          <w:rFonts w:ascii="Calibri" w:hAnsi="Calibri" w:cs="Calibri"/>
          <w:sz w:val="22"/>
          <w:szCs w:val="22"/>
        </w:rPr>
        <w:t>.</w:t>
      </w:r>
      <w:r w:rsidRPr="002F2808" w:rsidR="000641A0">
        <w:rPr>
          <w:rFonts w:ascii="Calibri" w:hAnsi="Calibri" w:cs="Calibri"/>
          <w:sz w:val="22"/>
          <w:szCs w:val="22"/>
        </w:rPr>
        <w:t xml:space="preserve"> </w:t>
      </w:r>
    </w:p>
    <w:p w:rsidRPr="002F2808" w:rsidR="000045DC" w:rsidP="002F2808" w:rsidRDefault="000045DC" w14:paraId="247FF0FD" w14:textId="77777777">
      <w:pPr>
        <w:pStyle w:val="Normaalweb"/>
        <w:rPr>
          <w:rFonts w:ascii="Calibri" w:hAnsi="Calibri" w:cs="Calibri"/>
          <w:sz w:val="22"/>
          <w:szCs w:val="22"/>
        </w:rPr>
      </w:pPr>
    </w:p>
    <w:p w:rsidRPr="002F2808" w:rsidR="00F74E07" w:rsidP="002F2808" w:rsidRDefault="00F74E07" w14:paraId="026791CA" w14:textId="77777777">
      <w:pPr>
        <w:numPr>
          <w:ilvl w:val="0"/>
          <w:numId w:val="6"/>
        </w:numPr>
        <w:spacing w:line="240" w:lineRule="auto"/>
        <w:rPr>
          <w:rFonts w:ascii="Calibri" w:hAnsi="Calibri" w:cs="Calibri"/>
          <w:i/>
          <w:szCs w:val="22"/>
        </w:rPr>
      </w:pPr>
      <w:r w:rsidRPr="002F2808">
        <w:rPr>
          <w:rFonts w:ascii="Calibri" w:hAnsi="Calibri" w:cs="Calibri"/>
          <w:i/>
          <w:szCs w:val="22"/>
        </w:rPr>
        <w:t>Beoordeling + inzet ten aanzien van dit voorstel</w:t>
      </w:r>
    </w:p>
    <w:p w:rsidRPr="002F2808" w:rsidR="00DE6EE2" w:rsidP="002F2808" w:rsidRDefault="006D0B4A" w14:paraId="716B42C3" w14:textId="377A56AC">
      <w:pPr>
        <w:pStyle w:val="Normaalweb"/>
        <w:rPr>
          <w:rFonts w:ascii="Calibri" w:hAnsi="Calibri" w:cs="Calibri"/>
          <w:sz w:val="22"/>
          <w:szCs w:val="22"/>
        </w:rPr>
      </w:pPr>
      <w:r w:rsidRPr="002F2808">
        <w:rPr>
          <w:rFonts w:ascii="Calibri" w:hAnsi="Calibri" w:cs="Calibri"/>
          <w:sz w:val="22"/>
          <w:szCs w:val="22"/>
        </w:rPr>
        <w:t xml:space="preserve">Het voorstel wordt in de kern </w:t>
      </w:r>
      <w:r w:rsidRPr="002F2808">
        <w:rPr>
          <w:rStyle w:val="Zwaar"/>
          <w:rFonts w:ascii="Calibri" w:hAnsi="Calibri" w:cs="Calibri"/>
          <w:b w:val="0"/>
          <w:bCs w:val="0"/>
          <w:sz w:val="22"/>
          <w:szCs w:val="22"/>
        </w:rPr>
        <w:t>positief beoordeeld</w:t>
      </w:r>
      <w:r w:rsidRPr="002F2808" w:rsidR="0068315E">
        <w:rPr>
          <w:rFonts w:ascii="Calibri" w:hAnsi="Calibri" w:cs="Calibri"/>
          <w:sz w:val="22"/>
          <w:szCs w:val="22"/>
        </w:rPr>
        <w:t xml:space="preserve">. Het </w:t>
      </w:r>
      <w:r w:rsidRPr="002F2808">
        <w:rPr>
          <w:rFonts w:ascii="Calibri" w:hAnsi="Calibri" w:cs="Calibri"/>
          <w:sz w:val="22"/>
          <w:szCs w:val="22"/>
        </w:rPr>
        <w:t>sluit goed aan bij de Nederlandse prioriteit om synthetische drugsproductie te voorkomen en effectief terug te dringen.</w:t>
      </w:r>
      <w:r w:rsidRPr="002F2808" w:rsidR="0068315E">
        <w:rPr>
          <w:rFonts w:ascii="Calibri" w:hAnsi="Calibri" w:cs="Calibri"/>
          <w:sz w:val="22"/>
          <w:szCs w:val="22"/>
        </w:rPr>
        <w:t xml:space="preserve"> </w:t>
      </w:r>
      <w:r w:rsidRPr="002F2808" w:rsidR="00FC309C">
        <w:rPr>
          <w:rFonts w:ascii="Calibri" w:hAnsi="Calibri" w:cs="Calibri"/>
          <w:sz w:val="22"/>
          <w:szCs w:val="22"/>
        </w:rPr>
        <w:t xml:space="preserve">Het voorstel is vanuit gezondheidsperspectief relevant, aangezien snelle innovaties in synthetische drugsproductie gepaard gaan met sterk wisselende samenstelling en potentie van middelen, wat kan leiden tot acute gezondheidsincidenten. </w:t>
      </w:r>
      <w:r w:rsidRPr="002F2808" w:rsidR="0068315E">
        <w:rPr>
          <w:rFonts w:ascii="Calibri" w:hAnsi="Calibri" w:cs="Calibri"/>
          <w:sz w:val="22"/>
          <w:szCs w:val="22"/>
        </w:rPr>
        <w:t>Het</w:t>
      </w:r>
      <w:r w:rsidRPr="002F2808" w:rsidR="00891D75">
        <w:rPr>
          <w:rFonts w:ascii="Calibri" w:hAnsi="Calibri" w:cs="Calibri"/>
          <w:sz w:val="22"/>
          <w:szCs w:val="22"/>
        </w:rPr>
        <w:t xml:space="preserve"> voorstel</w:t>
      </w:r>
      <w:r w:rsidRPr="002F2808" w:rsidR="0068315E">
        <w:rPr>
          <w:rFonts w:ascii="Calibri" w:hAnsi="Calibri" w:cs="Calibri"/>
          <w:sz w:val="22"/>
          <w:szCs w:val="22"/>
        </w:rPr>
        <w:t xml:space="preserve"> </w:t>
      </w:r>
      <w:r w:rsidRPr="002F2808">
        <w:rPr>
          <w:rFonts w:ascii="Calibri" w:hAnsi="Calibri" w:cs="Calibri"/>
          <w:sz w:val="22"/>
          <w:szCs w:val="22"/>
        </w:rPr>
        <w:t>moderniseert verouderde regels uit 2004/2005 en brengt interne markt- en externe handelsaspecten onder één regime.</w:t>
      </w:r>
      <w:r w:rsidRPr="002F2808" w:rsidR="00CE5717">
        <w:rPr>
          <w:rFonts w:ascii="Calibri" w:hAnsi="Calibri" w:cs="Calibri"/>
          <w:sz w:val="22"/>
          <w:szCs w:val="22"/>
        </w:rPr>
        <w:t xml:space="preserve"> Het kabinet zal oog houden voor de uitvoerbaarheid van het voorstel, zodat douaneautoriteiten de taken met betrekking tot het toezicht op de legale en illegale precursoren effectief kunnen uitvoeren. Dit betekent onder meer dat de verordening heldere definities moet bevatten en goed zal moeten aansluiten bij het Douanewetboek van de Unie. Ook is van belang dat er voldoende implementatietijd is voor het inrichten van de ICT-benodigdheden en dat niet wordt afgedaan aan de effectiviteit en kwaliteit van de bestaande risicogerichte handhaving. Daarbij dient dan ook rekening te worden gehouden met de gevolgen voor de uitvoeringscapaciteit van de douane-organisatie in Nederland daar waar dit tot extra werk leidt bij de voorbereidings- en implementatiefase van dit voorstel.</w:t>
      </w:r>
    </w:p>
    <w:p w:rsidRPr="002F2808" w:rsidR="00786820" w:rsidP="002F2808" w:rsidRDefault="00786820" w14:paraId="737315E5" w14:textId="6253B84D">
      <w:pPr>
        <w:pStyle w:val="Normaalweb"/>
        <w:rPr>
          <w:rFonts w:ascii="Calibri" w:hAnsi="Calibri" w:cs="Calibri"/>
          <w:sz w:val="22"/>
          <w:szCs w:val="22"/>
        </w:rPr>
      </w:pPr>
      <w:r w:rsidRPr="002F2808">
        <w:rPr>
          <w:rFonts w:ascii="Calibri" w:hAnsi="Calibri" w:cs="Calibri"/>
          <w:sz w:val="22"/>
          <w:szCs w:val="22"/>
        </w:rPr>
        <w:t xml:space="preserve">Wat betreft de categorisering van precursoren wordt het voorstel positief beoordeeld. De introductie van een duidelijke indeling van precursoren in verschillende categorieën is essentieel voor </w:t>
      </w:r>
      <w:r w:rsidRPr="002F2808" w:rsidR="00522FBD">
        <w:rPr>
          <w:rFonts w:ascii="Calibri" w:hAnsi="Calibri" w:cs="Calibri"/>
          <w:sz w:val="22"/>
          <w:szCs w:val="22"/>
        </w:rPr>
        <w:t xml:space="preserve">het </w:t>
      </w:r>
      <w:r w:rsidRPr="002F2808">
        <w:rPr>
          <w:rFonts w:ascii="Calibri" w:hAnsi="Calibri" w:cs="Calibri"/>
          <w:sz w:val="22"/>
          <w:szCs w:val="22"/>
        </w:rPr>
        <w:t>gericht kunnen handhaven en het tijdig aanpakken van stoffen die misbruikt kunnen worden voor de productie van drugs. De introductie van een categorie voor stoffen zonder legale toepassingen (categorie 3) wordt als positief beoordeeld, omdat het helpt om nieuwe, gevaarlijke stoffen snel te reguleren.</w:t>
      </w:r>
      <w:r w:rsidRPr="002F2808" w:rsidR="00532B48">
        <w:rPr>
          <w:rFonts w:ascii="Calibri" w:hAnsi="Calibri" w:cs="Calibri"/>
          <w:sz w:val="22"/>
          <w:szCs w:val="22"/>
        </w:rPr>
        <w:t xml:space="preserve"> Dit draagt bij aan het beperken van gezondheidsrisico’s die samenhangen met de snelle introductie van nieuwe synthetische stoffen waarvan toxiciteit en effecten vaak nog </w:t>
      </w:r>
      <w:r w:rsidRPr="002F2808" w:rsidR="00532B48">
        <w:rPr>
          <w:rFonts w:ascii="Calibri" w:hAnsi="Calibri" w:cs="Calibri"/>
          <w:sz w:val="22"/>
          <w:szCs w:val="22"/>
        </w:rPr>
        <w:lastRenderedPageBreak/>
        <w:t>onvoldoende bekend zijn.</w:t>
      </w:r>
      <w:r w:rsidRPr="002F2808">
        <w:rPr>
          <w:rFonts w:ascii="Calibri" w:hAnsi="Calibri" w:cs="Calibri"/>
          <w:sz w:val="22"/>
          <w:szCs w:val="22"/>
        </w:rPr>
        <w:t xml:space="preserve"> Nederland zal zich inzetten voor de heldere afbakening van stoffen die onder deze categorie vallen, zodat legale industrieën, zoals de </w:t>
      </w:r>
      <w:r w:rsidRPr="002F2808" w:rsidR="00532B48">
        <w:rPr>
          <w:rFonts w:ascii="Calibri" w:hAnsi="Calibri" w:cs="Calibri"/>
          <w:sz w:val="22"/>
          <w:szCs w:val="22"/>
        </w:rPr>
        <w:t xml:space="preserve">geneesmiddelenindustrie, </w:t>
      </w:r>
      <w:r w:rsidRPr="002F2808">
        <w:rPr>
          <w:rFonts w:ascii="Calibri" w:hAnsi="Calibri" w:cs="Calibri"/>
          <w:sz w:val="22"/>
          <w:szCs w:val="22"/>
        </w:rPr>
        <w:t>chemische en farmaceutische sector, niet onterecht worden belast. Ook wil Nederland flexibiliteit in de manier waarop stoffen geclassificeerd kunnen worden, zodat er ruimte blijft voor innovatieve toepassingen.</w:t>
      </w:r>
    </w:p>
    <w:p w:rsidRPr="002F2808" w:rsidR="00786820" w:rsidP="002F2808" w:rsidRDefault="00786820" w14:paraId="45FB77C9" w14:textId="79302A7D">
      <w:pPr>
        <w:pStyle w:val="Normaalweb"/>
        <w:rPr>
          <w:rFonts w:ascii="Calibri" w:hAnsi="Calibri" w:cs="Calibri"/>
          <w:sz w:val="22"/>
          <w:szCs w:val="22"/>
        </w:rPr>
      </w:pPr>
      <w:r w:rsidRPr="002F2808">
        <w:rPr>
          <w:rFonts w:ascii="Calibri" w:hAnsi="Calibri" w:cs="Calibri"/>
          <w:sz w:val="22"/>
          <w:szCs w:val="22"/>
        </w:rPr>
        <w:t>Het voorstel maakt het mogelijk om de interne handel (binnen de EU) en de externe handel (met derde landen) uniform te reguleren. Dit wordt van groot belang geacht om het misbruik van precursoren over nationale grenzen heen te voorkomen. Harmonisatie van de regels voorkomt dat criminele netwerken via lidstaten met zwakkere regels de EU binnenkomen. Nederland zal zich actief inzetten voor een stevige regeling voor de uitwisseling van informatie tussen EU-lidstaten en derde landen, en ook voor het behoud van flexibele regelgeving die ruimte biedt voor bedrijven die stoffen legitiem gebruiken. Daarnaast pleit Nederland voor een sterk EU-systeem voor risicobeoordeling van precursoren, zodat snel ingegrepen kan worden bij de ontdekking van nieuwe gevaarlijke stoffen.</w:t>
      </w:r>
    </w:p>
    <w:p w:rsidRPr="002F2808" w:rsidR="00786820" w:rsidP="002F2808" w:rsidRDefault="00786820" w14:paraId="3E2FE1B9" w14:textId="164B1CC4">
      <w:pPr>
        <w:pStyle w:val="Normaalweb"/>
        <w:rPr>
          <w:rFonts w:ascii="Calibri" w:hAnsi="Calibri" w:cs="Calibri"/>
          <w:sz w:val="22"/>
          <w:szCs w:val="22"/>
        </w:rPr>
      </w:pPr>
      <w:r w:rsidRPr="002F2808">
        <w:rPr>
          <w:rFonts w:ascii="Calibri" w:hAnsi="Calibri" w:cs="Calibri"/>
          <w:sz w:val="22"/>
          <w:szCs w:val="22"/>
        </w:rPr>
        <w:t>Het voorstel voorziet in een gecentraliseerd licentiesysteem, waarbij bedrijven digitaal hun aanvragen voor de invoer of uitvoer van precursoren kunnen doen. Dit maakt de procedure efficiënter en transparanter. Nederland is positief over de digitalisering van het licentieproces, aangezien dit de administratieve last</w:t>
      </w:r>
      <w:r w:rsidRPr="002F2808" w:rsidR="00747910">
        <w:rPr>
          <w:rFonts w:ascii="Calibri" w:hAnsi="Calibri" w:cs="Calibri"/>
          <w:sz w:val="22"/>
          <w:szCs w:val="22"/>
        </w:rPr>
        <w:t>en</w:t>
      </w:r>
      <w:r w:rsidRPr="002F2808">
        <w:rPr>
          <w:rFonts w:ascii="Calibri" w:hAnsi="Calibri" w:cs="Calibri"/>
          <w:sz w:val="22"/>
          <w:szCs w:val="22"/>
        </w:rPr>
        <w:t xml:space="preserve"> voor bedrijven en toezichthouders aanzienlijk zal verlichten. Nederland zal belang hechten aan een gebruiksvriendelijk, digitaal systeem dat eenvoudig te integreren is in bestaande nationale systemen. Daarnaast zal Nederland aandringen op een flexibel systeem waarin MKB-ondernemingen, zoals kleine laboratoria en apotheken, niet onterecht zwaar belast worden door administratieve verplichtingen.</w:t>
      </w:r>
    </w:p>
    <w:p w:rsidRPr="002F2808" w:rsidR="00786820" w:rsidP="002F2808" w:rsidRDefault="00786820" w14:paraId="08392638" w14:textId="5E1EF57F">
      <w:pPr>
        <w:pStyle w:val="Normaalweb"/>
        <w:rPr>
          <w:rFonts w:ascii="Calibri" w:hAnsi="Calibri" w:cs="Calibri"/>
          <w:sz w:val="22"/>
          <w:szCs w:val="22"/>
        </w:rPr>
      </w:pPr>
      <w:r w:rsidRPr="002F2808">
        <w:rPr>
          <w:rFonts w:ascii="Calibri" w:hAnsi="Calibri" w:cs="Calibri"/>
          <w:sz w:val="22"/>
          <w:szCs w:val="22"/>
        </w:rPr>
        <w:t xml:space="preserve">Het voorstel benadrukt het belang van training en bewustwording voor alle betrokken partijen, van bedrijven tot handhavers. </w:t>
      </w:r>
      <w:r w:rsidRPr="002F2808" w:rsidR="00AD32DB">
        <w:rPr>
          <w:rFonts w:ascii="Calibri" w:hAnsi="Calibri" w:cs="Calibri"/>
          <w:sz w:val="22"/>
          <w:szCs w:val="22"/>
        </w:rPr>
        <w:t xml:space="preserve">Dit is essentieel voor een zorgvuldige toepassing van het nieuwe systeem en voor het beperken van risico’s op misbruik van precursoren. Het kabinet hecht hierbij bijzondere waarde aan ondersteuning van kleinere bedrijven. </w:t>
      </w:r>
    </w:p>
    <w:p w:rsidRPr="002F2808" w:rsidR="00E81A2D" w:rsidP="002F2808" w:rsidRDefault="00786820" w14:paraId="17284471" w14:textId="584E9AE8">
      <w:pPr>
        <w:pStyle w:val="Normaalweb"/>
        <w:rPr>
          <w:rFonts w:ascii="Calibri" w:hAnsi="Calibri" w:cs="Calibri"/>
          <w:sz w:val="22"/>
          <w:szCs w:val="22"/>
        </w:rPr>
      </w:pPr>
      <w:r w:rsidRPr="002F2808">
        <w:rPr>
          <w:rFonts w:ascii="Calibri" w:hAnsi="Calibri" w:cs="Calibri"/>
          <w:sz w:val="22"/>
          <w:szCs w:val="22"/>
        </w:rPr>
        <w:t xml:space="preserve">Het voorstel introduceert een jaarlijkse rapportage van de voortgang bij de implementatie van de verordening, wat zorgt voor transparantie en de mogelijkheid om bij te sturen. Nederland steunt dit idee, aangezien het kan bijdragen aan betere handhaving en het sneller identificeren van knelpunten. Nederland zal zich inzetten voor een praktische en pragmatische invulling van de rapportage, waarbij de focus ligt op effectieve handhaving en de impact op bedrijven. </w:t>
      </w:r>
    </w:p>
    <w:p w:rsidRPr="002F2808" w:rsidR="00F74E07" w:rsidP="002F2808" w:rsidRDefault="0018227F" w14:paraId="5A509F6A" w14:textId="77777777">
      <w:pPr>
        <w:numPr>
          <w:ilvl w:val="0"/>
          <w:numId w:val="6"/>
        </w:numPr>
        <w:spacing w:line="240" w:lineRule="auto"/>
        <w:rPr>
          <w:rFonts w:ascii="Calibri" w:hAnsi="Calibri" w:cs="Calibri"/>
          <w:i/>
          <w:szCs w:val="22"/>
        </w:rPr>
      </w:pPr>
      <w:r w:rsidRPr="002F2808">
        <w:rPr>
          <w:rFonts w:ascii="Calibri" w:hAnsi="Calibri" w:cs="Calibri"/>
          <w:i/>
          <w:szCs w:val="22"/>
        </w:rPr>
        <w:t>Eerste inschatting van k</w:t>
      </w:r>
      <w:r w:rsidRPr="002F2808" w:rsidR="00F74E07">
        <w:rPr>
          <w:rFonts w:ascii="Calibri" w:hAnsi="Calibri" w:cs="Calibri"/>
          <w:i/>
          <w:szCs w:val="22"/>
        </w:rPr>
        <w:t>rachtenveld</w:t>
      </w:r>
    </w:p>
    <w:p w:rsidRPr="002F2808" w:rsidR="00137B5F" w:rsidP="002F2808" w:rsidRDefault="006D0B4A" w14:paraId="74DBA0AA" w14:textId="56D2AF6D">
      <w:pPr>
        <w:spacing w:line="240" w:lineRule="auto"/>
        <w:rPr>
          <w:rFonts w:ascii="Calibri" w:hAnsi="Calibri" w:cs="Calibri"/>
          <w:iCs/>
          <w:szCs w:val="22"/>
        </w:rPr>
      </w:pPr>
      <w:r w:rsidRPr="002F2808">
        <w:rPr>
          <w:rStyle w:val="Zwaar"/>
          <w:rFonts w:ascii="Calibri" w:hAnsi="Calibri" w:cs="Calibri"/>
          <w:b w:val="0"/>
          <w:bCs w:val="0"/>
          <w:szCs w:val="22"/>
        </w:rPr>
        <w:t>Lidstaten met grote chemische/farmaceutische industrie</w:t>
      </w:r>
      <w:r w:rsidRPr="002F2808">
        <w:rPr>
          <w:rFonts w:ascii="Calibri" w:hAnsi="Calibri" w:cs="Calibri"/>
          <w:b/>
          <w:bCs/>
          <w:szCs w:val="22"/>
        </w:rPr>
        <w:t xml:space="preserve"> </w:t>
      </w:r>
      <w:r w:rsidRPr="002F2808">
        <w:rPr>
          <w:rFonts w:ascii="Calibri" w:hAnsi="Calibri" w:cs="Calibri"/>
          <w:szCs w:val="22"/>
        </w:rPr>
        <w:t>kunnen extra nadruk leggen op regeldruk en op bescherming van legale ketens.</w:t>
      </w:r>
      <w:r w:rsidRPr="002F2808" w:rsidR="00E81A2D">
        <w:rPr>
          <w:rFonts w:ascii="Calibri" w:hAnsi="Calibri" w:cs="Calibri"/>
          <w:iCs/>
          <w:szCs w:val="22"/>
        </w:rPr>
        <w:t xml:space="preserve"> De p</w:t>
      </w:r>
      <w:r w:rsidRPr="002F2808" w:rsidR="00C152F8">
        <w:rPr>
          <w:rFonts w:ascii="Calibri" w:hAnsi="Calibri" w:cs="Calibri"/>
          <w:iCs/>
          <w:szCs w:val="22"/>
        </w:rPr>
        <w:t>ositie van het Europees Parlement is onbekend.</w:t>
      </w:r>
    </w:p>
    <w:p w:rsidRPr="002F2808" w:rsidR="00E539A8" w:rsidP="002F2808" w:rsidRDefault="00E539A8" w14:paraId="620085B7" w14:textId="77777777">
      <w:pPr>
        <w:spacing w:line="240" w:lineRule="auto"/>
        <w:ind w:left="360"/>
        <w:rPr>
          <w:rFonts w:ascii="Calibri" w:hAnsi="Calibri" w:cs="Calibri"/>
          <w:b/>
          <w:szCs w:val="22"/>
        </w:rPr>
      </w:pPr>
    </w:p>
    <w:p w:rsidRPr="002F2808" w:rsidR="00A15B58" w:rsidP="002F2808" w:rsidRDefault="00A15B58" w14:paraId="4916B704" w14:textId="77777777">
      <w:pPr>
        <w:numPr>
          <w:ilvl w:val="0"/>
          <w:numId w:val="3"/>
        </w:numPr>
        <w:spacing w:line="240" w:lineRule="auto"/>
        <w:rPr>
          <w:rFonts w:ascii="Calibri" w:hAnsi="Calibri" w:cs="Calibri"/>
          <w:i/>
          <w:iCs/>
          <w:szCs w:val="22"/>
        </w:rPr>
      </w:pPr>
      <w:r w:rsidRPr="002F2808">
        <w:rPr>
          <w:rFonts w:ascii="Calibri" w:hAnsi="Calibri" w:cs="Calibri"/>
          <w:b/>
          <w:szCs w:val="22"/>
        </w:rPr>
        <w:t xml:space="preserve">Beoordeling bevoegdheid, subsidiariteit en proportionaliteit </w:t>
      </w:r>
    </w:p>
    <w:p w:rsidRPr="002F2808" w:rsidR="00A15B58" w:rsidP="002F2808" w:rsidRDefault="00076EDE" w14:paraId="0777DFC3" w14:textId="77777777">
      <w:pPr>
        <w:pStyle w:val="Spreekpunten"/>
        <w:numPr>
          <w:ilvl w:val="0"/>
          <w:numId w:val="7"/>
        </w:numPr>
        <w:spacing w:line="240" w:lineRule="auto"/>
        <w:rPr>
          <w:rFonts w:ascii="Calibri" w:hAnsi="Calibri" w:cs="Calibri"/>
          <w:i/>
          <w:iCs/>
          <w:sz w:val="22"/>
          <w:szCs w:val="22"/>
          <w:lang w:val="nl-NL" w:eastAsia="zh-CN"/>
        </w:rPr>
      </w:pPr>
      <w:r w:rsidRPr="002F2808">
        <w:rPr>
          <w:rFonts w:ascii="Calibri" w:hAnsi="Calibri" w:cs="Calibri"/>
          <w:i/>
          <w:iCs/>
          <w:sz w:val="22"/>
          <w:szCs w:val="22"/>
          <w:lang w:val="nl-NL" w:eastAsia="zh-CN"/>
        </w:rPr>
        <w:t>B</w:t>
      </w:r>
      <w:r w:rsidRPr="002F2808" w:rsidR="00A15B58">
        <w:rPr>
          <w:rFonts w:ascii="Calibri" w:hAnsi="Calibri" w:cs="Calibri"/>
          <w:i/>
          <w:iCs/>
          <w:sz w:val="22"/>
          <w:szCs w:val="22"/>
          <w:lang w:val="nl-NL" w:eastAsia="zh-CN"/>
        </w:rPr>
        <w:t>evoegdheid</w:t>
      </w:r>
    </w:p>
    <w:p w:rsidRPr="002F2808" w:rsidR="006D1EA3" w:rsidP="002F2808" w:rsidRDefault="006D1EA3" w14:paraId="7BE06B70" w14:textId="774A371E">
      <w:pPr>
        <w:pStyle w:val="Normaalweb"/>
        <w:rPr>
          <w:rFonts w:ascii="Calibri" w:hAnsi="Calibri" w:cs="Calibri"/>
          <w:sz w:val="22"/>
          <w:szCs w:val="22"/>
        </w:rPr>
      </w:pPr>
      <w:r w:rsidRPr="002F2808">
        <w:rPr>
          <w:rFonts w:ascii="Calibri" w:hAnsi="Calibri" w:cs="Calibri"/>
          <w:sz w:val="22"/>
          <w:szCs w:val="22"/>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33 VWEU, artikel 114, eerste lid</w:t>
      </w:r>
      <w:r w:rsidRPr="002F2808" w:rsidR="00D06312">
        <w:rPr>
          <w:rFonts w:ascii="Calibri" w:hAnsi="Calibri" w:cs="Calibri"/>
          <w:sz w:val="22"/>
          <w:szCs w:val="22"/>
        </w:rPr>
        <w:t>,</w:t>
      </w:r>
      <w:r w:rsidRPr="002F2808">
        <w:rPr>
          <w:rFonts w:ascii="Calibri" w:hAnsi="Calibri" w:cs="Calibri"/>
          <w:sz w:val="22"/>
          <w:szCs w:val="22"/>
        </w:rPr>
        <w:t xml:space="preserve"> VWEU en artikel 207, tweede lid</w:t>
      </w:r>
      <w:r w:rsidRPr="002F2808" w:rsidR="00D06312">
        <w:rPr>
          <w:rFonts w:ascii="Calibri" w:hAnsi="Calibri" w:cs="Calibri"/>
          <w:sz w:val="22"/>
          <w:szCs w:val="22"/>
        </w:rPr>
        <w:t>,</w:t>
      </w:r>
      <w:r w:rsidRPr="002F2808">
        <w:rPr>
          <w:rFonts w:ascii="Calibri" w:hAnsi="Calibri" w:cs="Calibri"/>
          <w:sz w:val="22"/>
          <w:szCs w:val="22"/>
        </w:rPr>
        <w:t xml:space="preserve"> VWEU. Artikel 33 VWEU geeft de EU de bevoegdheid tot het vaststellen van maatregelen ter versterking van de douanesamenwerking. Artikel 114 , eerste lid</w:t>
      </w:r>
      <w:r w:rsidRPr="002F2808" w:rsidR="00D06312">
        <w:rPr>
          <w:rFonts w:ascii="Calibri" w:hAnsi="Calibri" w:cs="Calibri"/>
          <w:sz w:val="22"/>
          <w:szCs w:val="22"/>
        </w:rPr>
        <w:t>,</w:t>
      </w:r>
      <w:r w:rsidRPr="002F2808">
        <w:rPr>
          <w:rFonts w:ascii="Calibri" w:hAnsi="Calibri" w:cs="Calibri"/>
          <w:sz w:val="22"/>
          <w:szCs w:val="22"/>
        </w:rPr>
        <w:t xml:space="preserve"> VWEU geeft de EU de bevoegdheid tot het vaststellen van maatregelen betreffende de interne markt. Artikel 207, tweede lid</w:t>
      </w:r>
      <w:r w:rsidRPr="002F2808" w:rsidR="00D06312">
        <w:rPr>
          <w:rFonts w:ascii="Calibri" w:hAnsi="Calibri" w:cs="Calibri"/>
          <w:sz w:val="22"/>
          <w:szCs w:val="22"/>
        </w:rPr>
        <w:t>,</w:t>
      </w:r>
      <w:r w:rsidRPr="002F2808">
        <w:rPr>
          <w:rFonts w:ascii="Calibri" w:hAnsi="Calibri" w:cs="Calibri"/>
          <w:sz w:val="22"/>
          <w:szCs w:val="22"/>
        </w:rPr>
        <w:t xml:space="preserve"> VWEU geeft de EU de bevoegdheid om maatregelen vast te stellen voor de uitvoering van de gemeenschappelijke handelspolitiek van de Unie. Het kabinet kan zich vinden in deze rechtsgrondslagen. </w:t>
      </w:r>
    </w:p>
    <w:p w:rsidRPr="002F2808" w:rsidR="00DE6EE2" w:rsidP="002F2808" w:rsidRDefault="006D1EA3" w14:paraId="416244E0" w14:textId="27111DD9">
      <w:pPr>
        <w:pStyle w:val="Normaalweb"/>
        <w:rPr>
          <w:rFonts w:ascii="Calibri" w:hAnsi="Calibri" w:cs="Calibri"/>
          <w:sz w:val="22"/>
          <w:szCs w:val="22"/>
        </w:rPr>
      </w:pPr>
      <w:r w:rsidRPr="002F2808">
        <w:rPr>
          <w:rFonts w:ascii="Calibri" w:hAnsi="Calibri" w:cs="Calibri"/>
          <w:sz w:val="22"/>
          <w:szCs w:val="22"/>
        </w:rPr>
        <w:t>Op het terrein van de douane-unie en gemeenschappelijke handelspolitiek is sprake van een exclusieve bevoegdheid van de EU (artikel 3, eerste lid, sub a en e</w:t>
      </w:r>
      <w:r w:rsidRPr="002F2808" w:rsidR="00D06312">
        <w:rPr>
          <w:rFonts w:ascii="Calibri" w:hAnsi="Calibri" w:cs="Calibri"/>
          <w:sz w:val="22"/>
          <w:szCs w:val="22"/>
        </w:rPr>
        <w:t>,</w:t>
      </w:r>
      <w:r w:rsidRPr="002F2808">
        <w:rPr>
          <w:rFonts w:ascii="Calibri" w:hAnsi="Calibri" w:cs="Calibri"/>
          <w:sz w:val="22"/>
          <w:szCs w:val="22"/>
        </w:rPr>
        <w:t xml:space="preserve"> VWEU). Op het terrein van de </w:t>
      </w:r>
      <w:r w:rsidRPr="002F2808">
        <w:rPr>
          <w:rFonts w:ascii="Calibri" w:hAnsi="Calibri" w:cs="Calibri"/>
          <w:sz w:val="22"/>
          <w:szCs w:val="22"/>
        </w:rPr>
        <w:lastRenderedPageBreak/>
        <w:t>interne markt is sprake van een gedeelde bevoegdheid tussen de EU en de lidstaten (artikel 4, tweede lid, sub a</w:t>
      </w:r>
      <w:r w:rsidRPr="002F2808" w:rsidR="00D06312">
        <w:rPr>
          <w:rFonts w:ascii="Calibri" w:hAnsi="Calibri" w:cs="Calibri"/>
          <w:sz w:val="22"/>
          <w:szCs w:val="22"/>
        </w:rPr>
        <w:t>,</w:t>
      </w:r>
      <w:r w:rsidRPr="002F2808">
        <w:rPr>
          <w:rFonts w:ascii="Calibri" w:hAnsi="Calibri" w:cs="Calibri"/>
          <w:sz w:val="22"/>
          <w:szCs w:val="22"/>
        </w:rPr>
        <w:t xml:space="preserve"> VWEU)</w:t>
      </w:r>
      <w:r w:rsidRPr="002F2808" w:rsidR="004A136E">
        <w:rPr>
          <w:rFonts w:ascii="Calibri" w:hAnsi="Calibri" w:cs="Calibri"/>
          <w:sz w:val="22"/>
          <w:szCs w:val="22"/>
        </w:rPr>
        <w:t>.</w:t>
      </w:r>
      <w:r w:rsidRPr="002F2808" w:rsidR="004A136E">
        <w:rPr>
          <w:rFonts w:ascii="Calibri" w:hAnsi="Calibri" w:cs="Calibri"/>
          <w:sz w:val="22"/>
          <w:szCs w:val="22"/>
        </w:rPr>
        <w:br/>
      </w:r>
    </w:p>
    <w:p w:rsidRPr="002F2808" w:rsidR="00A15B58" w:rsidP="002F2808" w:rsidRDefault="00076EDE" w14:paraId="1CCFDE02" w14:textId="77777777">
      <w:pPr>
        <w:pStyle w:val="Spreekpunten"/>
        <w:numPr>
          <w:ilvl w:val="0"/>
          <w:numId w:val="7"/>
        </w:numPr>
        <w:spacing w:line="240" w:lineRule="auto"/>
        <w:rPr>
          <w:rFonts w:ascii="Calibri" w:hAnsi="Calibri" w:cs="Calibri"/>
          <w:i/>
          <w:iCs/>
          <w:sz w:val="22"/>
          <w:szCs w:val="22"/>
          <w:lang w:val="nl-NL" w:eastAsia="zh-CN"/>
        </w:rPr>
      </w:pPr>
      <w:r w:rsidRPr="002F2808">
        <w:rPr>
          <w:rFonts w:ascii="Calibri" w:hAnsi="Calibri" w:cs="Calibri"/>
          <w:i/>
          <w:iCs/>
          <w:sz w:val="22"/>
          <w:szCs w:val="22"/>
          <w:lang w:val="nl-NL" w:eastAsia="zh-CN"/>
        </w:rPr>
        <w:t>S</w:t>
      </w:r>
      <w:r w:rsidRPr="002F2808" w:rsidR="00A15B58">
        <w:rPr>
          <w:rFonts w:ascii="Calibri" w:hAnsi="Calibri" w:cs="Calibri"/>
          <w:i/>
          <w:iCs/>
          <w:sz w:val="22"/>
          <w:szCs w:val="22"/>
          <w:lang w:val="nl-NL" w:eastAsia="zh-CN"/>
        </w:rPr>
        <w:t>ubsidiariteit</w:t>
      </w:r>
    </w:p>
    <w:p w:rsidRPr="002F2808" w:rsidR="00CE34D8" w:rsidP="002F2808" w:rsidRDefault="00CE34D8" w14:paraId="05F4E608" w14:textId="77777777">
      <w:pPr>
        <w:pStyle w:val="Spreekpunten"/>
        <w:numPr>
          <w:ilvl w:val="0"/>
          <w:numId w:val="0"/>
        </w:numPr>
        <w:spacing w:line="240" w:lineRule="auto"/>
        <w:rPr>
          <w:rFonts w:ascii="Calibri" w:hAnsi="Calibri" w:cs="Calibri"/>
          <w:sz w:val="22"/>
          <w:szCs w:val="22"/>
          <w:lang w:val="nl-NL"/>
        </w:rPr>
      </w:pPr>
      <w:r w:rsidRPr="002F2808">
        <w:rPr>
          <w:rFonts w:ascii="Calibri" w:hAnsi="Calibri" w:cs="Calibri"/>
          <w:sz w:val="22"/>
          <w:szCs w:val="22"/>
          <w:lang w:val="nl-NL"/>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p>
    <w:p w:rsidRPr="002F2808" w:rsidR="00CE34D8" w:rsidP="002F2808" w:rsidRDefault="00CE34D8" w14:paraId="1390CEB8" w14:textId="77777777">
      <w:pPr>
        <w:pStyle w:val="Spreekpunten"/>
        <w:numPr>
          <w:ilvl w:val="0"/>
          <w:numId w:val="0"/>
        </w:numPr>
        <w:spacing w:line="240" w:lineRule="auto"/>
        <w:rPr>
          <w:rFonts w:ascii="Calibri" w:hAnsi="Calibri" w:cs="Calibri"/>
          <w:sz w:val="22"/>
          <w:szCs w:val="22"/>
          <w:lang w:val="nl-NL"/>
        </w:rPr>
      </w:pPr>
    </w:p>
    <w:p w:rsidRPr="002F2808" w:rsidR="00CE34D8" w:rsidP="002F2808" w:rsidRDefault="00CE34D8" w14:paraId="218F7894" w14:textId="20A70E74">
      <w:pPr>
        <w:pStyle w:val="Spreekpunten"/>
        <w:numPr>
          <w:ilvl w:val="0"/>
          <w:numId w:val="0"/>
        </w:numPr>
        <w:spacing w:line="240" w:lineRule="auto"/>
        <w:rPr>
          <w:rFonts w:ascii="Calibri" w:hAnsi="Calibri" w:cs="Calibri"/>
          <w:sz w:val="22"/>
          <w:szCs w:val="22"/>
          <w:lang w:val="nl-NL"/>
        </w:rPr>
      </w:pPr>
      <w:r w:rsidRPr="002F2808">
        <w:rPr>
          <w:rFonts w:ascii="Calibri" w:hAnsi="Calibri" w:cs="Calibri"/>
          <w:sz w:val="22"/>
          <w:szCs w:val="22"/>
          <w:lang w:val="nl-NL"/>
        </w:rPr>
        <w:t>Het subsidiariteitsbeginsel is niet van toepassing ten aanzien van de onderdelen die zien op de gemeenschappelijke handelspolitiek en de douane-unie aangezien handelen met betrekking tot de</w:t>
      </w:r>
      <w:r w:rsidRPr="002F2808" w:rsidR="00284933">
        <w:rPr>
          <w:rFonts w:ascii="Calibri" w:hAnsi="Calibri" w:cs="Calibri"/>
          <w:sz w:val="22"/>
          <w:szCs w:val="22"/>
          <w:lang w:val="nl-NL"/>
        </w:rPr>
        <w:t xml:space="preserve">ze terreinen tot de </w:t>
      </w:r>
      <w:r w:rsidRPr="002F2808">
        <w:rPr>
          <w:rFonts w:ascii="Calibri" w:hAnsi="Calibri" w:cs="Calibri"/>
          <w:sz w:val="22"/>
          <w:szCs w:val="22"/>
          <w:lang w:val="nl-NL"/>
        </w:rPr>
        <w:t xml:space="preserve">exclusieve bevoegdheden van de EU </w:t>
      </w:r>
      <w:r w:rsidRPr="002F2808" w:rsidR="00284933">
        <w:rPr>
          <w:rFonts w:ascii="Calibri" w:hAnsi="Calibri" w:cs="Calibri"/>
          <w:sz w:val="22"/>
          <w:szCs w:val="22"/>
          <w:lang w:val="nl-NL"/>
        </w:rPr>
        <w:t>behoort</w:t>
      </w:r>
      <w:r w:rsidRPr="002F2808">
        <w:rPr>
          <w:rFonts w:ascii="Calibri" w:hAnsi="Calibri" w:cs="Calibri"/>
          <w:sz w:val="22"/>
          <w:szCs w:val="22"/>
          <w:lang w:val="nl-NL"/>
        </w:rPr>
        <w:t>.</w:t>
      </w:r>
    </w:p>
    <w:p w:rsidRPr="002F2808" w:rsidR="00CE34D8" w:rsidP="002F2808" w:rsidRDefault="00CE34D8" w14:paraId="71DAEBE4" w14:textId="77777777">
      <w:pPr>
        <w:pStyle w:val="Spreekpunten"/>
        <w:numPr>
          <w:ilvl w:val="0"/>
          <w:numId w:val="0"/>
        </w:numPr>
        <w:spacing w:line="240" w:lineRule="auto"/>
        <w:rPr>
          <w:rFonts w:ascii="Calibri" w:hAnsi="Calibri" w:cs="Calibri"/>
          <w:sz w:val="22"/>
          <w:szCs w:val="22"/>
          <w:lang w:val="nl-NL"/>
        </w:rPr>
      </w:pPr>
    </w:p>
    <w:p w:rsidRPr="002F2808" w:rsidR="006D5A43" w:rsidP="002F2808" w:rsidRDefault="00CE34D8" w14:paraId="4EDA4951" w14:textId="0ADF445C">
      <w:pPr>
        <w:pStyle w:val="Spreekpunten"/>
        <w:numPr>
          <w:ilvl w:val="0"/>
          <w:numId w:val="0"/>
        </w:numPr>
        <w:spacing w:line="240" w:lineRule="auto"/>
        <w:rPr>
          <w:rFonts w:ascii="Calibri" w:hAnsi="Calibri" w:cs="Calibri"/>
          <w:sz w:val="22"/>
          <w:szCs w:val="22"/>
          <w:lang w:val="nl-NL"/>
        </w:rPr>
      </w:pPr>
      <w:r w:rsidRPr="002F2808">
        <w:rPr>
          <w:rFonts w:ascii="Calibri" w:hAnsi="Calibri" w:cs="Calibri"/>
          <w:sz w:val="22"/>
          <w:szCs w:val="22"/>
          <w:lang w:val="nl-NL"/>
        </w:rPr>
        <w:t>Het oordeel van het kabinet ten aanzien van subsidiariteit van de onderdelen van het voorstel die zien op de interne markt, waarbij er sprake is van een gedeelde bevoegdheid, is positief. Het voorstel heeft tot doel om de illegale productie van drugs tegen te gaan door het vaststellen van geharmoniseerde regels omtrent de handel van drugsprecursoren. Gezien de grensoverschrijdende aard van de interne markt, kan de controle en monitoring van drugsprecursoren onvoldoende door de lidstaten op centraal, regionaal of lokaal niveau worden verwezenlijkt. Daarom is een EU-aanpak wel nodig. Het doel van het voorstel kan daarnaast het beste door Uniebreed optreden worden bereikt, doordat het grensoverschrijdend optreden tegen illegale handel mogelijk zou maken en geharmoniseerde regelgeving bevorderend zou zijn voor de legale handel van chemicaliën op de interne markt.</w:t>
      </w:r>
      <w:r w:rsidRPr="002F2808" w:rsidR="00713026">
        <w:rPr>
          <w:rFonts w:ascii="Calibri" w:hAnsi="Calibri" w:cs="Calibri"/>
          <w:sz w:val="22"/>
          <w:szCs w:val="22"/>
          <w:lang w:val="nl-NL"/>
        </w:rPr>
        <w:t xml:space="preserve"> Harmonisatie van de regels voorkomt dat criminele netwerken via lidstaten met zwakkere regels de EU binnenkomen.</w:t>
      </w:r>
    </w:p>
    <w:p w:rsidRPr="002F2808" w:rsidR="00CE34D8" w:rsidP="002F2808" w:rsidRDefault="00CE34D8" w14:paraId="1B63BF36" w14:textId="77777777">
      <w:pPr>
        <w:pStyle w:val="Spreekpunten"/>
        <w:numPr>
          <w:ilvl w:val="0"/>
          <w:numId w:val="0"/>
        </w:numPr>
        <w:spacing w:line="240" w:lineRule="auto"/>
        <w:rPr>
          <w:rFonts w:ascii="Calibri" w:hAnsi="Calibri" w:cs="Calibri"/>
          <w:sz w:val="22"/>
          <w:szCs w:val="22"/>
          <w:lang w:val="nl-NL"/>
        </w:rPr>
      </w:pPr>
    </w:p>
    <w:p w:rsidRPr="002F2808" w:rsidR="00A15B58" w:rsidP="002F2808" w:rsidRDefault="00076EDE" w14:paraId="6D84C5F8" w14:textId="77777777">
      <w:pPr>
        <w:pStyle w:val="Spreekpunten"/>
        <w:numPr>
          <w:ilvl w:val="0"/>
          <w:numId w:val="7"/>
        </w:numPr>
        <w:spacing w:line="240" w:lineRule="auto"/>
        <w:rPr>
          <w:rFonts w:ascii="Calibri" w:hAnsi="Calibri" w:cs="Calibri"/>
          <w:i/>
          <w:iCs/>
          <w:sz w:val="22"/>
          <w:szCs w:val="22"/>
          <w:lang w:val="nl-NL" w:eastAsia="zh-CN"/>
        </w:rPr>
      </w:pPr>
      <w:r w:rsidRPr="002F2808">
        <w:rPr>
          <w:rFonts w:ascii="Calibri" w:hAnsi="Calibri" w:cs="Calibri"/>
          <w:i/>
          <w:iCs/>
          <w:sz w:val="22"/>
          <w:szCs w:val="22"/>
          <w:lang w:val="nl-NL" w:eastAsia="zh-CN"/>
        </w:rPr>
        <w:t>P</w:t>
      </w:r>
      <w:r w:rsidRPr="002F2808" w:rsidR="00A15B58">
        <w:rPr>
          <w:rFonts w:ascii="Calibri" w:hAnsi="Calibri" w:cs="Calibri"/>
          <w:i/>
          <w:iCs/>
          <w:sz w:val="22"/>
          <w:szCs w:val="22"/>
          <w:lang w:val="nl-NL" w:eastAsia="zh-CN"/>
        </w:rPr>
        <w:t>roportionaliteit</w:t>
      </w:r>
    </w:p>
    <w:p w:rsidRPr="002F2808" w:rsidR="00CE34D8" w:rsidP="002F2808" w:rsidRDefault="00CE34D8" w14:paraId="0059E971" w14:textId="5992DC87">
      <w:pPr>
        <w:pStyle w:val="Spreekpunten"/>
        <w:numPr>
          <w:ilvl w:val="0"/>
          <w:numId w:val="0"/>
        </w:numPr>
        <w:spacing w:line="240" w:lineRule="auto"/>
        <w:rPr>
          <w:rFonts w:ascii="Calibri" w:hAnsi="Calibri" w:cs="Calibri"/>
          <w:sz w:val="22"/>
          <w:szCs w:val="22"/>
          <w:lang w:val="nl-NL" w:eastAsia="zh-CN"/>
        </w:rPr>
      </w:pPr>
      <w:r w:rsidRPr="002F2808">
        <w:rPr>
          <w:rFonts w:ascii="Calibri" w:hAnsi="Calibri" w:cs="Calibri"/>
          <w:sz w:val="22"/>
          <w:szCs w:val="22"/>
          <w:lang w:val="nl-NL" w:eastAsia="zh-CN"/>
        </w:rPr>
        <w:t>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w:t>
      </w:r>
      <w:r w:rsidRPr="002F2808" w:rsidR="00D06312">
        <w:rPr>
          <w:rFonts w:ascii="Calibri" w:hAnsi="Calibri" w:cs="Calibri"/>
          <w:sz w:val="22"/>
          <w:szCs w:val="22"/>
          <w:lang w:val="nl-NL" w:eastAsia="zh-CN"/>
        </w:rPr>
        <w:t>, met aandachtspunten</w:t>
      </w:r>
      <w:r w:rsidRPr="002F2808">
        <w:rPr>
          <w:rFonts w:ascii="Calibri" w:hAnsi="Calibri" w:cs="Calibri"/>
          <w:sz w:val="22"/>
          <w:szCs w:val="22"/>
          <w:lang w:val="nl-NL" w:eastAsia="zh-CN"/>
        </w:rPr>
        <w:t>. Het voorstel heeft tot doel om de illegale productie van drugs tegen te gaan door het vaststellen van geharmoniseerde regels omtrent de handel van drugsprecursoren. Het voorgestelde optreden is geschikt om deze doelstelling te bereiken, omdat de introductie van verscheidene categorieën voor precursor</w:t>
      </w:r>
      <w:r w:rsidRPr="002F2808" w:rsidR="008B68C5">
        <w:rPr>
          <w:rFonts w:ascii="Calibri" w:hAnsi="Calibri" w:cs="Calibri"/>
          <w:sz w:val="22"/>
          <w:szCs w:val="22"/>
          <w:lang w:val="nl-NL" w:eastAsia="zh-CN"/>
        </w:rPr>
        <w:t>en</w:t>
      </w:r>
      <w:r w:rsidRPr="002F2808">
        <w:rPr>
          <w:rFonts w:ascii="Calibri" w:hAnsi="Calibri" w:cs="Calibri"/>
          <w:sz w:val="22"/>
          <w:szCs w:val="22"/>
          <w:lang w:val="nl-NL" w:eastAsia="zh-CN"/>
        </w:rPr>
        <w:t xml:space="preserve">, de samenvoeging van bestaande wetgeving en de </w:t>
      </w:r>
      <w:r w:rsidRPr="002F2808" w:rsidR="00786820">
        <w:rPr>
          <w:rFonts w:ascii="Calibri" w:hAnsi="Calibri" w:cs="Calibri"/>
          <w:sz w:val="22"/>
          <w:szCs w:val="22"/>
          <w:lang w:val="nl-NL" w:eastAsia="zh-CN"/>
        </w:rPr>
        <w:t>daar bijhorende</w:t>
      </w:r>
      <w:r w:rsidRPr="002F2808">
        <w:rPr>
          <w:rFonts w:ascii="Calibri" w:hAnsi="Calibri" w:cs="Calibri"/>
          <w:sz w:val="22"/>
          <w:szCs w:val="22"/>
          <w:lang w:val="nl-NL" w:eastAsia="zh-CN"/>
        </w:rPr>
        <w:t xml:space="preserve"> digitalisering en vereenvoudiging van toezicht, en de harmonisatie van interne en externe handelscontroles allemaal wezenlijk bijdragen aan het harmoniseren van de handel van drugsprecursoren en het tegengaan van illegale productie. Bovendien gaat het voorgestelde optreden niet verder dan noodzakelijk, omdat het voornamelijk een modernisering van het bestaande kader betreft met een focus op digitalisering, vereenvoudiging en efficiëntere handhaving. Hiermee wordt er voldoende ruimte overgelaten aan de lidstaten. </w:t>
      </w:r>
    </w:p>
    <w:p w:rsidRPr="002F2808" w:rsidR="00C152F8" w:rsidP="002F2808" w:rsidRDefault="00CE34D8" w14:paraId="03F31D80" w14:textId="35E0E770">
      <w:pPr>
        <w:pStyle w:val="Spreekpunten"/>
        <w:numPr>
          <w:ilvl w:val="0"/>
          <w:numId w:val="0"/>
        </w:numPr>
        <w:spacing w:line="240" w:lineRule="auto"/>
        <w:rPr>
          <w:rFonts w:ascii="Calibri" w:hAnsi="Calibri" w:cs="Calibri"/>
          <w:sz w:val="22"/>
          <w:szCs w:val="22"/>
          <w:lang w:val="nl-NL" w:eastAsia="zh-CN"/>
        </w:rPr>
      </w:pPr>
      <w:r w:rsidRPr="002F2808">
        <w:rPr>
          <w:rFonts w:ascii="Calibri" w:hAnsi="Calibri" w:cs="Calibri"/>
          <w:sz w:val="22"/>
          <w:szCs w:val="22"/>
          <w:lang w:val="nl-NL" w:eastAsia="zh-CN"/>
        </w:rPr>
        <w:t xml:space="preserve">Wel heeft het kabinet enkele aandachtspunten bij dit voorstel. </w:t>
      </w:r>
      <w:r w:rsidRPr="002F2808" w:rsidR="004E6CAE">
        <w:rPr>
          <w:rFonts w:ascii="Calibri" w:hAnsi="Calibri" w:cs="Calibri"/>
          <w:sz w:val="22"/>
          <w:szCs w:val="22"/>
          <w:lang w:val="nl-NL" w:eastAsia="zh-CN"/>
        </w:rPr>
        <w:t xml:space="preserve">Allereerst </w:t>
      </w:r>
      <w:r w:rsidRPr="002F2808">
        <w:rPr>
          <w:rFonts w:ascii="Calibri" w:hAnsi="Calibri" w:cs="Calibri"/>
          <w:sz w:val="22"/>
          <w:szCs w:val="22"/>
          <w:lang w:val="nl-NL" w:eastAsia="zh-CN"/>
        </w:rPr>
        <w:t xml:space="preserve">dat de jaarlijkse opgaafverplichting voor ondernemingen wordt afgeschaft met dit voorstel. Dit kan een lastenverzwaring als gevolg hebben voor toezichthoudende autoriteiten van de lidstaten, nu zonder deze informatie toezichthouders vaker op bezoek zullen moeten gaan bij ondernemingen ten behoeve van effectief toezicht. Tevens is hierbij een aandachtspunt dat de speciale vergunningen en toezicht op de export van precursoren zijn afgeschaft. </w:t>
      </w:r>
      <w:r w:rsidRPr="002F2808" w:rsidR="00490694">
        <w:rPr>
          <w:rFonts w:ascii="Calibri" w:hAnsi="Calibri" w:cs="Calibri"/>
          <w:sz w:val="22"/>
          <w:szCs w:val="22"/>
          <w:lang w:val="nl-NL" w:eastAsia="zh-CN"/>
        </w:rPr>
        <w:t xml:space="preserve">Het kabinet zal nog om toelichting vragen over de uiteindelijke uitvoeringslasten die hierdoor bij de toezichthouden autoriteiten komen te </w:t>
      </w:r>
      <w:r w:rsidRPr="002F2808" w:rsidR="00490694">
        <w:rPr>
          <w:rFonts w:ascii="Calibri" w:hAnsi="Calibri" w:cs="Calibri"/>
          <w:sz w:val="22"/>
          <w:szCs w:val="22"/>
          <w:lang w:val="nl-NL" w:eastAsia="zh-CN"/>
        </w:rPr>
        <w:lastRenderedPageBreak/>
        <w:t>liggen. Het kabinet zal er hierbij</w:t>
      </w:r>
      <w:r w:rsidRPr="002F2808">
        <w:rPr>
          <w:rFonts w:ascii="Calibri" w:hAnsi="Calibri" w:cs="Calibri"/>
          <w:sz w:val="22"/>
          <w:szCs w:val="22"/>
          <w:lang w:val="nl-NL" w:eastAsia="zh-CN"/>
        </w:rPr>
        <w:t xml:space="preserve"> op aandringen dat de toezicht voor de toezichthouders van de lidstaten zo uitvoerbaar en simpel mogelijk zal blijven.</w:t>
      </w:r>
    </w:p>
    <w:p w:rsidRPr="002F2808" w:rsidR="00A15B58" w:rsidP="002F2808" w:rsidRDefault="00A15B58" w14:paraId="19ABB3BB" w14:textId="77777777">
      <w:pPr>
        <w:spacing w:line="240" w:lineRule="auto"/>
        <w:rPr>
          <w:rFonts w:ascii="Calibri" w:hAnsi="Calibri" w:cs="Calibri"/>
          <w:b/>
          <w:szCs w:val="22"/>
        </w:rPr>
      </w:pPr>
    </w:p>
    <w:p w:rsidRPr="002F2808" w:rsidR="00CB7FF8" w:rsidP="002F2808" w:rsidRDefault="00CB7FF8" w14:paraId="6B1AD17E" w14:textId="77777777">
      <w:pPr>
        <w:numPr>
          <w:ilvl w:val="0"/>
          <w:numId w:val="3"/>
        </w:numPr>
        <w:spacing w:line="240" w:lineRule="auto"/>
        <w:rPr>
          <w:rFonts w:ascii="Calibri" w:hAnsi="Calibri" w:cs="Calibri"/>
          <w:b/>
          <w:szCs w:val="22"/>
        </w:rPr>
      </w:pPr>
      <w:r w:rsidRPr="002F2808">
        <w:rPr>
          <w:rFonts w:ascii="Calibri" w:hAnsi="Calibri" w:cs="Calibri"/>
          <w:b/>
          <w:szCs w:val="22"/>
        </w:rPr>
        <w:t xml:space="preserve">Financiële </w:t>
      </w:r>
      <w:r w:rsidRPr="002F2808" w:rsidR="00313255">
        <w:rPr>
          <w:rFonts w:ascii="Calibri" w:hAnsi="Calibri" w:cs="Calibri"/>
          <w:b/>
          <w:szCs w:val="22"/>
        </w:rPr>
        <w:t>consequenties</w:t>
      </w:r>
      <w:r w:rsidRPr="002F2808">
        <w:rPr>
          <w:rFonts w:ascii="Calibri" w:hAnsi="Calibri" w:cs="Calibri"/>
          <w:b/>
          <w:szCs w:val="22"/>
        </w:rPr>
        <w:t>, gevolgen voor regeldruk</w:t>
      </w:r>
      <w:r w:rsidRPr="002F2808" w:rsidR="000A39A4">
        <w:rPr>
          <w:rFonts w:ascii="Calibri" w:hAnsi="Calibri" w:cs="Calibri"/>
          <w:b/>
          <w:szCs w:val="22"/>
        </w:rPr>
        <w:t>, concurrentiekracht en geopolitieke aspecten</w:t>
      </w:r>
      <w:r w:rsidRPr="002F2808">
        <w:rPr>
          <w:rFonts w:ascii="Calibri" w:hAnsi="Calibri" w:cs="Calibri"/>
          <w:b/>
          <w:szCs w:val="22"/>
        </w:rPr>
        <w:t xml:space="preserve"> </w:t>
      </w:r>
    </w:p>
    <w:p w:rsidRPr="002F2808" w:rsidR="00CB7FF8" w:rsidP="002F2808" w:rsidRDefault="00CB7FF8" w14:paraId="7EE3B054" w14:textId="77777777">
      <w:pPr>
        <w:numPr>
          <w:ilvl w:val="0"/>
          <w:numId w:val="8"/>
        </w:numPr>
        <w:spacing w:line="240" w:lineRule="auto"/>
        <w:outlineLvl w:val="0"/>
        <w:rPr>
          <w:rFonts w:ascii="Calibri" w:hAnsi="Calibri" w:cs="Calibri"/>
          <w:bCs/>
          <w:i/>
          <w:iCs/>
          <w:szCs w:val="22"/>
        </w:rPr>
      </w:pPr>
      <w:r w:rsidRPr="002F2808">
        <w:rPr>
          <w:rFonts w:ascii="Calibri" w:hAnsi="Calibri" w:cs="Calibri"/>
          <w:bCs/>
          <w:i/>
          <w:iCs/>
          <w:szCs w:val="22"/>
        </w:rPr>
        <w:t>Consequenties EU-begroting</w:t>
      </w:r>
    </w:p>
    <w:p w:rsidRPr="002F2808" w:rsidR="006461C1" w:rsidP="002F2808" w:rsidRDefault="006461C1" w14:paraId="02E6A1F3" w14:textId="7F7CA7D3">
      <w:pPr>
        <w:spacing w:line="240" w:lineRule="auto"/>
        <w:outlineLvl w:val="0"/>
        <w:rPr>
          <w:rFonts w:ascii="Calibri" w:hAnsi="Calibri" w:cs="Calibri"/>
          <w:bCs/>
          <w:szCs w:val="22"/>
        </w:rPr>
      </w:pPr>
      <w:r w:rsidRPr="002F2808">
        <w:rPr>
          <w:rFonts w:ascii="Calibri" w:hAnsi="Calibri" w:cs="Calibri"/>
          <w:bCs/>
          <w:szCs w:val="22"/>
        </w:rPr>
        <w:t>In het voorstel wordt geschat dat de benodigde begrotingsmiddelen voor de EU na 2027 als volgt zijn: voor het interne markt IT-systeem en personele middelen wordt een begrotingsbehoefte van EUR 1,322 miljoen per jaar voorzien, te beginnen vanaf 2028. Voor externe handel wordt een voorlopige begrotingsanalyse gepresenteerd, die de kosten inschat op maximaal EUR 24,148 miljoen, afhankelijk van het gekozen IT-oplossingsmodel. Daarnaast wordt de kostprijs van een databank voor drugsprecursoren geschat op EUR 0,530 miljoen, inclusief personele middelen. Deze kosten zullen moeten worden gefinancierd uit de EU-begroting voor de periode na 2027, binnen het kader van programma’s die gericht zijn op digitale transformatie en marktintegratie.</w:t>
      </w:r>
    </w:p>
    <w:p w:rsidRPr="002F2808" w:rsidR="006461C1" w:rsidP="002F2808" w:rsidRDefault="006461C1" w14:paraId="64DF9C53" w14:textId="77777777">
      <w:pPr>
        <w:spacing w:line="240" w:lineRule="auto"/>
        <w:outlineLvl w:val="0"/>
        <w:rPr>
          <w:rFonts w:ascii="Calibri" w:hAnsi="Calibri" w:cs="Calibri"/>
          <w:bCs/>
          <w:szCs w:val="22"/>
        </w:rPr>
      </w:pPr>
    </w:p>
    <w:p w:rsidRPr="002F2808" w:rsidR="006461C1" w:rsidP="002F2808" w:rsidRDefault="006461C1" w14:paraId="656B521D" w14:textId="0E35F768">
      <w:pPr>
        <w:spacing w:line="240" w:lineRule="auto"/>
        <w:outlineLvl w:val="0"/>
        <w:rPr>
          <w:rFonts w:ascii="Calibri" w:hAnsi="Calibri" w:cs="Calibri"/>
          <w:bCs/>
          <w:szCs w:val="22"/>
        </w:rPr>
      </w:pPr>
      <w:r w:rsidRPr="002F2808">
        <w:rPr>
          <w:rFonts w:ascii="Calibri" w:hAnsi="Calibri" w:cs="Calibri"/>
          <w:bCs/>
          <w:szCs w:val="22"/>
        </w:rPr>
        <w:t xml:space="preserve">Het kabinet is van mening dat de benodigde EU-middelen gevonden dienen te worden binnen de in de Raad afgesproken financiële kaders van de EU-begroting 2021-2027, en dat deze moeten passen bij een prudente ontwikkeling van de jaarbegroting. </w:t>
      </w:r>
      <w:r w:rsidRPr="002F2808" w:rsidR="004045EE">
        <w:rPr>
          <w:rFonts w:ascii="Calibri" w:hAnsi="Calibri" w:cs="Calibri"/>
          <w:bCs/>
          <w:szCs w:val="22"/>
        </w:rPr>
        <w:t>Het kabinet wil niet vooruitlopen op de integrale afweging van middelen na 2027.</w:t>
      </w:r>
    </w:p>
    <w:p w:rsidRPr="002F2808" w:rsidR="00406D8A" w:rsidP="002F2808" w:rsidRDefault="00406D8A" w14:paraId="7228B157" w14:textId="77777777">
      <w:pPr>
        <w:spacing w:line="240" w:lineRule="auto"/>
        <w:outlineLvl w:val="0"/>
        <w:rPr>
          <w:rFonts w:ascii="Calibri" w:hAnsi="Calibri" w:cs="Calibri"/>
          <w:bCs/>
          <w:szCs w:val="22"/>
        </w:rPr>
      </w:pPr>
    </w:p>
    <w:p w:rsidRPr="002F2808" w:rsidR="006461C1" w:rsidP="002F2808" w:rsidRDefault="004045EE" w14:paraId="4E7D27AD" w14:textId="08D86F0B">
      <w:pPr>
        <w:spacing w:line="240" w:lineRule="auto"/>
        <w:outlineLvl w:val="0"/>
        <w:rPr>
          <w:rFonts w:ascii="Calibri" w:hAnsi="Calibri" w:cs="Calibri"/>
          <w:bCs/>
          <w:szCs w:val="22"/>
        </w:rPr>
      </w:pPr>
      <w:r w:rsidRPr="002F2808">
        <w:rPr>
          <w:rFonts w:ascii="Calibri" w:hAnsi="Calibri" w:cs="Calibri"/>
          <w:bCs/>
          <w:szCs w:val="22"/>
        </w:rPr>
        <w:t xml:space="preserve">De implementatie van een gecentraliseerd elektronisch systeem </w:t>
      </w:r>
      <w:r w:rsidRPr="002F2808" w:rsidR="006461C1">
        <w:rPr>
          <w:rFonts w:ascii="Calibri" w:hAnsi="Calibri" w:cs="Calibri"/>
          <w:bCs/>
          <w:szCs w:val="22"/>
        </w:rPr>
        <w:t>zal de EU-autoriteiten en lidstaten verplichten om de naleving van de regels met betrekking tot vergunningen, registraties en hoeveelheden drugsprecursoren te monitoren, wat naar verwachting zal leiden tot een toename van de personeelsbehoefte (FTE). Hoewel het voorstel geen specifieke aantallen FTE’s noemt, wordt ervan uitgegaan dat er extra middelen nodig zullen zijn om deze administratieve taken te beheren. Daarnaast moet de ontwikkeling van de administratieve uitgaven in lijn zijn met de ER-conclusies van juli 2020 over het MFK-akkoord. Het kabinet is kritisch over de stijging van het aantal werknemers.</w:t>
      </w:r>
    </w:p>
    <w:p w:rsidRPr="002F2808" w:rsidR="006461C1" w:rsidP="002F2808" w:rsidRDefault="006461C1" w14:paraId="5CA9591F" w14:textId="77777777">
      <w:pPr>
        <w:spacing w:line="240" w:lineRule="auto"/>
        <w:outlineLvl w:val="0"/>
        <w:rPr>
          <w:rFonts w:ascii="Calibri" w:hAnsi="Calibri" w:cs="Calibri"/>
          <w:bCs/>
          <w:szCs w:val="22"/>
        </w:rPr>
      </w:pPr>
    </w:p>
    <w:p w:rsidRPr="002F2808" w:rsidR="00CB7FF8" w:rsidP="002F2808" w:rsidRDefault="00CB7FF8" w14:paraId="7FF07388" w14:textId="77777777">
      <w:pPr>
        <w:numPr>
          <w:ilvl w:val="0"/>
          <w:numId w:val="8"/>
        </w:numPr>
        <w:spacing w:line="240" w:lineRule="auto"/>
        <w:outlineLvl w:val="0"/>
        <w:rPr>
          <w:rFonts w:ascii="Calibri" w:hAnsi="Calibri" w:cs="Calibri"/>
          <w:bCs/>
          <w:i/>
          <w:iCs/>
          <w:szCs w:val="22"/>
        </w:rPr>
      </w:pPr>
      <w:r w:rsidRPr="002F2808">
        <w:rPr>
          <w:rFonts w:ascii="Calibri" w:hAnsi="Calibri" w:cs="Calibri"/>
          <w:bCs/>
          <w:i/>
          <w:iCs/>
          <w:szCs w:val="22"/>
        </w:rPr>
        <w:t>Financiële consequenties (incl. personele)</w:t>
      </w:r>
      <w:r w:rsidRPr="002F2808" w:rsidR="000A39A4">
        <w:rPr>
          <w:rFonts w:ascii="Calibri" w:hAnsi="Calibri" w:cs="Calibri"/>
          <w:bCs/>
          <w:i/>
          <w:iCs/>
          <w:szCs w:val="22"/>
        </w:rPr>
        <w:t xml:space="preserve"> </w:t>
      </w:r>
      <w:r w:rsidRPr="002F2808">
        <w:rPr>
          <w:rFonts w:ascii="Calibri" w:hAnsi="Calibri" w:cs="Calibri"/>
          <w:bCs/>
          <w:i/>
          <w:iCs/>
          <w:szCs w:val="22"/>
        </w:rPr>
        <w:t xml:space="preserve">voor rijksoverheid en/ of </w:t>
      </w:r>
      <w:r w:rsidRPr="002F2808" w:rsidR="002F38E5">
        <w:rPr>
          <w:rFonts w:ascii="Calibri" w:hAnsi="Calibri" w:cs="Calibri"/>
          <w:bCs/>
          <w:i/>
          <w:iCs/>
          <w:szCs w:val="22"/>
        </w:rPr>
        <w:t>mede</w:t>
      </w:r>
      <w:r w:rsidRPr="002F2808">
        <w:rPr>
          <w:rFonts w:ascii="Calibri" w:hAnsi="Calibri" w:cs="Calibri"/>
          <w:bCs/>
          <w:i/>
          <w:iCs/>
          <w:szCs w:val="22"/>
        </w:rPr>
        <w:t>overheden</w:t>
      </w:r>
    </w:p>
    <w:p w:rsidRPr="002F2808" w:rsidR="0017461C" w:rsidP="002F2808" w:rsidRDefault="0017461C" w14:paraId="02A951FA" w14:textId="64BEFC77">
      <w:pPr>
        <w:spacing w:line="240" w:lineRule="auto"/>
        <w:outlineLvl w:val="0"/>
        <w:rPr>
          <w:rFonts w:ascii="Calibri" w:hAnsi="Calibri" w:cs="Calibri"/>
          <w:bCs/>
          <w:szCs w:val="22"/>
        </w:rPr>
      </w:pPr>
      <w:r w:rsidRPr="002F2808">
        <w:rPr>
          <w:rFonts w:ascii="Calibri" w:hAnsi="Calibri" w:cs="Calibri"/>
          <w:bCs/>
          <w:szCs w:val="22"/>
        </w:rPr>
        <w:t>De financiële consequenties voor de rijksoverheid en medeoverheden zullen vooral betrekking hebben op de kosten van implementatie en handhaving. De overgang naar een gecentraliseerd, digitaal licentiesysteem vereist investeringen in IT-infrastructuur en digitale systemen voor vergunningen en meldingen. Dit zal de rijksoverheid en lokale autoriteiten kosten met zich meebrengen in de vorm van aanpassingen aan bestaande systemen en de oprichting van nieuwe controlemechanismen.</w:t>
      </w:r>
      <w:r w:rsidRPr="002F2808" w:rsidR="004045EE">
        <w:rPr>
          <w:rFonts w:ascii="Calibri" w:hAnsi="Calibri" w:cs="Calibri"/>
          <w:bCs/>
          <w:szCs w:val="22"/>
        </w:rPr>
        <w:t xml:space="preserve"> </w:t>
      </w:r>
    </w:p>
    <w:p w:rsidRPr="002F2808" w:rsidR="002F6A66" w:rsidP="002F2808" w:rsidRDefault="002F6A66" w14:paraId="3C39CD4A" w14:textId="77777777">
      <w:pPr>
        <w:spacing w:line="240" w:lineRule="auto"/>
        <w:outlineLvl w:val="0"/>
        <w:rPr>
          <w:rFonts w:ascii="Calibri" w:hAnsi="Calibri" w:cs="Calibri"/>
          <w:bCs/>
          <w:szCs w:val="22"/>
        </w:rPr>
      </w:pPr>
    </w:p>
    <w:p w:rsidRPr="002F2808" w:rsidR="005B439E" w:rsidP="002F2808" w:rsidRDefault="0017461C" w14:paraId="20AF424E" w14:textId="77777777">
      <w:pPr>
        <w:spacing w:line="240" w:lineRule="auto"/>
        <w:outlineLvl w:val="0"/>
        <w:rPr>
          <w:rFonts w:ascii="Calibri" w:hAnsi="Calibri" w:cs="Calibri"/>
          <w:bCs/>
          <w:szCs w:val="22"/>
        </w:rPr>
      </w:pPr>
      <w:r w:rsidRPr="002F2808">
        <w:rPr>
          <w:rFonts w:ascii="Calibri" w:hAnsi="Calibri" w:cs="Calibri"/>
          <w:bCs/>
          <w:szCs w:val="22"/>
        </w:rPr>
        <w:t>Daarnaast zullen er extra personeelskosten zijn voor het trainen van medewerkers die de nieuwe systemen en procedures moeten implementeren. Dit geldt zowel voor handhavingsinstanties als voor de toezichthouders die verantwoordelijk zijn voor de naleving van de regels.</w:t>
      </w:r>
      <w:r w:rsidRPr="002F2808" w:rsidR="00A53D3D">
        <w:rPr>
          <w:rFonts w:ascii="Calibri" w:hAnsi="Calibri" w:cs="Calibri"/>
          <w:bCs/>
          <w:szCs w:val="22"/>
        </w:rPr>
        <w:t xml:space="preserve"> </w:t>
      </w:r>
    </w:p>
    <w:p w:rsidRPr="002F2808" w:rsidR="0017461C" w:rsidP="002F2808" w:rsidRDefault="00A53D3D" w14:paraId="07036635" w14:textId="17C94D82">
      <w:pPr>
        <w:spacing w:line="240" w:lineRule="auto"/>
        <w:outlineLvl w:val="0"/>
        <w:rPr>
          <w:rFonts w:ascii="Calibri" w:hAnsi="Calibri" w:cs="Calibri"/>
          <w:bCs/>
          <w:szCs w:val="22"/>
        </w:rPr>
      </w:pPr>
      <w:r w:rsidRPr="002F2808">
        <w:rPr>
          <w:rFonts w:ascii="Calibri" w:hAnsi="Calibri" w:cs="Calibri"/>
          <w:bCs/>
          <w:szCs w:val="22"/>
        </w:rPr>
        <w:t>De (eventuele) budgettaire gevolgen worden ingepast op de begroting van het/de beleidsverantwoordelijk(e)) departement(en), conform de regels van de budgetdiscipline.</w:t>
      </w:r>
    </w:p>
    <w:p w:rsidRPr="002F2808" w:rsidR="0017461C" w:rsidP="002F2808" w:rsidRDefault="0017461C" w14:paraId="2874B61A" w14:textId="77777777">
      <w:pPr>
        <w:spacing w:line="240" w:lineRule="auto"/>
        <w:outlineLvl w:val="0"/>
        <w:rPr>
          <w:rFonts w:ascii="Calibri" w:hAnsi="Calibri" w:cs="Calibri"/>
          <w:bCs/>
          <w:szCs w:val="22"/>
        </w:rPr>
      </w:pPr>
    </w:p>
    <w:p w:rsidRPr="002F2808" w:rsidR="0017461C" w:rsidP="002F2808" w:rsidRDefault="0017461C" w14:paraId="3B60872D" w14:textId="207ADBCA">
      <w:pPr>
        <w:spacing w:line="240" w:lineRule="auto"/>
        <w:outlineLvl w:val="0"/>
        <w:rPr>
          <w:rFonts w:ascii="Calibri" w:hAnsi="Calibri" w:cs="Calibri"/>
          <w:bCs/>
          <w:szCs w:val="22"/>
          <w:highlight w:val="yellow"/>
        </w:rPr>
      </w:pPr>
      <w:r w:rsidRPr="002F2808">
        <w:rPr>
          <w:rFonts w:ascii="Calibri" w:hAnsi="Calibri" w:cs="Calibri"/>
          <w:bCs/>
          <w:szCs w:val="22"/>
        </w:rPr>
        <w:t>Op lange termijn kunnen deze kosten worden gecompenseerd door een efficiënter systeem, wat zorgt voor minder handmatige administratie en snellere en effectievere controle op precursoren. De lagere administratieve lasten voor de overheid kunnen de kosten van toezicht en handhaving uiteindelijk verlagen, maar de initiële investeringen in digitalisering zullen een belangrijke financiële consequentie zijn.</w:t>
      </w:r>
    </w:p>
    <w:p w:rsidRPr="002F2808" w:rsidR="006461C1" w:rsidP="002F2808" w:rsidRDefault="006461C1" w14:paraId="2B4FD0C9" w14:textId="14B815DC">
      <w:pPr>
        <w:spacing w:line="240" w:lineRule="auto"/>
        <w:outlineLvl w:val="0"/>
        <w:rPr>
          <w:rFonts w:ascii="Calibri" w:hAnsi="Calibri" w:cs="Calibri"/>
          <w:bCs/>
          <w:szCs w:val="22"/>
        </w:rPr>
      </w:pPr>
    </w:p>
    <w:p w:rsidRPr="002F2808" w:rsidR="00CB7FF8" w:rsidP="002F2808" w:rsidRDefault="00CB7FF8" w14:paraId="468D33B3" w14:textId="1E504733">
      <w:pPr>
        <w:numPr>
          <w:ilvl w:val="0"/>
          <w:numId w:val="8"/>
        </w:numPr>
        <w:spacing w:line="240" w:lineRule="auto"/>
        <w:rPr>
          <w:rFonts w:ascii="Calibri" w:hAnsi="Calibri" w:cs="Calibri"/>
          <w:bCs/>
          <w:i/>
          <w:iCs/>
          <w:szCs w:val="22"/>
        </w:rPr>
      </w:pPr>
      <w:r w:rsidRPr="002F2808">
        <w:rPr>
          <w:rFonts w:ascii="Calibri" w:hAnsi="Calibri" w:cs="Calibri"/>
          <w:bCs/>
          <w:i/>
          <w:iCs/>
          <w:szCs w:val="22"/>
        </w:rPr>
        <w:t>Financiële consequenties</w:t>
      </w:r>
      <w:r w:rsidRPr="002F2808" w:rsidR="000A39A4">
        <w:rPr>
          <w:rFonts w:ascii="Calibri" w:hAnsi="Calibri" w:cs="Calibri"/>
          <w:bCs/>
          <w:i/>
          <w:iCs/>
          <w:szCs w:val="22"/>
        </w:rPr>
        <w:t xml:space="preserve"> en gevolgen voor regeldruk</w:t>
      </w:r>
      <w:r w:rsidRPr="002F2808">
        <w:rPr>
          <w:rFonts w:ascii="Calibri" w:hAnsi="Calibri" w:cs="Calibri"/>
          <w:bCs/>
          <w:i/>
          <w:iCs/>
          <w:szCs w:val="22"/>
        </w:rPr>
        <w:t xml:space="preserve"> voor bedrijfsleven en burger</w:t>
      </w:r>
    </w:p>
    <w:p w:rsidRPr="002F2808" w:rsidR="003E08E4" w:rsidP="002F2808" w:rsidRDefault="0017461C" w14:paraId="160400F7" w14:textId="26B9372C">
      <w:pPr>
        <w:spacing w:line="240" w:lineRule="auto"/>
        <w:outlineLvl w:val="0"/>
        <w:rPr>
          <w:rFonts w:ascii="Calibri" w:hAnsi="Calibri" w:cs="Calibri"/>
          <w:bCs/>
          <w:szCs w:val="22"/>
        </w:rPr>
      </w:pPr>
      <w:r w:rsidRPr="002F2808">
        <w:rPr>
          <w:rFonts w:ascii="Calibri" w:hAnsi="Calibri" w:cs="Calibri"/>
          <w:bCs/>
          <w:szCs w:val="22"/>
        </w:rPr>
        <w:t xml:space="preserve">Het voorstel zal voor bedrijven, vooral in de chemische, farmaceutische en logistieke sector, zowel voordelen als extra lasten met zich meebrengen. De digitalisering van het licentiesysteem </w:t>
      </w:r>
      <w:r w:rsidRPr="002F2808" w:rsidR="003E08E4">
        <w:rPr>
          <w:rFonts w:ascii="Calibri" w:hAnsi="Calibri" w:cs="Calibri"/>
          <w:bCs/>
          <w:szCs w:val="22"/>
        </w:rPr>
        <w:t xml:space="preserve">en het </w:t>
      </w:r>
      <w:r w:rsidRPr="002F2808" w:rsidR="003E08E4">
        <w:rPr>
          <w:rFonts w:ascii="Calibri" w:hAnsi="Calibri" w:cs="Calibri"/>
          <w:bCs/>
          <w:szCs w:val="22"/>
        </w:rPr>
        <w:lastRenderedPageBreak/>
        <w:t>vervallen van de</w:t>
      </w:r>
      <w:r w:rsidRPr="002F2808" w:rsidR="00532B48">
        <w:rPr>
          <w:rFonts w:ascii="Calibri" w:hAnsi="Calibri" w:cs="Calibri"/>
          <w:bCs/>
          <w:szCs w:val="22"/>
        </w:rPr>
        <w:t xml:space="preserve"> </w:t>
      </w:r>
      <w:r w:rsidRPr="002F2808" w:rsidR="003E08E4">
        <w:rPr>
          <w:rFonts w:ascii="Calibri" w:hAnsi="Calibri" w:cs="Calibri"/>
          <w:bCs/>
          <w:szCs w:val="22"/>
        </w:rPr>
        <w:t xml:space="preserve">verplichting om klantverklaringen te verkrijgen </w:t>
      </w:r>
      <w:r w:rsidRPr="002F2808">
        <w:rPr>
          <w:rFonts w:ascii="Calibri" w:hAnsi="Calibri" w:cs="Calibri"/>
          <w:bCs/>
          <w:szCs w:val="22"/>
        </w:rPr>
        <w:t>zal de administratieve lasten op lange termijn verminderen, doordat bedrijven hun vergunningen en meldingen centraal kunnen regelen. Dit maakt de procedures efficiënter en minder complex, vooral voor bedrijven die internationaal actief zijn. Echter, de overgang naar dit systeem vereist voor sommige bedrijven, met name kleinere, een initiële investering in IT-systemen en training.</w:t>
      </w:r>
      <w:r w:rsidRPr="002F2808" w:rsidR="003E08E4">
        <w:rPr>
          <w:rFonts w:ascii="Calibri" w:hAnsi="Calibri" w:cs="Calibri"/>
          <w:bCs/>
          <w:szCs w:val="22"/>
        </w:rPr>
        <w:t xml:space="preserve"> Daarnaast worden verplichtingen voor externe handelaren beperkt blijven tot het registreren van hun activiteiten, zonder de vereiste goedkeuring door nationale autoriteiten.</w:t>
      </w:r>
      <w:r w:rsidRPr="002F2808" w:rsidR="00B453D9">
        <w:rPr>
          <w:rFonts w:ascii="Calibri" w:hAnsi="Calibri" w:cs="Calibri"/>
          <w:bCs/>
          <w:szCs w:val="22"/>
        </w:rPr>
        <w:t xml:space="preserve"> Daarbij is het van belang dat de lasten voor legitieme toepassingen proportioneel blijven, zodat onderzoek, innovatie en de productie en beschikbaarheid van geneesmiddelen en andere essentiële medische toepassingen niet onbedoeld worden belemmerd.</w:t>
      </w:r>
    </w:p>
    <w:p w:rsidRPr="002F2808" w:rsidR="0017461C" w:rsidP="002F2808" w:rsidRDefault="0017461C" w14:paraId="67DE223E" w14:textId="77777777">
      <w:pPr>
        <w:spacing w:line="240" w:lineRule="auto"/>
        <w:rPr>
          <w:rFonts w:ascii="Calibri" w:hAnsi="Calibri" w:cs="Calibri"/>
          <w:bCs/>
          <w:szCs w:val="22"/>
        </w:rPr>
      </w:pPr>
    </w:p>
    <w:p w:rsidRPr="002F2808" w:rsidR="0017461C" w:rsidP="002F2808" w:rsidRDefault="0017461C" w14:paraId="296A6025" w14:textId="48B3D03F">
      <w:pPr>
        <w:spacing w:line="240" w:lineRule="auto"/>
        <w:rPr>
          <w:rFonts w:ascii="Calibri" w:hAnsi="Calibri" w:cs="Calibri"/>
          <w:bCs/>
          <w:szCs w:val="22"/>
        </w:rPr>
      </w:pPr>
      <w:r w:rsidRPr="002F2808">
        <w:rPr>
          <w:rFonts w:ascii="Calibri" w:hAnsi="Calibri" w:cs="Calibri"/>
          <w:bCs/>
          <w:szCs w:val="22"/>
        </w:rPr>
        <w:t>Voor kleinere bedrijven en onderzoeksinstellingen kunnen de administratieve verplichtingen zwaarder zijn, vooral als het gaat om het rapporteren van precursoren en het aanvragen van vergunningen. De kosten van compliance zullen vooral voelbaar zijn voor bedrijven die met risicovolle stoffen werken.</w:t>
      </w:r>
      <w:r w:rsidRPr="002F2808" w:rsidR="003E08E4">
        <w:rPr>
          <w:rFonts w:ascii="Calibri" w:hAnsi="Calibri" w:cs="Calibri"/>
          <w:bCs/>
          <w:szCs w:val="22"/>
        </w:rPr>
        <w:t xml:space="preserve"> </w:t>
      </w:r>
    </w:p>
    <w:p w:rsidRPr="002F2808" w:rsidR="008869DE" w:rsidP="002F2808" w:rsidRDefault="008869DE" w14:paraId="16EEA5F2" w14:textId="77777777">
      <w:pPr>
        <w:spacing w:line="240" w:lineRule="auto"/>
        <w:rPr>
          <w:rFonts w:ascii="Calibri" w:hAnsi="Calibri" w:cs="Calibri"/>
          <w:bCs/>
          <w:szCs w:val="22"/>
        </w:rPr>
      </w:pPr>
    </w:p>
    <w:p w:rsidRPr="002F2808" w:rsidR="0017461C" w:rsidP="002F2808" w:rsidRDefault="0017461C" w14:paraId="70F72BA7" w14:textId="77777777">
      <w:pPr>
        <w:spacing w:line="240" w:lineRule="auto"/>
        <w:rPr>
          <w:rFonts w:ascii="Calibri" w:hAnsi="Calibri" w:cs="Calibri"/>
          <w:bCs/>
          <w:szCs w:val="22"/>
        </w:rPr>
      </w:pPr>
      <w:r w:rsidRPr="002F2808">
        <w:rPr>
          <w:rFonts w:ascii="Calibri" w:hAnsi="Calibri" w:cs="Calibri"/>
          <w:bCs/>
          <w:szCs w:val="22"/>
        </w:rPr>
        <w:t>Voor burgers zijn de directe financiële gevolgen beperkt. De impact van de verordening zal voornamelijk worden gevoeld door bedrijven die precursoren produceren of verhandelen. De kosten voor de overheid zullen toenemen door handhaving en training, maar deze kosten zullen waarschijnlijk niet direct aan de burger worden doorberekend.</w:t>
      </w:r>
    </w:p>
    <w:p w:rsidRPr="002F2808" w:rsidR="0017461C" w:rsidP="002F2808" w:rsidRDefault="0017461C" w14:paraId="5552990E" w14:textId="77777777">
      <w:pPr>
        <w:spacing w:line="240" w:lineRule="auto"/>
        <w:rPr>
          <w:rFonts w:ascii="Calibri" w:hAnsi="Calibri" w:cs="Calibri"/>
          <w:bCs/>
          <w:szCs w:val="22"/>
        </w:rPr>
      </w:pPr>
    </w:p>
    <w:p w:rsidRPr="002F2808" w:rsidR="006461C1" w:rsidP="002F2808" w:rsidRDefault="0017461C" w14:paraId="25103764" w14:textId="27FDBF1B">
      <w:pPr>
        <w:spacing w:line="240" w:lineRule="auto"/>
        <w:rPr>
          <w:rFonts w:ascii="Calibri" w:hAnsi="Calibri" w:cs="Calibri"/>
          <w:bCs/>
          <w:szCs w:val="22"/>
        </w:rPr>
      </w:pPr>
      <w:r w:rsidRPr="002F2808">
        <w:rPr>
          <w:rFonts w:ascii="Calibri" w:hAnsi="Calibri" w:cs="Calibri"/>
          <w:bCs/>
          <w:szCs w:val="22"/>
        </w:rPr>
        <w:t>Op lange termijn zullen de voordelen van een efficiënter systeem de initiële kosten overtreffen, vooral doordat de effectievere controle op precursoren kan bijdragen aan het verminderen van de productie van illegale drugs, wat uiteindelijk kosten voor de samenleving kan besparen.</w:t>
      </w:r>
    </w:p>
    <w:p w:rsidRPr="002F2808" w:rsidR="00CB7FF8" w:rsidP="002F2808" w:rsidRDefault="00F936B2" w14:paraId="32052748" w14:textId="77777777">
      <w:pPr>
        <w:numPr>
          <w:ilvl w:val="0"/>
          <w:numId w:val="8"/>
        </w:numPr>
        <w:spacing w:line="240" w:lineRule="auto"/>
        <w:rPr>
          <w:rFonts w:ascii="Calibri" w:hAnsi="Calibri" w:cs="Calibri"/>
          <w:bCs/>
          <w:szCs w:val="22"/>
        </w:rPr>
      </w:pPr>
      <w:r w:rsidRPr="002F2808">
        <w:rPr>
          <w:rFonts w:ascii="Calibri" w:hAnsi="Calibri" w:cs="Calibri"/>
          <w:bCs/>
          <w:szCs w:val="22"/>
        </w:rPr>
        <w:t>Gevolgen voor concurrentiekracht</w:t>
      </w:r>
      <w:r w:rsidRPr="002F2808" w:rsidR="00CB7FF8">
        <w:rPr>
          <w:rFonts w:ascii="Calibri" w:hAnsi="Calibri" w:cs="Calibri"/>
          <w:bCs/>
          <w:szCs w:val="22"/>
        </w:rPr>
        <w:t xml:space="preserve"> </w:t>
      </w:r>
      <w:r w:rsidRPr="002F2808" w:rsidR="000A39A4">
        <w:rPr>
          <w:rFonts w:ascii="Calibri" w:hAnsi="Calibri" w:cs="Calibri"/>
          <w:bCs/>
          <w:szCs w:val="22"/>
        </w:rPr>
        <w:t>en geopolitieke aspecten</w:t>
      </w:r>
    </w:p>
    <w:p w:rsidRPr="002F2808" w:rsidR="00722F3F" w:rsidP="002F2808" w:rsidRDefault="001A6D2F" w14:paraId="6F07D464" w14:textId="77777777">
      <w:pPr>
        <w:spacing w:line="240" w:lineRule="auto"/>
        <w:rPr>
          <w:rFonts w:ascii="Calibri" w:hAnsi="Calibri" w:cs="Calibri"/>
          <w:bCs/>
          <w:szCs w:val="22"/>
        </w:rPr>
      </w:pPr>
      <w:bookmarkStart w:name="_Hlk219208271" w:id="2"/>
      <w:r w:rsidRPr="002F2808">
        <w:rPr>
          <w:rFonts w:ascii="Calibri" w:hAnsi="Calibri" w:cs="Calibri"/>
          <w:bCs/>
          <w:szCs w:val="22"/>
        </w:rPr>
        <w:t>Door de introductie van een gecentraliseerd digitaal systeem voor de controle op drugsprecursoren, kan de EU haar interne markten efficiënter en transparanter maken, wat vooral kleine bedrijven ten goede zal komen. Dit vermindert administratieve lasten en vergroot de concurrentiekracht. Door de striktere controlemaatregelen dienen landen buiten de EU hun beleid aan te passen.</w:t>
      </w:r>
    </w:p>
    <w:p w:rsidRPr="002F2808" w:rsidR="00CB7FF8" w:rsidP="002F2808" w:rsidRDefault="001A6D2F" w14:paraId="0AC0B30D" w14:textId="2B4AC8D8">
      <w:pPr>
        <w:spacing w:line="240" w:lineRule="auto"/>
        <w:rPr>
          <w:rFonts w:ascii="Calibri" w:hAnsi="Calibri" w:cs="Calibri"/>
          <w:i/>
          <w:szCs w:val="22"/>
          <w:u w:val="single"/>
        </w:rPr>
      </w:pPr>
      <w:r w:rsidRPr="002F2808">
        <w:rPr>
          <w:rFonts w:ascii="Calibri" w:hAnsi="Calibri" w:cs="Calibri"/>
          <w:bCs/>
          <w:szCs w:val="22"/>
        </w:rPr>
        <w:t xml:space="preserve"> </w:t>
      </w:r>
    </w:p>
    <w:bookmarkEnd w:id="2"/>
    <w:p w:rsidRPr="002F2808" w:rsidR="00CB7FF8" w:rsidP="002F2808" w:rsidRDefault="00CB7FF8" w14:paraId="1DA1AE8D" w14:textId="77777777">
      <w:pPr>
        <w:numPr>
          <w:ilvl w:val="0"/>
          <w:numId w:val="3"/>
        </w:numPr>
        <w:spacing w:line="240" w:lineRule="auto"/>
        <w:rPr>
          <w:rFonts w:ascii="Calibri" w:hAnsi="Calibri" w:cs="Calibri"/>
          <w:b/>
          <w:szCs w:val="22"/>
        </w:rPr>
      </w:pPr>
      <w:r w:rsidRPr="002F2808">
        <w:rPr>
          <w:rFonts w:ascii="Calibri" w:hAnsi="Calibri" w:cs="Calibri"/>
          <w:b/>
          <w:szCs w:val="22"/>
        </w:rPr>
        <w:t>Implicaties juridisch</w:t>
      </w:r>
    </w:p>
    <w:p w:rsidRPr="002F2808" w:rsidR="00CB7FF8" w:rsidP="002F2808" w:rsidRDefault="00CB7FF8" w14:paraId="5EB20CDF" w14:textId="77777777">
      <w:pPr>
        <w:numPr>
          <w:ilvl w:val="0"/>
          <w:numId w:val="9"/>
        </w:numPr>
        <w:spacing w:line="240" w:lineRule="auto"/>
        <w:rPr>
          <w:rFonts w:ascii="Calibri" w:hAnsi="Calibri" w:cs="Calibri"/>
          <w:bCs/>
          <w:i/>
          <w:iCs/>
          <w:szCs w:val="22"/>
        </w:rPr>
      </w:pPr>
      <w:r w:rsidRPr="002F2808">
        <w:rPr>
          <w:rFonts w:ascii="Calibri" w:hAnsi="Calibri" w:cs="Calibri"/>
          <w:bCs/>
          <w:i/>
          <w:iCs/>
          <w:szCs w:val="22"/>
        </w:rPr>
        <w:t xml:space="preserve">Consequenties voor nationale en decentrale regelgeving en/of sanctionering beleid (inclusief  toepassing van de lex silencio positivo) </w:t>
      </w:r>
    </w:p>
    <w:p w:rsidRPr="002F2808" w:rsidR="0034042F" w:rsidP="002F2808" w:rsidRDefault="008869DE" w14:paraId="78C60C3F" w14:textId="5EFA000B">
      <w:pPr>
        <w:spacing w:line="240" w:lineRule="auto"/>
        <w:rPr>
          <w:rFonts w:ascii="Calibri" w:hAnsi="Calibri" w:cs="Calibri"/>
          <w:bCs/>
          <w:szCs w:val="22"/>
        </w:rPr>
      </w:pPr>
      <w:r w:rsidRPr="002F2808">
        <w:rPr>
          <w:rFonts w:ascii="Calibri" w:hAnsi="Calibri" w:cs="Calibri"/>
          <w:bCs/>
          <w:szCs w:val="22"/>
        </w:rPr>
        <w:t>Het kabinet</w:t>
      </w:r>
      <w:r w:rsidRPr="002F2808" w:rsidR="0034042F">
        <w:rPr>
          <w:rFonts w:ascii="Calibri" w:hAnsi="Calibri" w:cs="Calibri"/>
          <w:bCs/>
          <w:szCs w:val="22"/>
        </w:rPr>
        <w:t xml:space="preserve"> zal de </w:t>
      </w:r>
      <w:r w:rsidRPr="002F2808" w:rsidR="00564CD5">
        <w:rPr>
          <w:rFonts w:ascii="Calibri" w:hAnsi="Calibri" w:cs="Calibri"/>
          <w:bCs/>
          <w:szCs w:val="22"/>
        </w:rPr>
        <w:t xml:space="preserve">Wet voorkoming misbruik </w:t>
      </w:r>
      <w:r w:rsidRPr="002F2808" w:rsidR="004045EE">
        <w:rPr>
          <w:rFonts w:ascii="Calibri" w:hAnsi="Calibri" w:cs="Calibri"/>
          <w:bCs/>
          <w:szCs w:val="22"/>
        </w:rPr>
        <w:t>Chemicaliën</w:t>
      </w:r>
      <w:r w:rsidRPr="002F2808" w:rsidR="00564CD5">
        <w:rPr>
          <w:rFonts w:ascii="Calibri" w:hAnsi="Calibri" w:cs="Calibri"/>
          <w:bCs/>
          <w:szCs w:val="22"/>
        </w:rPr>
        <w:t xml:space="preserve"> </w:t>
      </w:r>
      <w:r w:rsidRPr="002F2808" w:rsidR="0034042F">
        <w:rPr>
          <w:rFonts w:ascii="Calibri" w:hAnsi="Calibri" w:cs="Calibri"/>
          <w:bCs/>
          <w:szCs w:val="22"/>
        </w:rPr>
        <w:t>(en o.a. de Wet op de economische delicten voor de strafbaarstellingen) moeten herzien om te voorkomen dat de verordening andere stoffen verbiedt dan de Nederlandse wet.</w:t>
      </w:r>
      <w:r w:rsidRPr="002F2808" w:rsidR="003C3B1C">
        <w:rPr>
          <w:rFonts w:ascii="Calibri" w:hAnsi="Calibri" w:cs="Calibri"/>
          <w:bCs/>
          <w:szCs w:val="22"/>
        </w:rPr>
        <w:t xml:space="preserve"> Het merendeel van de artikelen in de WVMC verwijst namelijk naar de bepalingen in de huidige verordeningen. In gevolg het nieuwe artikel 16 van de verordening moet er een algeheel verbod komen op het beschikbaar maken in de markt, de import, de export, het bezit en het gebruik van categorie 3 precursoren, als ook het verrichten van intermediate activiteiten. Op deze bepaling kan een uitzondering gemaakt worden voor handelingen met een hoeveelheid onder de drempelwaarde van die stoffen bestemd voor onderzoek en innovatie. Voor handelingen met stoffen boven de drempelwaarde moet een vergunning aangevraagd worden. Ook art. 4a WVMC zal moeten worden herzien.</w:t>
      </w:r>
    </w:p>
    <w:p w:rsidRPr="002F2808" w:rsidR="00C4413E" w:rsidP="002F2808" w:rsidRDefault="00C4413E" w14:paraId="02E6E1C1" w14:textId="77777777">
      <w:pPr>
        <w:spacing w:line="240" w:lineRule="auto"/>
        <w:rPr>
          <w:rFonts w:ascii="Calibri" w:hAnsi="Calibri" w:cs="Calibri"/>
          <w:bCs/>
          <w:i/>
          <w:iCs/>
          <w:szCs w:val="22"/>
        </w:rPr>
      </w:pPr>
    </w:p>
    <w:p w:rsidRPr="002F2808" w:rsidR="00F74E07" w:rsidP="002F2808" w:rsidRDefault="00F74E07" w14:paraId="6FA4A2F2" w14:textId="77777777">
      <w:pPr>
        <w:numPr>
          <w:ilvl w:val="0"/>
          <w:numId w:val="9"/>
        </w:numPr>
        <w:tabs>
          <w:tab w:val="left" w:pos="-426"/>
        </w:tabs>
        <w:suppressAutoHyphens/>
        <w:spacing w:line="240" w:lineRule="auto"/>
        <w:rPr>
          <w:rFonts w:ascii="Calibri" w:hAnsi="Calibri" w:cs="Calibri"/>
          <w:bCs/>
          <w:i/>
          <w:iCs/>
          <w:szCs w:val="22"/>
        </w:rPr>
      </w:pPr>
      <w:r w:rsidRPr="002F2808">
        <w:rPr>
          <w:rFonts w:ascii="Calibri" w:hAnsi="Calibri" w:cs="Calibri"/>
          <w:bCs/>
          <w:i/>
          <w:iCs/>
          <w:szCs w:val="22"/>
        </w:rPr>
        <w:t>Gedelegeerde en/of uitvoeringshandelingen, incl. NL-beoordeling daarvan</w:t>
      </w:r>
    </w:p>
    <w:p w:rsidRPr="002F2808" w:rsidR="00C317EE" w:rsidP="002F2808" w:rsidRDefault="00C317EE" w14:paraId="5939C52B" w14:textId="7831C39A">
      <w:pPr>
        <w:tabs>
          <w:tab w:val="left" w:pos="-426"/>
        </w:tabs>
        <w:suppressAutoHyphens/>
        <w:spacing w:line="240" w:lineRule="auto"/>
        <w:rPr>
          <w:rFonts w:ascii="Calibri" w:hAnsi="Calibri" w:cs="Calibri"/>
          <w:bCs/>
          <w:szCs w:val="22"/>
        </w:rPr>
      </w:pPr>
      <w:r w:rsidRPr="002F2808">
        <w:rPr>
          <w:rFonts w:ascii="Calibri" w:hAnsi="Calibri" w:cs="Calibri"/>
          <w:bCs/>
          <w:szCs w:val="22"/>
        </w:rPr>
        <w:t>Het voorstel bevat verschillende bevoegdheden voor de Commissie om gedelegeerde handelingen vast te stellen</w:t>
      </w:r>
      <w:r w:rsidRPr="002F2808" w:rsidR="00490694">
        <w:rPr>
          <w:rFonts w:ascii="Calibri" w:hAnsi="Calibri" w:cs="Calibri"/>
          <w:bCs/>
          <w:szCs w:val="22"/>
        </w:rPr>
        <w:t xml:space="preserve"> op basis van</w:t>
      </w:r>
      <w:r w:rsidRPr="002F2808">
        <w:rPr>
          <w:rFonts w:ascii="Calibri" w:hAnsi="Calibri" w:cs="Calibri"/>
          <w:bCs/>
          <w:szCs w:val="22"/>
        </w:rPr>
        <w:t xml:space="preserve"> artikel 37</w:t>
      </w:r>
      <w:r w:rsidRPr="002F2808" w:rsidR="002D4677">
        <w:rPr>
          <w:rFonts w:ascii="Calibri" w:hAnsi="Calibri" w:cs="Calibri"/>
          <w:bCs/>
          <w:szCs w:val="22"/>
        </w:rPr>
        <w:t xml:space="preserve"> van het voorstel</w:t>
      </w:r>
      <w:r w:rsidRPr="002F2808">
        <w:rPr>
          <w:rFonts w:ascii="Calibri" w:hAnsi="Calibri" w:cs="Calibri"/>
          <w:bCs/>
          <w:szCs w:val="22"/>
        </w:rPr>
        <w:t xml:space="preserve">. Dit betreft de ten eerste bevoegdheid om </w:t>
      </w:r>
      <w:r w:rsidRPr="002F2808" w:rsidR="00490694">
        <w:rPr>
          <w:rFonts w:ascii="Calibri" w:hAnsi="Calibri" w:cs="Calibri"/>
          <w:bCs/>
          <w:szCs w:val="22"/>
        </w:rPr>
        <w:t xml:space="preserve">op grond van art. 37, eerste lid, </w:t>
      </w:r>
      <w:r w:rsidRPr="002F2808">
        <w:rPr>
          <w:rFonts w:ascii="Calibri" w:hAnsi="Calibri" w:cs="Calibri"/>
          <w:bCs/>
          <w:szCs w:val="22"/>
        </w:rPr>
        <w:t>Annex I, II en III te wijzigen door stoffen toe te voegen en daarm</w:t>
      </w:r>
      <w:r w:rsidRPr="002F2808" w:rsidR="003B04C1">
        <w:rPr>
          <w:rFonts w:ascii="Calibri" w:hAnsi="Calibri" w:cs="Calibri"/>
          <w:bCs/>
          <w:szCs w:val="22"/>
        </w:rPr>
        <w:t>e</w:t>
      </w:r>
      <w:r w:rsidRPr="002F2808">
        <w:rPr>
          <w:rFonts w:ascii="Calibri" w:hAnsi="Calibri" w:cs="Calibri"/>
          <w:bCs/>
          <w:szCs w:val="22"/>
        </w:rPr>
        <w:t>e in te spelen op nieuwe trends of om deze bijlagen in overeenstemming te brengen met wijzigingen van de tabellen bij het VN-verdrag</w:t>
      </w:r>
      <w:r w:rsidRPr="002F2808" w:rsidR="00490694">
        <w:rPr>
          <w:rFonts w:ascii="Calibri" w:hAnsi="Calibri" w:cs="Calibri"/>
          <w:bCs/>
          <w:szCs w:val="22"/>
        </w:rPr>
        <w:t xml:space="preserve">. </w:t>
      </w:r>
      <w:r w:rsidRPr="002F2808">
        <w:rPr>
          <w:rFonts w:ascii="Calibri" w:hAnsi="Calibri" w:cs="Calibri"/>
          <w:bCs/>
          <w:szCs w:val="22"/>
        </w:rPr>
        <w:t xml:space="preserve">Ten tweede kan de Commissie op grond van artikel 37, </w:t>
      </w:r>
      <w:r w:rsidRPr="002F2808" w:rsidR="00490694">
        <w:rPr>
          <w:rFonts w:ascii="Calibri" w:hAnsi="Calibri" w:cs="Calibri"/>
          <w:bCs/>
          <w:szCs w:val="22"/>
        </w:rPr>
        <w:t>tweede lid</w:t>
      </w:r>
      <w:r w:rsidRPr="002F2808" w:rsidR="002D4677">
        <w:rPr>
          <w:rFonts w:ascii="Calibri" w:hAnsi="Calibri" w:cs="Calibri"/>
          <w:bCs/>
          <w:szCs w:val="22"/>
        </w:rPr>
        <w:t>,</w:t>
      </w:r>
      <w:r w:rsidRPr="002F2808">
        <w:rPr>
          <w:rFonts w:ascii="Calibri" w:hAnsi="Calibri" w:cs="Calibri"/>
          <w:bCs/>
          <w:szCs w:val="22"/>
        </w:rPr>
        <w:t xml:space="preserve"> stoffen uit Annex III herclassificeren wanneer blijkt dat deze een legitiem gebruik heeft anders dan </w:t>
      </w:r>
      <w:r w:rsidRPr="002F2808">
        <w:rPr>
          <w:rFonts w:ascii="Calibri" w:hAnsi="Calibri" w:cs="Calibri"/>
          <w:bCs/>
          <w:szCs w:val="22"/>
        </w:rPr>
        <w:lastRenderedPageBreak/>
        <w:t xml:space="preserve">voor onderzoek en innovatie. Ten derde kan de Commissie drempelwaarden vaststellen (concentratie-, jaarhoeveelheids- en onderzoeksdrempels) en deze in Annex I, II en III vastleggen </w:t>
      </w:r>
      <w:r w:rsidRPr="002F2808" w:rsidR="00490694">
        <w:rPr>
          <w:rFonts w:ascii="Calibri" w:hAnsi="Calibri" w:cs="Calibri"/>
          <w:bCs/>
          <w:szCs w:val="22"/>
        </w:rPr>
        <w:t xml:space="preserve">op grond van </w:t>
      </w:r>
      <w:r w:rsidRPr="002F2808">
        <w:rPr>
          <w:rFonts w:ascii="Calibri" w:hAnsi="Calibri" w:cs="Calibri"/>
          <w:bCs/>
          <w:szCs w:val="22"/>
        </w:rPr>
        <w:t xml:space="preserve">artikel 37, </w:t>
      </w:r>
      <w:r w:rsidRPr="002F2808" w:rsidR="00490694">
        <w:rPr>
          <w:rFonts w:ascii="Calibri" w:hAnsi="Calibri" w:cs="Calibri"/>
          <w:bCs/>
          <w:szCs w:val="22"/>
        </w:rPr>
        <w:t>derde lid</w:t>
      </w:r>
      <w:r w:rsidRPr="002F2808">
        <w:rPr>
          <w:rFonts w:ascii="Calibri" w:hAnsi="Calibri" w:cs="Calibri"/>
          <w:bCs/>
          <w:szCs w:val="22"/>
        </w:rPr>
        <w:t xml:space="preserve">. Ten vierde bevat het voorstel de bevoegdheid voor de Commissie om Annex IV tot en met IX te wijzigen ten aanzien van vergunningen, registraties, meldingsverplichtingen, criteria voor legitieme doeleinden en verdenking van illegaal gebruik, rapportageverplichtingen en overgangsmaatregelen </w:t>
      </w:r>
      <w:r w:rsidRPr="002F2808" w:rsidR="00490694">
        <w:rPr>
          <w:rFonts w:ascii="Calibri" w:hAnsi="Calibri" w:cs="Calibri"/>
          <w:bCs/>
          <w:szCs w:val="22"/>
        </w:rPr>
        <w:t xml:space="preserve">op grond van </w:t>
      </w:r>
      <w:r w:rsidRPr="002F2808">
        <w:rPr>
          <w:rFonts w:ascii="Calibri" w:hAnsi="Calibri" w:cs="Calibri"/>
          <w:bCs/>
          <w:szCs w:val="22"/>
        </w:rPr>
        <w:t xml:space="preserve">artikel 37, </w:t>
      </w:r>
      <w:r w:rsidRPr="002F2808" w:rsidR="00490694">
        <w:rPr>
          <w:rFonts w:ascii="Calibri" w:hAnsi="Calibri" w:cs="Calibri"/>
          <w:bCs/>
          <w:szCs w:val="22"/>
        </w:rPr>
        <w:t>vierde lid.</w:t>
      </w:r>
    </w:p>
    <w:p w:rsidRPr="002F2808" w:rsidR="00C317EE" w:rsidP="002F2808" w:rsidRDefault="00C317EE" w14:paraId="184DDDD0" w14:textId="77777777">
      <w:pPr>
        <w:tabs>
          <w:tab w:val="left" w:pos="-426"/>
        </w:tabs>
        <w:suppressAutoHyphens/>
        <w:spacing w:line="240" w:lineRule="auto"/>
        <w:ind w:left="360"/>
        <w:rPr>
          <w:rFonts w:ascii="Calibri" w:hAnsi="Calibri" w:cs="Calibri"/>
          <w:bCs/>
          <w:szCs w:val="22"/>
        </w:rPr>
      </w:pPr>
    </w:p>
    <w:p w:rsidRPr="002F2808" w:rsidR="00C317EE" w:rsidP="002F2808" w:rsidRDefault="00C317EE" w14:paraId="7E432A35" w14:textId="2137A136">
      <w:pPr>
        <w:tabs>
          <w:tab w:val="left" w:pos="-426"/>
        </w:tabs>
        <w:suppressAutoHyphens/>
        <w:spacing w:line="240" w:lineRule="auto"/>
        <w:rPr>
          <w:rFonts w:ascii="Calibri" w:hAnsi="Calibri" w:cs="Calibri"/>
          <w:bCs/>
          <w:i/>
          <w:iCs/>
          <w:szCs w:val="22"/>
        </w:rPr>
      </w:pPr>
      <w:r w:rsidRPr="002F2808">
        <w:rPr>
          <w:rFonts w:ascii="Calibri" w:hAnsi="Calibri" w:cs="Calibri"/>
          <w:bCs/>
          <w:szCs w:val="22"/>
        </w:rPr>
        <w:t>Voor de eerste bevoegdheid geldt het volgende. Het toekennen van deze bevoegdheid is wel mogelijk, omdat het niet essentiële onderdelen van de basishandeling betreft. Toekenning van deze bevoegdhe</w:t>
      </w:r>
      <w:r w:rsidRPr="002F2808" w:rsidR="00672998">
        <w:rPr>
          <w:rFonts w:ascii="Calibri" w:hAnsi="Calibri" w:cs="Calibri"/>
          <w:bCs/>
          <w:szCs w:val="22"/>
        </w:rPr>
        <w:t>i</w:t>
      </w:r>
      <w:r w:rsidRPr="002F2808">
        <w:rPr>
          <w:rFonts w:ascii="Calibri" w:hAnsi="Calibri" w:cs="Calibri"/>
          <w:bCs/>
          <w:szCs w:val="22"/>
        </w:rPr>
        <w:t>d acht het kabinet wenselijk, omdat flexibiliteit nodig is om in te spelen op nieuwe trends en om bijlagen doelmatig te actualiseren. Delegatie i.p.v. uitvoering ligt hier voor de hand omdat het gaat om het aanvullen en wijzigen van niet-essentiële elementen van de regeling en niet om uniforme toepassing van reeds vastgestelde regels. Het kabinet acht deze bevoegdheid voldoende afgebakend</w:t>
      </w:r>
      <w:r w:rsidRPr="002F2808">
        <w:rPr>
          <w:rFonts w:ascii="Calibri" w:hAnsi="Calibri" w:cs="Calibri"/>
          <w:bCs/>
          <w:i/>
          <w:iCs/>
          <w:szCs w:val="22"/>
        </w:rPr>
        <w:t>.</w:t>
      </w:r>
    </w:p>
    <w:p w:rsidRPr="002F2808" w:rsidR="00C317EE" w:rsidP="002F2808" w:rsidRDefault="00C317EE" w14:paraId="71B7358D" w14:textId="77777777">
      <w:pPr>
        <w:tabs>
          <w:tab w:val="left" w:pos="-426"/>
        </w:tabs>
        <w:suppressAutoHyphens/>
        <w:spacing w:line="240" w:lineRule="auto"/>
        <w:ind w:left="360"/>
        <w:rPr>
          <w:rFonts w:ascii="Calibri" w:hAnsi="Calibri" w:cs="Calibri"/>
          <w:bCs/>
          <w:i/>
          <w:iCs/>
          <w:szCs w:val="22"/>
        </w:rPr>
      </w:pPr>
    </w:p>
    <w:p w:rsidRPr="002F2808" w:rsidR="005B439E" w:rsidP="002F2808" w:rsidRDefault="00C317EE" w14:paraId="623A9DD6" w14:textId="77777777">
      <w:pPr>
        <w:tabs>
          <w:tab w:val="left" w:pos="-426"/>
        </w:tabs>
        <w:suppressAutoHyphens/>
        <w:spacing w:line="240" w:lineRule="auto"/>
        <w:rPr>
          <w:rFonts w:ascii="Calibri" w:hAnsi="Calibri" w:cs="Calibri"/>
          <w:bCs/>
          <w:szCs w:val="22"/>
        </w:rPr>
      </w:pPr>
      <w:r w:rsidRPr="002F2808">
        <w:rPr>
          <w:rFonts w:ascii="Calibri" w:hAnsi="Calibri" w:cs="Calibri"/>
          <w:bCs/>
          <w:szCs w:val="22"/>
        </w:rPr>
        <w:t>Voor de tweede bevoegdheid geldt het volgende. Het toekennen van deze bevoegdheid is wel mogelijk, omdat het niet essentiële onderdelen van de basishandeling betreft. Toekenning van deze bevoegdhe</w:t>
      </w:r>
      <w:r w:rsidRPr="002F2808" w:rsidR="00672998">
        <w:rPr>
          <w:rFonts w:ascii="Calibri" w:hAnsi="Calibri" w:cs="Calibri"/>
          <w:bCs/>
          <w:szCs w:val="22"/>
        </w:rPr>
        <w:t>i</w:t>
      </w:r>
      <w:r w:rsidRPr="002F2808">
        <w:rPr>
          <w:rFonts w:ascii="Calibri" w:hAnsi="Calibri" w:cs="Calibri"/>
          <w:bCs/>
          <w:szCs w:val="22"/>
        </w:rPr>
        <w:t xml:space="preserve">d acht het kabinet wenselijk, omdat op basis van nieuwe informatie over legitiem gebruik van stoffen tijdig herclassificatie kan plaatsvinden zonder herziening van de verordening. </w:t>
      </w:r>
    </w:p>
    <w:p w:rsidRPr="002F2808" w:rsidR="00C317EE" w:rsidP="002F2808" w:rsidRDefault="00C317EE" w14:paraId="1C8E5DA2" w14:textId="028FD066">
      <w:pPr>
        <w:tabs>
          <w:tab w:val="left" w:pos="-426"/>
        </w:tabs>
        <w:suppressAutoHyphens/>
        <w:spacing w:line="240" w:lineRule="auto"/>
        <w:rPr>
          <w:rFonts w:ascii="Calibri" w:hAnsi="Calibri" w:cs="Calibri"/>
          <w:bCs/>
          <w:i/>
          <w:iCs/>
          <w:szCs w:val="22"/>
        </w:rPr>
      </w:pPr>
      <w:r w:rsidRPr="002F2808">
        <w:rPr>
          <w:rFonts w:ascii="Calibri" w:hAnsi="Calibri" w:cs="Calibri"/>
          <w:bCs/>
          <w:szCs w:val="22"/>
        </w:rPr>
        <w:t>Delegatie i.p.v. uitvoering ligt hier voor de hand omdat het gaat om het aanvullen en wijzigen van niet-essentiële elementen van de regeling en niet om uniforme toepassing van reeds vastgestelde regels. Het kabinet acht deze bevoegdheid voldoende afgebakend</w:t>
      </w:r>
      <w:r w:rsidRPr="002F2808">
        <w:rPr>
          <w:rFonts w:ascii="Calibri" w:hAnsi="Calibri" w:cs="Calibri"/>
          <w:bCs/>
          <w:i/>
          <w:iCs/>
          <w:szCs w:val="22"/>
        </w:rPr>
        <w:t>.</w:t>
      </w:r>
    </w:p>
    <w:p w:rsidRPr="002F2808" w:rsidR="00C317EE" w:rsidP="002F2808" w:rsidRDefault="00C317EE" w14:paraId="1CAAC9A0" w14:textId="77777777">
      <w:pPr>
        <w:tabs>
          <w:tab w:val="left" w:pos="-426"/>
        </w:tabs>
        <w:suppressAutoHyphens/>
        <w:spacing w:line="240" w:lineRule="auto"/>
        <w:ind w:left="360"/>
        <w:rPr>
          <w:rFonts w:ascii="Calibri" w:hAnsi="Calibri" w:cs="Calibri"/>
          <w:bCs/>
          <w:i/>
          <w:iCs/>
          <w:szCs w:val="22"/>
        </w:rPr>
      </w:pPr>
    </w:p>
    <w:p w:rsidRPr="002F2808" w:rsidR="00C317EE" w:rsidP="002F2808" w:rsidRDefault="00C317EE" w14:paraId="5F05B453" w14:textId="52CF0C1B">
      <w:pPr>
        <w:tabs>
          <w:tab w:val="left" w:pos="-426"/>
        </w:tabs>
        <w:suppressAutoHyphens/>
        <w:spacing w:line="240" w:lineRule="auto"/>
        <w:rPr>
          <w:rFonts w:ascii="Calibri" w:hAnsi="Calibri" w:cs="Calibri"/>
          <w:bCs/>
          <w:i/>
          <w:iCs/>
          <w:szCs w:val="22"/>
        </w:rPr>
      </w:pPr>
      <w:r w:rsidRPr="002F2808">
        <w:rPr>
          <w:rFonts w:ascii="Calibri" w:hAnsi="Calibri" w:cs="Calibri"/>
          <w:bCs/>
          <w:szCs w:val="22"/>
        </w:rPr>
        <w:t>Voor de derde bevoegdheid geldt het volgende. Het toekennen van deze bevoegdheid is wel mogelijk, omdat het niet essentiële onderdelen van de basishandeling betreft. Toekenning van deze bevoegdhe</w:t>
      </w:r>
      <w:r w:rsidRPr="002F2808" w:rsidR="00672998">
        <w:rPr>
          <w:rFonts w:ascii="Calibri" w:hAnsi="Calibri" w:cs="Calibri"/>
          <w:bCs/>
          <w:szCs w:val="22"/>
        </w:rPr>
        <w:t>i</w:t>
      </w:r>
      <w:r w:rsidRPr="002F2808">
        <w:rPr>
          <w:rFonts w:ascii="Calibri" w:hAnsi="Calibri" w:cs="Calibri"/>
          <w:bCs/>
          <w:szCs w:val="22"/>
        </w:rPr>
        <w:t>d acht het kabinet wenselijk, omdat flexibiliteit nodig</w:t>
      </w:r>
      <w:r w:rsidRPr="002F2808" w:rsidR="00FC309C">
        <w:rPr>
          <w:rFonts w:ascii="Calibri" w:hAnsi="Calibri" w:cs="Calibri"/>
          <w:bCs/>
          <w:szCs w:val="22"/>
        </w:rPr>
        <w:t xml:space="preserve"> is</w:t>
      </w:r>
      <w:r w:rsidRPr="002F2808">
        <w:rPr>
          <w:rFonts w:ascii="Calibri" w:hAnsi="Calibri" w:cs="Calibri"/>
          <w:bCs/>
          <w:szCs w:val="22"/>
        </w:rPr>
        <w:t xml:space="preserve"> om bijlagen doelmatig te actualiseren. Delegatie i.p.v. uitvoering ligt hier voor de hand omdat het gaat om het aanvullen en wijzigen van niet-essentiële elementen van de regeling en niet om uniforme toepassing van reeds vastgestelde regels. Het kabinet acht deze bevoegdheid voldoende afgebakend</w:t>
      </w:r>
      <w:r w:rsidRPr="002F2808">
        <w:rPr>
          <w:rFonts w:ascii="Calibri" w:hAnsi="Calibri" w:cs="Calibri"/>
          <w:bCs/>
          <w:i/>
          <w:iCs/>
          <w:szCs w:val="22"/>
        </w:rPr>
        <w:t>.</w:t>
      </w:r>
    </w:p>
    <w:p w:rsidRPr="002F2808" w:rsidR="00C317EE" w:rsidP="002F2808" w:rsidRDefault="00C317EE" w14:paraId="78E3ACA4" w14:textId="77777777">
      <w:pPr>
        <w:tabs>
          <w:tab w:val="left" w:pos="-426"/>
        </w:tabs>
        <w:suppressAutoHyphens/>
        <w:spacing w:line="240" w:lineRule="auto"/>
        <w:ind w:left="360"/>
        <w:rPr>
          <w:rFonts w:ascii="Calibri" w:hAnsi="Calibri" w:cs="Calibri"/>
          <w:bCs/>
          <w:i/>
          <w:iCs/>
          <w:szCs w:val="22"/>
        </w:rPr>
      </w:pPr>
    </w:p>
    <w:p w:rsidRPr="002F2808" w:rsidR="00C317EE" w:rsidP="002F2808" w:rsidRDefault="00C317EE" w14:paraId="5162FD46" w14:textId="47430883">
      <w:pPr>
        <w:tabs>
          <w:tab w:val="left" w:pos="-426"/>
        </w:tabs>
        <w:suppressAutoHyphens/>
        <w:spacing w:line="240" w:lineRule="auto"/>
        <w:rPr>
          <w:rFonts w:ascii="Calibri" w:hAnsi="Calibri" w:cs="Calibri"/>
          <w:bCs/>
          <w:szCs w:val="22"/>
        </w:rPr>
      </w:pPr>
      <w:r w:rsidRPr="002F2808">
        <w:rPr>
          <w:rFonts w:ascii="Calibri" w:hAnsi="Calibri" w:cs="Calibri"/>
          <w:bCs/>
          <w:szCs w:val="22"/>
        </w:rPr>
        <w:t>Voor de vierde bevoegdheid geldt het volgende. Het toekennen van deze bevoegdheid is wel mogelijk, omdat het niet essentiële onderdelen van de basishandeling betreft. Toekenning van deze bevoegdhe</w:t>
      </w:r>
      <w:r w:rsidRPr="002F2808" w:rsidR="00672998">
        <w:rPr>
          <w:rFonts w:ascii="Calibri" w:hAnsi="Calibri" w:cs="Calibri"/>
          <w:bCs/>
          <w:szCs w:val="22"/>
        </w:rPr>
        <w:t>i</w:t>
      </w:r>
      <w:r w:rsidRPr="002F2808">
        <w:rPr>
          <w:rFonts w:ascii="Calibri" w:hAnsi="Calibri" w:cs="Calibri"/>
          <w:bCs/>
          <w:szCs w:val="22"/>
        </w:rPr>
        <w:t xml:space="preserve">d acht het kabinet wenselijk, omdat het gaat om </w:t>
      </w:r>
      <w:r w:rsidRPr="002F2808" w:rsidR="00490694">
        <w:rPr>
          <w:rFonts w:ascii="Calibri" w:hAnsi="Calibri" w:cs="Calibri"/>
          <w:bCs/>
          <w:szCs w:val="22"/>
        </w:rPr>
        <w:t xml:space="preserve">het aanpassen van </w:t>
      </w:r>
      <w:r w:rsidRPr="002F2808">
        <w:rPr>
          <w:rFonts w:ascii="Calibri" w:hAnsi="Calibri" w:cs="Calibri"/>
          <w:bCs/>
          <w:szCs w:val="22"/>
        </w:rPr>
        <w:t>procedurele en technische onderdelen</w:t>
      </w:r>
      <w:r w:rsidRPr="002F2808" w:rsidR="00490694">
        <w:rPr>
          <w:rFonts w:ascii="Calibri" w:hAnsi="Calibri" w:cs="Calibri"/>
          <w:bCs/>
          <w:szCs w:val="22"/>
        </w:rPr>
        <w:t xml:space="preserve"> waarbij flexibiliteit wenselijk is om deze bijlagen actueel te houden</w:t>
      </w:r>
      <w:r w:rsidRPr="002F2808">
        <w:rPr>
          <w:rFonts w:ascii="Calibri" w:hAnsi="Calibri" w:cs="Calibri"/>
          <w:bCs/>
          <w:szCs w:val="22"/>
        </w:rPr>
        <w:t>. Delegatie i.p.v. uitvoering ligt hier voor de hand omdat het gaat om het aanvullen en wijzigen van niet-essentiële elementen van de regeling en niet om uniforme toepassing van reeds vastgestelde regels. Het kabinet acht deze bevoegdheid wel voldoende afgebakend</w:t>
      </w:r>
      <w:r w:rsidRPr="002F2808">
        <w:rPr>
          <w:rFonts w:ascii="Calibri" w:hAnsi="Calibri" w:cs="Calibri"/>
          <w:bCs/>
          <w:i/>
          <w:iCs/>
          <w:szCs w:val="22"/>
        </w:rPr>
        <w:t>.</w:t>
      </w:r>
      <w:r w:rsidRPr="002F2808" w:rsidR="00D335D4">
        <w:rPr>
          <w:rFonts w:ascii="Calibri" w:hAnsi="Calibri" w:cs="Calibri"/>
          <w:bCs/>
          <w:szCs w:val="22"/>
        </w:rPr>
        <w:t xml:space="preserve"> </w:t>
      </w:r>
      <w:r w:rsidRPr="002F2808" w:rsidR="00722F3F">
        <w:rPr>
          <w:rFonts w:ascii="Calibri" w:hAnsi="Calibri" w:cs="Calibri"/>
          <w:bCs/>
          <w:szCs w:val="22"/>
        </w:rPr>
        <w:t>Het voorstel voldoet op dit punt</w:t>
      </w:r>
      <w:r w:rsidRPr="002F2808" w:rsidR="004E6CAE">
        <w:rPr>
          <w:rFonts w:ascii="Calibri" w:hAnsi="Calibri" w:cs="Calibri"/>
          <w:bCs/>
          <w:szCs w:val="22"/>
        </w:rPr>
        <w:t xml:space="preserve"> en levert geen problemen op voor de praktijk</w:t>
      </w:r>
      <w:r w:rsidRPr="002F2808" w:rsidR="00722F3F">
        <w:rPr>
          <w:rFonts w:ascii="Calibri" w:hAnsi="Calibri" w:cs="Calibri"/>
          <w:bCs/>
          <w:szCs w:val="22"/>
        </w:rPr>
        <w:t xml:space="preserve">, mits de huidige wijze waarop </w:t>
      </w:r>
      <w:r w:rsidRPr="002F2808" w:rsidR="00672998">
        <w:rPr>
          <w:rFonts w:ascii="Calibri" w:hAnsi="Calibri" w:cs="Calibri"/>
          <w:bCs/>
          <w:szCs w:val="22"/>
        </w:rPr>
        <w:t>l</w:t>
      </w:r>
      <w:r w:rsidRPr="002F2808" w:rsidR="00722F3F">
        <w:rPr>
          <w:rFonts w:ascii="Calibri" w:hAnsi="Calibri" w:cs="Calibri"/>
          <w:bCs/>
          <w:szCs w:val="22"/>
        </w:rPr>
        <w:t>idstaten inbreng/inspraak hebben wordt gehandhaafd.</w:t>
      </w:r>
    </w:p>
    <w:p w:rsidRPr="002F2808" w:rsidR="00490694" w:rsidP="002F2808" w:rsidRDefault="00490694" w14:paraId="0FCA6FCB" w14:textId="77777777">
      <w:pPr>
        <w:tabs>
          <w:tab w:val="left" w:pos="-426"/>
        </w:tabs>
        <w:suppressAutoHyphens/>
        <w:spacing w:line="240" w:lineRule="auto"/>
        <w:rPr>
          <w:rFonts w:ascii="Calibri" w:hAnsi="Calibri" w:cs="Calibri"/>
          <w:bCs/>
          <w:i/>
          <w:iCs/>
          <w:szCs w:val="22"/>
        </w:rPr>
      </w:pPr>
    </w:p>
    <w:p w:rsidRPr="002F2808" w:rsidR="00490694" w:rsidP="002F2808" w:rsidRDefault="00490694" w14:paraId="0C1B1C6D" w14:textId="4D6E7DC8">
      <w:pPr>
        <w:tabs>
          <w:tab w:val="left" w:pos="-426"/>
        </w:tabs>
        <w:suppressAutoHyphens/>
        <w:spacing w:line="240" w:lineRule="auto"/>
        <w:rPr>
          <w:rFonts w:ascii="Calibri" w:hAnsi="Calibri" w:cs="Calibri"/>
          <w:bCs/>
          <w:szCs w:val="22"/>
        </w:rPr>
      </w:pPr>
      <w:r w:rsidRPr="002F2808">
        <w:rPr>
          <w:rFonts w:ascii="Calibri" w:hAnsi="Calibri" w:cs="Calibri"/>
          <w:bCs/>
          <w:szCs w:val="22"/>
        </w:rPr>
        <w:t xml:space="preserve">Verder </w:t>
      </w:r>
      <w:r w:rsidRPr="002F2808" w:rsidR="006E594D">
        <w:rPr>
          <w:rFonts w:ascii="Calibri" w:hAnsi="Calibri" w:cs="Calibri"/>
          <w:bCs/>
          <w:szCs w:val="22"/>
        </w:rPr>
        <w:t xml:space="preserve">wordt in het voorstel bepaald dat de Commissie voor de vaststelling van de gedelegeerde handelingen waarmee </w:t>
      </w:r>
      <w:r w:rsidRPr="002F2808">
        <w:rPr>
          <w:rFonts w:ascii="Calibri" w:hAnsi="Calibri" w:cs="Calibri"/>
          <w:bCs/>
          <w:szCs w:val="22"/>
        </w:rPr>
        <w:t>Annex</w:t>
      </w:r>
      <w:r w:rsidRPr="002F2808" w:rsidR="006E594D">
        <w:rPr>
          <w:rFonts w:ascii="Calibri" w:hAnsi="Calibri" w:cs="Calibri"/>
          <w:bCs/>
          <w:szCs w:val="22"/>
        </w:rPr>
        <w:t>en</w:t>
      </w:r>
      <w:r w:rsidRPr="002F2808">
        <w:rPr>
          <w:rFonts w:ascii="Calibri" w:hAnsi="Calibri" w:cs="Calibri"/>
          <w:bCs/>
          <w:szCs w:val="22"/>
        </w:rPr>
        <w:t xml:space="preserve"> I, II en III </w:t>
      </w:r>
      <w:r w:rsidRPr="002F2808" w:rsidR="006E594D">
        <w:rPr>
          <w:rFonts w:ascii="Calibri" w:hAnsi="Calibri" w:cs="Calibri"/>
          <w:bCs/>
          <w:szCs w:val="22"/>
        </w:rPr>
        <w:t>worden ge</w:t>
      </w:r>
      <w:r w:rsidRPr="002F2808">
        <w:rPr>
          <w:rFonts w:ascii="Calibri" w:hAnsi="Calibri" w:cs="Calibri"/>
          <w:bCs/>
          <w:szCs w:val="22"/>
        </w:rPr>
        <w:t>wijzig</w:t>
      </w:r>
      <w:r w:rsidRPr="002F2808" w:rsidR="006E594D">
        <w:rPr>
          <w:rFonts w:ascii="Calibri" w:hAnsi="Calibri" w:cs="Calibri"/>
          <w:bCs/>
          <w:szCs w:val="22"/>
        </w:rPr>
        <w:t>d gebruik mag maken van de spoedprocedure</w:t>
      </w:r>
      <w:r w:rsidRPr="002F2808">
        <w:rPr>
          <w:rFonts w:ascii="Calibri" w:hAnsi="Calibri" w:cs="Calibri"/>
          <w:bCs/>
          <w:szCs w:val="22"/>
        </w:rPr>
        <w:t>, zolang er geen bezwaar hiertegen is ingediend door zowel het Europees Parlement als de Raad.</w:t>
      </w:r>
      <w:r w:rsidRPr="002F2808" w:rsidR="006E594D">
        <w:rPr>
          <w:rFonts w:ascii="Calibri" w:hAnsi="Calibri" w:cs="Calibri"/>
          <w:bCs/>
          <w:szCs w:val="22"/>
        </w:rPr>
        <w:t xml:space="preserve"> De mogelijkheid om gebruik te maken van de spoedprocedure</w:t>
      </w:r>
      <w:r w:rsidRPr="002F2808">
        <w:rPr>
          <w:rFonts w:ascii="Calibri" w:hAnsi="Calibri" w:cs="Calibri"/>
          <w:bCs/>
          <w:szCs w:val="22"/>
        </w:rPr>
        <w:t xml:space="preserve"> acht het kabinet wenselijk, omdat het nodig kan zijn dat de relevante Annexen met spoed worden gewijzigd. Het kabinet acht echter niet voldoende afgebakend</w:t>
      </w:r>
      <w:r w:rsidRPr="002F2808" w:rsidR="006E594D">
        <w:rPr>
          <w:rFonts w:ascii="Calibri" w:hAnsi="Calibri" w:cs="Calibri"/>
          <w:bCs/>
          <w:szCs w:val="22"/>
        </w:rPr>
        <w:t xml:space="preserve"> wanneer de Commissie gebruik mag maken van deze spoedprocedure</w:t>
      </w:r>
      <w:r w:rsidRPr="002F2808">
        <w:rPr>
          <w:rFonts w:ascii="Calibri" w:hAnsi="Calibri" w:cs="Calibri"/>
          <w:bCs/>
          <w:szCs w:val="22"/>
        </w:rPr>
        <w:t xml:space="preserve">, nu geenszins is omschreven in welke mogelijke gevallen </w:t>
      </w:r>
      <w:r w:rsidRPr="002F2808" w:rsidR="006E594D">
        <w:rPr>
          <w:rFonts w:ascii="Calibri" w:hAnsi="Calibri" w:cs="Calibri"/>
          <w:bCs/>
          <w:szCs w:val="22"/>
        </w:rPr>
        <w:t>sprake zou zijn van ‘spoed’</w:t>
      </w:r>
      <w:r w:rsidRPr="002F2808">
        <w:rPr>
          <w:rFonts w:ascii="Calibri" w:hAnsi="Calibri" w:cs="Calibri"/>
          <w:bCs/>
          <w:szCs w:val="22"/>
        </w:rPr>
        <w:t>.</w:t>
      </w:r>
      <w:r w:rsidRPr="002F2808" w:rsidR="006E594D">
        <w:rPr>
          <w:rFonts w:ascii="Calibri" w:hAnsi="Calibri" w:cs="Calibri"/>
          <w:bCs/>
          <w:szCs w:val="22"/>
        </w:rPr>
        <w:t xml:space="preserve"> </w:t>
      </w:r>
      <w:r w:rsidRPr="002F2808" w:rsidR="00713026">
        <w:rPr>
          <w:rFonts w:ascii="Calibri" w:hAnsi="Calibri" w:cs="Calibri"/>
          <w:bCs/>
          <w:szCs w:val="22"/>
        </w:rPr>
        <w:t xml:space="preserve">Het kabinet zet in op het verduidelijken van wanneer de Commissie gebruik kan maken van de spoedprocedure. </w:t>
      </w:r>
    </w:p>
    <w:p w:rsidRPr="002F2808" w:rsidR="00C317EE" w:rsidP="002F2808" w:rsidRDefault="00C317EE" w14:paraId="5D9B3D45" w14:textId="77777777">
      <w:pPr>
        <w:tabs>
          <w:tab w:val="left" w:pos="-426"/>
        </w:tabs>
        <w:suppressAutoHyphens/>
        <w:spacing w:line="240" w:lineRule="auto"/>
        <w:rPr>
          <w:rFonts w:ascii="Calibri" w:hAnsi="Calibri" w:cs="Calibri"/>
          <w:bCs/>
          <w:i/>
          <w:iCs/>
          <w:szCs w:val="22"/>
        </w:rPr>
      </w:pPr>
    </w:p>
    <w:p w:rsidRPr="002F2808" w:rsidR="00C317EE" w:rsidP="002F2808" w:rsidRDefault="00C317EE" w14:paraId="278A6DEA" w14:textId="10A12359">
      <w:pPr>
        <w:tabs>
          <w:tab w:val="left" w:pos="-426"/>
        </w:tabs>
        <w:suppressAutoHyphens/>
        <w:spacing w:line="240" w:lineRule="auto"/>
        <w:rPr>
          <w:rFonts w:ascii="Calibri" w:hAnsi="Calibri" w:cs="Calibri"/>
          <w:bCs/>
          <w:szCs w:val="22"/>
        </w:rPr>
      </w:pPr>
      <w:r w:rsidRPr="002F2808">
        <w:rPr>
          <w:rFonts w:ascii="Calibri" w:hAnsi="Calibri" w:cs="Calibri"/>
          <w:bCs/>
          <w:szCs w:val="22"/>
        </w:rPr>
        <w:lastRenderedPageBreak/>
        <w:t xml:space="preserve">Het voorstel bevat </w:t>
      </w:r>
      <w:r w:rsidRPr="002F2808" w:rsidR="00490694">
        <w:rPr>
          <w:rFonts w:ascii="Calibri" w:hAnsi="Calibri" w:cs="Calibri"/>
          <w:bCs/>
          <w:szCs w:val="22"/>
        </w:rPr>
        <w:t xml:space="preserve">ook </w:t>
      </w:r>
      <w:r w:rsidRPr="002F2808">
        <w:rPr>
          <w:rFonts w:ascii="Calibri" w:hAnsi="Calibri" w:cs="Calibri"/>
          <w:bCs/>
          <w:szCs w:val="22"/>
        </w:rPr>
        <w:t xml:space="preserve">de bevoegdheid voor de Commissie om </w:t>
      </w:r>
      <w:r w:rsidRPr="002F2808" w:rsidR="0085451F">
        <w:rPr>
          <w:rFonts w:ascii="Calibri" w:hAnsi="Calibri" w:cs="Calibri"/>
          <w:bCs/>
          <w:szCs w:val="22"/>
        </w:rPr>
        <w:t xml:space="preserve">een </w:t>
      </w:r>
      <w:r w:rsidRPr="002F2808">
        <w:rPr>
          <w:rFonts w:ascii="Calibri" w:hAnsi="Calibri" w:cs="Calibri"/>
          <w:bCs/>
          <w:szCs w:val="22"/>
        </w:rPr>
        <w:t xml:space="preserve">uitvoeringshandeling vast te stellen. Dit betreft de bevoegdheid om </w:t>
      </w:r>
      <w:r w:rsidRPr="002F2808" w:rsidR="00490694">
        <w:rPr>
          <w:rFonts w:ascii="Calibri" w:hAnsi="Calibri" w:cs="Calibri"/>
          <w:bCs/>
          <w:szCs w:val="22"/>
        </w:rPr>
        <w:t xml:space="preserve">op basis van artikel 35, achtste lid, </w:t>
      </w:r>
      <w:r w:rsidRPr="002F2808">
        <w:rPr>
          <w:rFonts w:ascii="Calibri" w:hAnsi="Calibri" w:cs="Calibri"/>
          <w:bCs/>
          <w:szCs w:val="22"/>
        </w:rPr>
        <w:t>technische specificaties en procedurele uitvoeringsregels vaststellen voor de ontwikkeling en werking van het centrale elektronische systeem voor drugsprecursoren. Het toekennen van deze bevoegdhe</w:t>
      </w:r>
      <w:r w:rsidRPr="002F2808" w:rsidR="0085451F">
        <w:rPr>
          <w:rFonts w:ascii="Calibri" w:hAnsi="Calibri" w:cs="Calibri"/>
          <w:bCs/>
          <w:szCs w:val="22"/>
        </w:rPr>
        <w:t>i</w:t>
      </w:r>
      <w:r w:rsidRPr="002F2808">
        <w:rPr>
          <w:rFonts w:ascii="Calibri" w:hAnsi="Calibri" w:cs="Calibri"/>
          <w:bCs/>
          <w:szCs w:val="22"/>
        </w:rPr>
        <w:t xml:space="preserve">d is wel mogelijk, omdat het niet essentiële onderdelen van de basishandeling betreft. Toekenning van deze bevoegdheden acht het kabinet </w:t>
      </w:r>
      <w:r w:rsidRPr="002F2808" w:rsidR="00490694">
        <w:rPr>
          <w:rFonts w:ascii="Calibri" w:hAnsi="Calibri" w:cs="Calibri"/>
          <w:bCs/>
          <w:szCs w:val="22"/>
        </w:rPr>
        <w:t>tevens</w:t>
      </w:r>
      <w:r w:rsidRPr="002F2808">
        <w:rPr>
          <w:rFonts w:ascii="Calibri" w:hAnsi="Calibri" w:cs="Calibri"/>
          <w:bCs/>
          <w:szCs w:val="22"/>
        </w:rPr>
        <w:t xml:space="preserve"> wenselijk, </w:t>
      </w:r>
      <w:r w:rsidRPr="002F2808" w:rsidR="0085451F">
        <w:rPr>
          <w:rFonts w:ascii="Calibri" w:hAnsi="Calibri" w:cs="Calibri"/>
          <w:bCs/>
          <w:szCs w:val="22"/>
        </w:rPr>
        <w:t xml:space="preserve">omdat </w:t>
      </w:r>
      <w:r w:rsidRPr="002F2808" w:rsidR="00490694">
        <w:rPr>
          <w:rFonts w:ascii="Calibri" w:hAnsi="Calibri" w:cs="Calibri"/>
          <w:bCs/>
          <w:szCs w:val="22"/>
        </w:rPr>
        <w:t xml:space="preserve">het wenselijk is de specificaties omtrent het elektronische systeem flexibel en snel eenvormig te kunnen vast te stellen voor het goed functioneren van het elektronische systeem. </w:t>
      </w:r>
      <w:r w:rsidRPr="002F2808">
        <w:rPr>
          <w:rFonts w:ascii="Calibri" w:hAnsi="Calibri" w:cs="Calibri"/>
          <w:bCs/>
          <w:szCs w:val="22"/>
        </w:rPr>
        <w:t>De keuze voor uitvoering i.p.v. delegatie ligt hier voor de hand omdat het gaat om uitvoering van de verordening</w:t>
      </w:r>
      <w:r w:rsidRPr="002F2808" w:rsidR="00490694">
        <w:rPr>
          <w:rFonts w:ascii="Calibri" w:hAnsi="Calibri" w:cs="Calibri"/>
          <w:bCs/>
          <w:szCs w:val="22"/>
        </w:rPr>
        <w:t xml:space="preserve"> en specifiek het vaststellen van het elektronische systeem</w:t>
      </w:r>
      <w:r w:rsidRPr="002F2808">
        <w:rPr>
          <w:rFonts w:ascii="Calibri" w:hAnsi="Calibri" w:cs="Calibri"/>
          <w:bCs/>
          <w:szCs w:val="22"/>
        </w:rPr>
        <w:t xml:space="preserve"> volgens eenvormige voorwaarden. De uitvoeringshandelingen worden vastgesteld volgens de</w:t>
      </w:r>
      <w:r w:rsidRPr="002F2808" w:rsidR="00490694">
        <w:rPr>
          <w:rFonts w:ascii="Calibri" w:hAnsi="Calibri" w:cs="Calibri"/>
          <w:bCs/>
          <w:szCs w:val="22"/>
        </w:rPr>
        <w:t xml:space="preserve"> </w:t>
      </w:r>
      <w:r w:rsidRPr="002F2808">
        <w:rPr>
          <w:rFonts w:ascii="Calibri" w:hAnsi="Calibri" w:cs="Calibri"/>
          <w:bCs/>
          <w:szCs w:val="22"/>
        </w:rPr>
        <w:t>onderzoeksprocedure als bedoeld in artikel 5 van verordening 182/2011. Toepassing van deze procedure is hier volgens het kabinet wel op zijn plaats omdat het gaat om uitvoeringshandelingen van algemene strekking</w:t>
      </w:r>
      <w:r w:rsidRPr="002F2808" w:rsidR="0085451F">
        <w:rPr>
          <w:rFonts w:ascii="Calibri" w:hAnsi="Calibri" w:cs="Calibri"/>
          <w:bCs/>
          <w:szCs w:val="22"/>
        </w:rPr>
        <w:t xml:space="preserve"> (artikel 2, lid 2, sub a, verordening 182/2011)</w:t>
      </w:r>
      <w:r w:rsidRPr="002F2808">
        <w:rPr>
          <w:rFonts w:ascii="Calibri" w:hAnsi="Calibri" w:cs="Calibri"/>
          <w:bCs/>
          <w:szCs w:val="22"/>
        </w:rPr>
        <w:t>.</w:t>
      </w:r>
    </w:p>
    <w:p w:rsidRPr="002F2808" w:rsidR="00C317EE" w:rsidP="002F2808" w:rsidRDefault="00C317EE" w14:paraId="5768C3A2" w14:textId="77777777">
      <w:pPr>
        <w:tabs>
          <w:tab w:val="left" w:pos="-426"/>
        </w:tabs>
        <w:suppressAutoHyphens/>
        <w:spacing w:line="240" w:lineRule="auto"/>
        <w:rPr>
          <w:rFonts w:ascii="Calibri" w:hAnsi="Calibri" w:cs="Calibri"/>
          <w:bCs/>
          <w:szCs w:val="22"/>
        </w:rPr>
      </w:pPr>
    </w:p>
    <w:p w:rsidRPr="002F2808" w:rsidR="00CB7FF8" w:rsidP="002F2808" w:rsidRDefault="00CB7FF8" w14:paraId="1A0C1940" w14:textId="77777777">
      <w:pPr>
        <w:numPr>
          <w:ilvl w:val="0"/>
          <w:numId w:val="9"/>
        </w:numPr>
        <w:spacing w:line="240" w:lineRule="auto"/>
        <w:rPr>
          <w:rFonts w:ascii="Calibri" w:hAnsi="Calibri" w:cs="Calibri"/>
          <w:bCs/>
          <w:szCs w:val="22"/>
        </w:rPr>
      </w:pPr>
      <w:r w:rsidRPr="002F2808">
        <w:rPr>
          <w:rFonts w:ascii="Calibri" w:hAnsi="Calibri" w:cs="Calibri"/>
          <w:bCs/>
          <w:szCs w:val="22"/>
        </w:rPr>
        <w:t>Voorgestelde implementatietermijn (bij richtlijnen), dan wel voorgestelde datum inwerkingtreding (bij verordeningen en bes</w:t>
      </w:r>
      <w:r w:rsidRPr="002F2808" w:rsidR="00AE735B">
        <w:rPr>
          <w:rFonts w:ascii="Calibri" w:hAnsi="Calibri" w:cs="Calibri"/>
          <w:bCs/>
          <w:szCs w:val="22"/>
        </w:rPr>
        <w:t>luiten</w:t>
      </w:r>
      <w:r w:rsidRPr="002F2808">
        <w:rPr>
          <w:rFonts w:ascii="Calibri" w:hAnsi="Calibri" w:cs="Calibri"/>
          <w:bCs/>
          <w:szCs w:val="22"/>
        </w:rPr>
        <w:t>) met commentaar t.a.v. haalbaarheid</w:t>
      </w:r>
    </w:p>
    <w:p w:rsidRPr="002F2808" w:rsidR="003F415B" w:rsidP="002F2808" w:rsidRDefault="003F415B" w14:paraId="36DF52B6" w14:textId="30536681">
      <w:pPr>
        <w:spacing w:line="240" w:lineRule="auto"/>
        <w:rPr>
          <w:rFonts w:ascii="Calibri" w:hAnsi="Calibri" w:cs="Calibri"/>
          <w:bCs/>
          <w:szCs w:val="22"/>
        </w:rPr>
      </w:pPr>
      <w:r w:rsidRPr="002F2808">
        <w:rPr>
          <w:rFonts w:ascii="Calibri" w:hAnsi="Calibri" w:cs="Calibri"/>
          <w:bCs/>
          <w:szCs w:val="22"/>
        </w:rPr>
        <w:t xml:space="preserve">De voorgestelde verordening zal na vaststelling en publicatie in het Publicatieblad van de Europese Unie rechtstreeks van toepassing zijn. Gezien de omvang van de wijzigingen, met name de invoering van een nieuw digitaal licentie- en registratiesysteem en de benodigde aanpassingen in toezicht en handhaving, is een overgangsperiode noodzakelijk. Een implementatietermijn van meerdere jaren wordt realistisch geacht om lidstaten, uitvoeringsorganisaties en het bedrijfsleven voldoende tijd te geven om nationale systemen aan te passen, personeel te trainen en procedures in te richten. </w:t>
      </w:r>
      <w:r w:rsidRPr="002F2808" w:rsidR="008869DE">
        <w:rPr>
          <w:rFonts w:ascii="Calibri" w:hAnsi="Calibri" w:cs="Calibri"/>
          <w:bCs/>
          <w:szCs w:val="22"/>
        </w:rPr>
        <w:t xml:space="preserve">Het kabinet </w:t>
      </w:r>
      <w:r w:rsidRPr="002F2808">
        <w:rPr>
          <w:rFonts w:ascii="Calibri" w:hAnsi="Calibri" w:cs="Calibri"/>
          <w:bCs/>
          <w:szCs w:val="22"/>
        </w:rPr>
        <w:t>zal zich inzetten voor een voldoende lange en realistische overgangstermijn, zodat de invoering zorgvuldig kan plaatsvinden en risico’s op verstoring van legale handel en uitvoeringsproblemen worden beperkt.</w:t>
      </w:r>
    </w:p>
    <w:p w:rsidRPr="002F2808" w:rsidR="00564CD5" w:rsidP="002F2808" w:rsidRDefault="00564CD5" w14:paraId="7216C727" w14:textId="77777777">
      <w:pPr>
        <w:spacing w:line="240" w:lineRule="auto"/>
        <w:rPr>
          <w:rFonts w:ascii="Calibri" w:hAnsi="Calibri" w:cs="Calibri"/>
          <w:bCs/>
          <w:szCs w:val="22"/>
        </w:rPr>
      </w:pPr>
    </w:p>
    <w:p w:rsidRPr="002F2808" w:rsidR="00CB7FF8" w:rsidP="002F2808" w:rsidRDefault="00CB7FF8" w14:paraId="5D315F20" w14:textId="77777777">
      <w:pPr>
        <w:numPr>
          <w:ilvl w:val="0"/>
          <w:numId w:val="9"/>
        </w:numPr>
        <w:spacing w:line="240" w:lineRule="auto"/>
        <w:rPr>
          <w:rFonts w:ascii="Calibri" w:hAnsi="Calibri" w:cs="Calibri"/>
          <w:bCs/>
          <w:szCs w:val="22"/>
        </w:rPr>
      </w:pPr>
      <w:r w:rsidRPr="002F2808">
        <w:rPr>
          <w:rFonts w:ascii="Calibri" w:hAnsi="Calibri" w:cs="Calibri"/>
          <w:bCs/>
          <w:szCs w:val="22"/>
        </w:rPr>
        <w:t>Wenselijkheid evaluatie-/horizonbepaling</w:t>
      </w:r>
    </w:p>
    <w:p w:rsidRPr="002F2808" w:rsidR="003F415B" w:rsidP="002F2808" w:rsidRDefault="003F415B" w14:paraId="773BB9CF" w14:textId="1A9EA617">
      <w:pPr>
        <w:spacing w:line="240" w:lineRule="auto"/>
        <w:rPr>
          <w:rFonts w:ascii="Calibri" w:hAnsi="Calibri" w:cs="Calibri"/>
          <w:bCs/>
          <w:szCs w:val="22"/>
        </w:rPr>
      </w:pPr>
      <w:r w:rsidRPr="002F2808">
        <w:rPr>
          <w:rFonts w:ascii="Calibri" w:hAnsi="Calibri" w:cs="Calibri"/>
          <w:bCs/>
          <w:szCs w:val="22"/>
        </w:rPr>
        <w:t xml:space="preserve">Het voorstel introduceert een jaarlijkse rapportage van de voortgang bij de implementatie van de verordening, wat zorgt voor transparantie en de mogelijkheid om bij te sturen. </w:t>
      </w:r>
      <w:r w:rsidRPr="002F2808" w:rsidR="008869DE">
        <w:rPr>
          <w:rFonts w:ascii="Calibri" w:hAnsi="Calibri" w:cs="Calibri"/>
          <w:bCs/>
          <w:szCs w:val="22"/>
        </w:rPr>
        <w:t>Het kabinet</w:t>
      </w:r>
      <w:r w:rsidRPr="002F2808">
        <w:rPr>
          <w:rFonts w:ascii="Calibri" w:hAnsi="Calibri" w:cs="Calibri"/>
          <w:bCs/>
          <w:szCs w:val="22"/>
        </w:rPr>
        <w:t xml:space="preserve"> steunt dit idee, aangezien het kan bijdragen aan betere handhaving en het sneller identificeren van knelpunten. </w:t>
      </w:r>
      <w:r w:rsidRPr="002F2808" w:rsidR="008869DE">
        <w:rPr>
          <w:rFonts w:ascii="Calibri" w:hAnsi="Calibri" w:cs="Calibri"/>
          <w:bCs/>
          <w:szCs w:val="22"/>
        </w:rPr>
        <w:t xml:space="preserve">Het kabinet </w:t>
      </w:r>
      <w:r w:rsidRPr="002F2808">
        <w:rPr>
          <w:rFonts w:ascii="Calibri" w:hAnsi="Calibri" w:cs="Calibri"/>
          <w:bCs/>
          <w:szCs w:val="22"/>
        </w:rPr>
        <w:t>zal zich inzetten voor een praktische en pragmatische invulling van de rapportage, waarbij de focus ligt op effectieve handhaving en de impact op bedrijven.</w:t>
      </w:r>
    </w:p>
    <w:p w:rsidRPr="002F2808" w:rsidR="00564CD5" w:rsidP="002F2808" w:rsidRDefault="00564CD5" w14:paraId="60B36A28" w14:textId="77777777">
      <w:pPr>
        <w:spacing w:line="240" w:lineRule="auto"/>
        <w:rPr>
          <w:rFonts w:ascii="Calibri" w:hAnsi="Calibri" w:cs="Calibri"/>
          <w:bCs/>
          <w:szCs w:val="22"/>
        </w:rPr>
      </w:pPr>
    </w:p>
    <w:p w:rsidRPr="002F2808" w:rsidR="00B538E7" w:rsidP="002F2808" w:rsidRDefault="00B538E7" w14:paraId="4A1B3547" w14:textId="77777777">
      <w:pPr>
        <w:numPr>
          <w:ilvl w:val="0"/>
          <w:numId w:val="9"/>
        </w:numPr>
        <w:spacing w:line="240" w:lineRule="auto"/>
        <w:rPr>
          <w:rFonts w:ascii="Calibri" w:hAnsi="Calibri" w:cs="Calibri"/>
          <w:bCs/>
          <w:szCs w:val="22"/>
        </w:rPr>
      </w:pPr>
      <w:r w:rsidRPr="002F2808">
        <w:rPr>
          <w:rFonts w:ascii="Calibri" w:hAnsi="Calibri" w:cs="Calibri"/>
          <w:bCs/>
          <w:szCs w:val="22"/>
        </w:rPr>
        <w:t>Constitutionele toets</w:t>
      </w:r>
    </w:p>
    <w:p w:rsidRPr="002F2808" w:rsidR="003F415B" w:rsidP="002F2808" w:rsidRDefault="00564CD5" w14:paraId="7BB9B9C0" w14:textId="5228DEF8">
      <w:pPr>
        <w:spacing w:line="240" w:lineRule="auto"/>
        <w:rPr>
          <w:rFonts w:ascii="Calibri" w:hAnsi="Calibri" w:cs="Calibri"/>
          <w:bCs/>
          <w:szCs w:val="22"/>
        </w:rPr>
      </w:pPr>
      <w:r w:rsidRPr="002F2808">
        <w:rPr>
          <w:rFonts w:ascii="Calibri" w:hAnsi="Calibri" w:cs="Calibri"/>
          <w:bCs/>
          <w:szCs w:val="22"/>
        </w:rPr>
        <w:t>Niet van toepassing</w:t>
      </w:r>
    </w:p>
    <w:p w:rsidRPr="002F2808" w:rsidR="00CB7FF8" w:rsidP="002F2808" w:rsidRDefault="00CB7FF8" w14:paraId="10D7B8CA" w14:textId="77777777">
      <w:pPr>
        <w:tabs>
          <w:tab w:val="left" w:pos="-284"/>
          <w:tab w:val="left" w:pos="340"/>
          <w:tab w:val="left" w:pos="426"/>
          <w:tab w:val="left" w:pos="680"/>
          <w:tab w:val="left" w:pos="1021"/>
          <w:tab w:val="left" w:pos="1361"/>
        </w:tabs>
        <w:spacing w:line="240" w:lineRule="auto"/>
        <w:rPr>
          <w:rFonts w:ascii="Calibri" w:hAnsi="Calibri" w:cs="Calibri"/>
          <w:szCs w:val="22"/>
          <w:u w:val="single"/>
        </w:rPr>
      </w:pPr>
    </w:p>
    <w:p w:rsidRPr="002F2808" w:rsidR="00CB7FF8" w:rsidP="002F2808" w:rsidRDefault="00CB7FF8" w14:paraId="3ED8E89C" w14:textId="77777777">
      <w:pPr>
        <w:numPr>
          <w:ilvl w:val="0"/>
          <w:numId w:val="3"/>
        </w:numPr>
        <w:spacing w:line="240" w:lineRule="auto"/>
        <w:rPr>
          <w:rFonts w:ascii="Calibri" w:hAnsi="Calibri" w:cs="Calibri"/>
          <w:b/>
          <w:szCs w:val="22"/>
        </w:rPr>
      </w:pPr>
      <w:r w:rsidRPr="002F2808">
        <w:rPr>
          <w:rFonts w:ascii="Calibri" w:hAnsi="Calibri" w:cs="Calibri"/>
          <w:b/>
          <w:szCs w:val="22"/>
        </w:rPr>
        <w:t>Implicaties voor uitvoering en</w:t>
      </w:r>
      <w:r w:rsidRPr="002F2808" w:rsidR="007B66D0">
        <w:rPr>
          <w:rFonts w:ascii="Calibri" w:hAnsi="Calibri" w:cs="Calibri"/>
          <w:b/>
          <w:szCs w:val="22"/>
        </w:rPr>
        <w:t>/of</w:t>
      </w:r>
      <w:r w:rsidRPr="002F2808">
        <w:rPr>
          <w:rFonts w:ascii="Calibri" w:hAnsi="Calibri" w:cs="Calibri"/>
          <w:b/>
          <w:szCs w:val="22"/>
        </w:rPr>
        <w:t xml:space="preserve"> handhaving</w:t>
      </w:r>
    </w:p>
    <w:p w:rsidRPr="002F2808" w:rsidR="0036605A" w:rsidP="002F2808" w:rsidRDefault="0036605A" w14:paraId="2AE6D344" w14:textId="0913B9B9">
      <w:pPr>
        <w:suppressAutoHyphens/>
        <w:spacing w:line="240" w:lineRule="auto"/>
        <w:rPr>
          <w:rFonts w:ascii="Calibri" w:hAnsi="Calibri" w:cs="Calibri"/>
          <w:bCs/>
          <w:szCs w:val="22"/>
        </w:rPr>
      </w:pPr>
      <w:r w:rsidRPr="002F2808">
        <w:rPr>
          <w:rFonts w:ascii="Calibri" w:hAnsi="Calibri" w:cs="Calibri"/>
          <w:bCs/>
          <w:szCs w:val="22"/>
        </w:rPr>
        <w:t xml:space="preserve">Partijen die zich in Nederland op enige manier bezighouden met precursoren (‘operators’) zijn in het voorstel nog altijd verplicht dat te melden aan de bevoegde autoriteiten, in Nederland </w:t>
      </w:r>
      <w:r w:rsidRPr="002F2808" w:rsidR="00564CD5">
        <w:rPr>
          <w:rFonts w:ascii="Calibri" w:hAnsi="Calibri" w:cs="Calibri"/>
          <w:bCs/>
          <w:szCs w:val="22"/>
        </w:rPr>
        <w:t xml:space="preserve">is dat </w:t>
      </w:r>
      <w:r w:rsidRPr="002F2808">
        <w:rPr>
          <w:rFonts w:ascii="Calibri" w:hAnsi="Calibri" w:cs="Calibri"/>
          <w:bCs/>
          <w:szCs w:val="22"/>
        </w:rPr>
        <w:t>de FIOD. Dat geldt ook voor verdachte situaties en misdrijven (artikel 8). Per categorie precursoren is er een reeks administratieve verplichtingen voor bedrijven, ook met betrekking tot import en export. Gunstig is dat douane, politie, defensie en officiële labs van de competente autoriteiten nu van deze verplichtingen zijn uitgezonderd.</w:t>
      </w:r>
    </w:p>
    <w:p w:rsidRPr="002F2808" w:rsidR="0036605A" w:rsidP="002F2808" w:rsidRDefault="0036605A" w14:paraId="7443A088" w14:textId="77777777">
      <w:pPr>
        <w:suppressAutoHyphens/>
        <w:spacing w:line="240" w:lineRule="auto"/>
        <w:rPr>
          <w:rFonts w:ascii="Calibri" w:hAnsi="Calibri" w:cs="Calibri"/>
          <w:bCs/>
          <w:szCs w:val="22"/>
        </w:rPr>
      </w:pPr>
    </w:p>
    <w:p w:rsidRPr="002F2808" w:rsidR="0036605A" w:rsidP="002F2808" w:rsidRDefault="0036605A" w14:paraId="61727086" w14:textId="77777777">
      <w:pPr>
        <w:suppressAutoHyphens/>
        <w:spacing w:line="240" w:lineRule="auto"/>
        <w:rPr>
          <w:rFonts w:ascii="Calibri" w:hAnsi="Calibri" w:cs="Calibri"/>
          <w:bCs/>
          <w:szCs w:val="22"/>
        </w:rPr>
      </w:pPr>
      <w:r w:rsidRPr="002F2808">
        <w:rPr>
          <w:rFonts w:ascii="Calibri" w:hAnsi="Calibri" w:cs="Calibri"/>
          <w:bCs/>
          <w:szCs w:val="22"/>
        </w:rPr>
        <w:t xml:space="preserve">De jaarlijkse opgaafverplichting waaruit veel relevante informatie wordt gehaald door de douane en op grond waarvan onderzoeken worden geselecteerd, zoals die in de huidige Verordeningen is opgenomen, maakt geen deel uit van de voorgestelde Verordening. Dat leidt mogelijk tot extra werkzaamheden/taken. Voor het effectief uitvoeren van toezicht zou de douane immers vaker bedrijven (‘operators’) moeten bezoeken. </w:t>
      </w:r>
    </w:p>
    <w:p w:rsidRPr="002F2808" w:rsidR="0036605A" w:rsidP="002F2808" w:rsidRDefault="0036605A" w14:paraId="6B1D0D28" w14:textId="77777777">
      <w:pPr>
        <w:suppressAutoHyphens/>
        <w:spacing w:line="240" w:lineRule="auto"/>
        <w:rPr>
          <w:rFonts w:ascii="Calibri" w:hAnsi="Calibri" w:cs="Calibri"/>
          <w:bCs/>
          <w:szCs w:val="22"/>
        </w:rPr>
      </w:pPr>
      <w:r w:rsidRPr="002F2808">
        <w:rPr>
          <w:rFonts w:ascii="Calibri" w:hAnsi="Calibri" w:cs="Calibri"/>
          <w:bCs/>
          <w:szCs w:val="22"/>
        </w:rPr>
        <w:t xml:space="preserve">Aan de andere kant zou het ook zo kunnen zijn dat het voorstel van de Commissie tot verregaande digitalisering, inclusief aansluiting van systemen via CERTEX, de hiervoor genoemde extra </w:t>
      </w:r>
      <w:r w:rsidRPr="002F2808">
        <w:rPr>
          <w:rFonts w:ascii="Calibri" w:hAnsi="Calibri" w:cs="Calibri"/>
          <w:bCs/>
          <w:szCs w:val="22"/>
        </w:rPr>
        <w:lastRenderedPageBreak/>
        <w:t xml:space="preserve">werkzaamheden voorkomt. In dat geval zou het voorstel juist meer doelmatig en risicogericht toezicht mogelijk maken. </w:t>
      </w:r>
    </w:p>
    <w:p w:rsidRPr="002F2808" w:rsidR="0036605A" w:rsidP="002F2808" w:rsidRDefault="0036605A" w14:paraId="548E9F75" w14:textId="77777777">
      <w:pPr>
        <w:suppressAutoHyphens/>
        <w:spacing w:line="240" w:lineRule="auto"/>
        <w:rPr>
          <w:rFonts w:ascii="Calibri" w:hAnsi="Calibri" w:cs="Calibri"/>
          <w:bCs/>
          <w:szCs w:val="22"/>
        </w:rPr>
      </w:pPr>
    </w:p>
    <w:p w:rsidRPr="002F2808" w:rsidR="0036605A" w:rsidP="002F2808" w:rsidRDefault="0036605A" w14:paraId="7E8822F1" w14:textId="77777777">
      <w:pPr>
        <w:suppressAutoHyphens/>
        <w:spacing w:line="240" w:lineRule="auto"/>
        <w:rPr>
          <w:rFonts w:ascii="Calibri" w:hAnsi="Calibri" w:cs="Calibri"/>
          <w:bCs/>
          <w:szCs w:val="22"/>
        </w:rPr>
      </w:pPr>
      <w:r w:rsidRPr="002F2808">
        <w:rPr>
          <w:rFonts w:ascii="Calibri" w:hAnsi="Calibri" w:cs="Calibri"/>
          <w:bCs/>
          <w:szCs w:val="22"/>
        </w:rPr>
        <w:t>Ook verdwenen zijn de speciale vergunningen en het toezicht op de export van precursoren. Nederland zal de Europese Commissie verzoeken om aanvullende maatregelen die waarborgen dat douane- en handhavingsdiensten effectief toezicht kunnen blijven houden op de in- en uitvoer van drugsprecursoren. Het verlichten van administratieve lasten voor het bedrijfsleven zou niet mogen leiden tot een verhoogd risico op misbruik van precursoren. De huidige tekst lijkt overigens ook voldoende ruimte te bieden voor een nadere invulling van die mogelijke voorwaarden</w:t>
      </w:r>
    </w:p>
    <w:p w:rsidRPr="002F2808" w:rsidR="000045DC" w:rsidP="002F2808" w:rsidRDefault="000045DC" w14:paraId="1D12DA17" w14:textId="77777777">
      <w:pPr>
        <w:suppressAutoHyphens/>
        <w:spacing w:line="240" w:lineRule="auto"/>
        <w:rPr>
          <w:rFonts w:ascii="Calibri" w:hAnsi="Calibri" w:cs="Calibri"/>
          <w:bCs/>
          <w:szCs w:val="22"/>
        </w:rPr>
      </w:pPr>
    </w:p>
    <w:p w:rsidRPr="002F2808" w:rsidR="0036605A" w:rsidP="002F2808" w:rsidRDefault="0036605A" w14:paraId="47B176C7" w14:textId="63084B6B">
      <w:pPr>
        <w:suppressAutoHyphens/>
        <w:spacing w:line="240" w:lineRule="auto"/>
        <w:rPr>
          <w:rFonts w:ascii="Calibri" w:hAnsi="Calibri" w:cs="Calibri"/>
          <w:bCs/>
          <w:szCs w:val="22"/>
        </w:rPr>
      </w:pPr>
      <w:r w:rsidRPr="002F2808">
        <w:rPr>
          <w:rFonts w:ascii="Calibri" w:hAnsi="Calibri" w:cs="Calibri"/>
          <w:bCs/>
          <w:szCs w:val="22"/>
        </w:rPr>
        <w:t>In het voorstel van de Commissie worden taken en verantwoordelijkheden consequent toebedeeld aan de “</w:t>
      </w:r>
      <w:r w:rsidRPr="002F2808">
        <w:rPr>
          <w:rFonts w:ascii="Calibri" w:hAnsi="Calibri" w:cs="Calibri"/>
          <w:bCs/>
          <w:i/>
          <w:iCs/>
          <w:szCs w:val="22"/>
        </w:rPr>
        <w:t>competent authorities</w:t>
      </w:r>
      <w:r w:rsidRPr="002F2808">
        <w:rPr>
          <w:rFonts w:ascii="Calibri" w:hAnsi="Calibri" w:cs="Calibri"/>
          <w:bCs/>
          <w:szCs w:val="22"/>
        </w:rPr>
        <w:t>” van de Lidstaten. In het geval van implementatie van de Verordening zullen taken en verantwoordelijkheden in de Nederlandse wet- en regelgeving worden toebedeeld aan de betreffende Nederlandse autoriteiten zoals op dit moment ook het geval is.</w:t>
      </w:r>
    </w:p>
    <w:p w:rsidRPr="002F2808" w:rsidR="000045DC" w:rsidP="002F2808" w:rsidRDefault="000045DC" w14:paraId="3EE4C2E6" w14:textId="77777777">
      <w:pPr>
        <w:suppressAutoHyphens/>
        <w:spacing w:line="240" w:lineRule="auto"/>
        <w:rPr>
          <w:rFonts w:ascii="Calibri" w:hAnsi="Calibri" w:cs="Calibri"/>
          <w:bCs/>
          <w:szCs w:val="22"/>
        </w:rPr>
      </w:pPr>
    </w:p>
    <w:p w:rsidRPr="002F2808" w:rsidR="00A17D60" w:rsidP="002F2808" w:rsidRDefault="0036605A" w14:paraId="5384C779" w14:textId="28C99E61">
      <w:pPr>
        <w:suppressAutoHyphens/>
        <w:spacing w:line="240" w:lineRule="auto"/>
        <w:rPr>
          <w:rFonts w:ascii="Calibri" w:hAnsi="Calibri" w:cs="Calibri"/>
          <w:bCs/>
          <w:szCs w:val="22"/>
        </w:rPr>
      </w:pPr>
      <w:r w:rsidRPr="002F2808">
        <w:rPr>
          <w:rFonts w:ascii="Calibri" w:hAnsi="Calibri" w:cs="Calibri"/>
          <w:bCs/>
          <w:szCs w:val="22"/>
        </w:rPr>
        <w:t>Het voorstel van de Commissie bevat geen sanctiebepalingen, maar wel de verplichting om sancties op te nemen in de nationale wetgeving in het geval van implementatie van de Verordening. Dit vraagt aanpassing van de huidige wetgeving, o.a. de WVMC en de Wed.</w:t>
      </w:r>
    </w:p>
    <w:p w:rsidRPr="002F2808" w:rsidR="0036605A" w:rsidP="002F2808" w:rsidRDefault="0036605A" w14:paraId="46DE737B" w14:textId="77777777">
      <w:pPr>
        <w:suppressAutoHyphens/>
        <w:spacing w:line="240" w:lineRule="auto"/>
        <w:rPr>
          <w:rFonts w:ascii="Calibri" w:hAnsi="Calibri" w:cs="Calibri"/>
          <w:bCs/>
          <w:szCs w:val="22"/>
        </w:rPr>
      </w:pPr>
    </w:p>
    <w:p w:rsidRPr="002F2808" w:rsidR="00CB7FF8" w:rsidP="002F2808" w:rsidRDefault="00CB7FF8" w14:paraId="6D9814F2" w14:textId="77777777">
      <w:pPr>
        <w:numPr>
          <w:ilvl w:val="0"/>
          <w:numId w:val="3"/>
        </w:numPr>
        <w:spacing w:line="240" w:lineRule="auto"/>
        <w:rPr>
          <w:rFonts w:ascii="Calibri" w:hAnsi="Calibri" w:cs="Calibri"/>
          <w:b/>
          <w:szCs w:val="22"/>
        </w:rPr>
      </w:pPr>
      <w:r w:rsidRPr="002F2808">
        <w:rPr>
          <w:rFonts w:ascii="Calibri" w:hAnsi="Calibri" w:cs="Calibri"/>
          <w:b/>
          <w:szCs w:val="22"/>
        </w:rPr>
        <w:t>Implicaties voor ontwikkelingslanden</w:t>
      </w:r>
    </w:p>
    <w:p w:rsidRPr="002F2808" w:rsidR="009A3B1D" w:rsidP="002F2808" w:rsidRDefault="00500921" w14:paraId="0A0A065B" w14:textId="2F2D40BA">
      <w:pPr>
        <w:tabs>
          <w:tab w:val="left" w:pos="0"/>
          <w:tab w:val="left" w:pos="340"/>
          <w:tab w:val="left" w:pos="680"/>
          <w:tab w:val="left" w:pos="1021"/>
          <w:tab w:val="left" w:pos="1361"/>
          <w:tab w:val="left" w:pos="1701"/>
          <w:tab w:val="left" w:pos="3402"/>
        </w:tabs>
        <w:suppressAutoHyphens/>
        <w:spacing w:line="240" w:lineRule="auto"/>
        <w:rPr>
          <w:rFonts w:ascii="Calibri" w:hAnsi="Calibri" w:cs="Calibri"/>
          <w:szCs w:val="22"/>
        </w:rPr>
      </w:pPr>
      <w:r w:rsidRPr="002F2808">
        <w:rPr>
          <w:rFonts w:ascii="Calibri" w:hAnsi="Calibri" w:cs="Calibri"/>
          <w:szCs w:val="22"/>
        </w:rPr>
        <w:t>Er zijn geen verwachte implicaties voor ontwikkelingslanden, anders dan implicaties voor derde landen in het algemeen.</w:t>
      </w:r>
    </w:p>
    <w:bookmarkEnd w:id="0"/>
    <w:bookmarkEnd w:id="1"/>
    <w:p w:rsidRPr="002F2808" w:rsidR="009A3B1D" w:rsidP="002F2808" w:rsidRDefault="009A3B1D" w14:paraId="6B379056" w14:textId="77777777">
      <w:pPr>
        <w:spacing w:line="240" w:lineRule="auto"/>
        <w:rPr>
          <w:rFonts w:ascii="Calibri" w:hAnsi="Calibri" w:cs="Calibri"/>
          <w:szCs w:val="22"/>
        </w:rPr>
      </w:pPr>
    </w:p>
    <w:sectPr w:rsidRPr="002F2808" w:rsidR="009A3B1D" w:rsidSect="000347C5">
      <w:footerReference w:type="even" r:id="rId13"/>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35958" w14:textId="77777777" w:rsidR="00EB0C3B" w:rsidRDefault="00EB0C3B">
      <w:r>
        <w:separator/>
      </w:r>
    </w:p>
  </w:endnote>
  <w:endnote w:type="continuationSeparator" w:id="0">
    <w:p w14:paraId="65FF5435" w14:textId="77777777" w:rsidR="00EB0C3B" w:rsidRDefault="00EB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77777777" w:rsidR="0037596E" w:rsidRDefault="0037596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3509E">
      <w:rPr>
        <w:rStyle w:val="Paginanummer"/>
        <w:noProof/>
      </w:rPr>
      <w:t>2</w:t>
    </w:r>
    <w:r>
      <w:rPr>
        <w:rStyle w:val="Paginanummer"/>
      </w:rPr>
      <w:fldChar w:fldCharType="end"/>
    </w:r>
  </w:p>
  <w:p w14:paraId="3BBF4F64" w14:textId="77777777" w:rsidR="0037596E" w:rsidRDefault="0037596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F2643" w14:textId="77777777" w:rsidR="00EB0C3B" w:rsidRDefault="00EB0C3B">
      <w:r>
        <w:separator/>
      </w:r>
    </w:p>
  </w:footnote>
  <w:footnote w:type="continuationSeparator" w:id="0">
    <w:p w14:paraId="66640655" w14:textId="77777777" w:rsidR="00EB0C3B" w:rsidRDefault="00EB0C3B">
      <w:r>
        <w:continuationSeparator/>
      </w:r>
    </w:p>
  </w:footnote>
  <w:footnote w:id="1">
    <w:p w14:paraId="7D01AED4" w14:textId="3266CDF9" w:rsidR="00125911" w:rsidRPr="002F2808" w:rsidRDefault="00125911" w:rsidP="002F2808">
      <w:pPr>
        <w:spacing w:line="240" w:lineRule="auto"/>
        <w:rPr>
          <w:rFonts w:ascii="Calibri" w:hAnsi="Calibri" w:cs="Calibri"/>
          <w:sz w:val="20"/>
        </w:rPr>
      </w:pPr>
      <w:r w:rsidRPr="002F2808">
        <w:rPr>
          <w:rFonts w:ascii="Calibri" w:hAnsi="Calibri" w:cs="Calibri"/>
          <w:sz w:val="20"/>
        </w:rPr>
        <w:footnoteRef/>
      </w:r>
      <w:r w:rsidRPr="002F2808">
        <w:rPr>
          <w:rFonts w:ascii="Calibri" w:hAnsi="Calibri" w:cs="Calibri"/>
          <w:sz w:val="20"/>
        </w:rPr>
        <w:t xml:space="preserve"> </w:t>
      </w:r>
      <w:r w:rsidR="00FD01C2" w:rsidRPr="002F2808">
        <w:rPr>
          <w:rFonts w:ascii="Calibri" w:hAnsi="Calibri" w:cs="Calibri"/>
          <w:sz w:val="20"/>
        </w:rPr>
        <w:t>Verordening (Eg) nr. 273/2004 van het Europees Parlement en de Raad van 11 februari 2004 inzake drugsprecursoren.</w:t>
      </w:r>
    </w:p>
  </w:footnote>
  <w:footnote w:id="2">
    <w:p w14:paraId="53A5DC72" w14:textId="65A667C7" w:rsidR="00125911" w:rsidRPr="002F2808" w:rsidRDefault="00125911" w:rsidP="002F2808">
      <w:pPr>
        <w:pStyle w:val="Geenafstand"/>
        <w:rPr>
          <w:rFonts w:ascii="Calibri" w:hAnsi="Calibri" w:cs="Calibri"/>
          <w:sz w:val="20"/>
        </w:rPr>
      </w:pPr>
      <w:r w:rsidRPr="002F2808">
        <w:rPr>
          <w:rStyle w:val="Voetnootmarkering"/>
          <w:rFonts w:ascii="Calibri" w:hAnsi="Calibri" w:cs="Calibri"/>
          <w:sz w:val="20"/>
        </w:rPr>
        <w:footnoteRef/>
      </w:r>
      <w:r w:rsidR="00FD01C2" w:rsidRPr="002F2808">
        <w:rPr>
          <w:rFonts w:ascii="Calibri" w:hAnsi="Calibri" w:cs="Calibri"/>
          <w:sz w:val="20"/>
        </w:rPr>
        <w:t xml:space="preserve"> Verordening (EG) nr. 111/2005 van de Raad van 22 december 2004 houdende voorschriften voor het toezicht op de handel tussen de Gemeenschap en derde landen in drugsprecursoren.</w:t>
      </w:r>
    </w:p>
  </w:footnote>
  <w:footnote w:id="3">
    <w:p w14:paraId="6ADF8A37" w14:textId="42C312E6" w:rsidR="00FD01C2" w:rsidRPr="002F2808" w:rsidRDefault="00FD01C2" w:rsidP="002F2808">
      <w:pPr>
        <w:pStyle w:val="Geenafstand"/>
        <w:rPr>
          <w:rFonts w:ascii="Calibri" w:hAnsi="Calibri" w:cs="Calibri"/>
          <w:sz w:val="20"/>
        </w:rPr>
      </w:pPr>
      <w:r w:rsidRPr="002F2808">
        <w:rPr>
          <w:rStyle w:val="Voetnootmarkering"/>
          <w:rFonts w:ascii="Calibri" w:hAnsi="Calibri" w:cs="Calibri"/>
          <w:sz w:val="20"/>
        </w:rPr>
        <w:footnoteRef/>
      </w:r>
      <w:r w:rsidRPr="002F2808">
        <w:rPr>
          <w:rFonts w:ascii="Calibri" w:hAnsi="Calibri" w:cs="Calibri"/>
          <w:sz w:val="20"/>
        </w:rPr>
        <w:t xml:space="preserve"> Kaderbesluit 2004/757/JBZ van de Raad van 25 oktober 2004 betreffende de vaststelling van minimumvoorschriften met betrekking tot de bestanddelen van strafbare feiten en met betrekking tot straffen op het gebied van de illegale drugshandel.</w:t>
      </w:r>
    </w:p>
  </w:footnote>
  <w:footnote w:id="4">
    <w:p w14:paraId="5C02FC8F" w14:textId="0EE50663" w:rsidR="00BC49CF" w:rsidRPr="002F2808" w:rsidRDefault="00BC49CF" w:rsidP="002F2808">
      <w:pPr>
        <w:pStyle w:val="Voetnoottekst"/>
        <w:spacing w:line="240" w:lineRule="auto"/>
        <w:rPr>
          <w:rFonts w:ascii="Calibri" w:hAnsi="Calibri" w:cs="Calibri"/>
          <w:sz w:val="20"/>
        </w:rPr>
      </w:pPr>
      <w:r w:rsidRPr="002F2808">
        <w:rPr>
          <w:rStyle w:val="Voetnootmarkering"/>
          <w:rFonts w:ascii="Calibri" w:hAnsi="Calibri" w:cs="Calibri"/>
          <w:sz w:val="20"/>
        </w:rPr>
        <w:footnoteRef/>
      </w:r>
      <w:r w:rsidRPr="002F2808">
        <w:rPr>
          <w:rFonts w:ascii="Calibri" w:hAnsi="Calibri" w:cs="Calibri"/>
          <w:sz w:val="20"/>
        </w:rPr>
        <w:t xml:space="preserve"> Zie BNC-fiche voor de EU-Drugsstrategie en het BNC-fiche voor het EU-Actieplan tegen drugshandel.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EFA1DA4"/>
    <w:multiLevelType w:val="hybridMultilevel"/>
    <w:tmpl w:val="6E5C3AAA"/>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6"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2791205"/>
    <w:multiLevelType w:val="hybridMultilevel"/>
    <w:tmpl w:val="134222E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3751FB5"/>
    <w:multiLevelType w:val="multilevel"/>
    <w:tmpl w:val="399A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4"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1973968">
    <w:abstractNumId w:val="5"/>
  </w:num>
  <w:num w:numId="2" w16cid:durableId="1912806236">
    <w:abstractNumId w:val="1"/>
  </w:num>
  <w:num w:numId="3" w16cid:durableId="940647415">
    <w:abstractNumId w:val="11"/>
  </w:num>
  <w:num w:numId="4" w16cid:durableId="248931023">
    <w:abstractNumId w:val="6"/>
  </w:num>
  <w:num w:numId="5" w16cid:durableId="1781800407">
    <w:abstractNumId w:val="9"/>
  </w:num>
  <w:num w:numId="6" w16cid:durableId="100538249">
    <w:abstractNumId w:val="3"/>
  </w:num>
  <w:num w:numId="7" w16cid:durableId="478116687">
    <w:abstractNumId w:val="2"/>
  </w:num>
  <w:num w:numId="8" w16cid:durableId="1817919455">
    <w:abstractNumId w:val="10"/>
  </w:num>
  <w:num w:numId="9" w16cid:durableId="1435520983">
    <w:abstractNumId w:val="4"/>
  </w:num>
  <w:num w:numId="10" w16cid:durableId="29111291">
    <w:abstractNumId w:val="0"/>
  </w:num>
  <w:num w:numId="11" w16cid:durableId="1974405833">
    <w:abstractNumId w:val="7"/>
  </w:num>
  <w:num w:numId="12" w16cid:durableId="598217349">
    <w:abstractNumId w:val="12"/>
  </w:num>
  <w:num w:numId="13" w16cid:durableId="1636913467">
    <w:abstractNumId w:val="8"/>
  </w:num>
  <w:num w:numId="14" w16cid:durableId="214895834">
    <w:abstractNumId w:val="14"/>
  </w:num>
  <w:num w:numId="15" w16cid:durableId="197867695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92B"/>
    <w:rsid w:val="00003712"/>
    <w:rsid w:val="000038CD"/>
    <w:rsid w:val="000045DC"/>
    <w:rsid w:val="00006F38"/>
    <w:rsid w:val="00007492"/>
    <w:rsid w:val="00016D97"/>
    <w:rsid w:val="00021406"/>
    <w:rsid w:val="000250E9"/>
    <w:rsid w:val="000334E9"/>
    <w:rsid w:val="000347C5"/>
    <w:rsid w:val="00041294"/>
    <w:rsid w:val="0005427D"/>
    <w:rsid w:val="0005716C"/>
    <w:rsid w:val="00060C70"/>
    <w:rsid w:val="000641A0"/>
    <w:rsid w:val="00072BDD"/>
    <w:rsid w:val="00076EDE"/>
    <w:rsid w:val="00076FB9"/>
    <w:rsid w:val="00077097"/>
    <w:rsid w:val="00082856"/>
    <w:rsid w:val="000921CB"/>
    <w:rsid w:val="000A39A4"/>
    <w:rsid w:val="000A50DB"/>
    <w:rsid w:val="000B35BA"/>
    <w:rsid w:val="000C4244"/>
    <w:rsid w:val="000D4EC2"/>
    <w:rsid w:val="000D5EC6"/>
    <w:rsid w:val="000E1F75"/>
    <w:rsid w:val="000E6338"/>
    <w:rsid w:val="001118F5"/>
    <w:rsid w:val="00125911"/>
    <w:rsid w:val="00137B5F"/>
    <w:rsid w:val="001430C1"/>
    <w:rsid w:val="00150918"/>
    <w:rsid w:val="00157F99"/>
    <w:rsid w:val="00172364"/>
    <w:rsid w:val="0017461C"/>
    <w:rsid w:val="0018227F"/>
    <w:rsid w:val="001A6D2F"/>
    <w:rsid w:val="001C70BF"/>
    <w:rsid w:val="001D76DE"/>
    <w:rsid w:val="001E7161"/>
    <w:rsid w:val="00214630"/>
    <w:rsid w:val="0021593A"/>
    <w:rsid w:val="00223D76"/>
    <w:rsid w:val="0022749E"/>
    <w:rsid w:val="00230764"/>
    <w:rsid w:val="00237D41"/>
    <w:rsid w:val="0024227C"/>
    <w:rsid w:val="00257561"/>
    <w:rsid w:val="00282E8E"/>
    <w:rsid w:val="002832CD"/>
    <w:rsid w:val="00284933"/>
    <w:rsid w:val="0028660D"/>
    <w:rsid w:val="002B76EC"/>
    <w:rsid w:val="002C3954"/>
    <w:rsid w:val="002D0844"/>
    <w:rsid w:val="002D4677"/>
    <w:rsid w:val="002E5174"/>
    <w:rsid w:val="002F2808"/>
    <w:rsid w:val="002F2E18"/>
    <w:rsid w:val="002F38E5"/>
    <w:rsid w:val="002F6A66"/>
    <w:rsid w:val="00313255"/>
    <w:rsid w:val="00313441"/>
    <w:rsid w:val="00315904"/>
    <w:rsid w:val="00323AE4"/>
    <w:rsid w:val="0032779E"/>
    <w:rsid w:val="00330FE7"/>
    <w:rsid w:val="00335195"/>
    <w:rsid w:val="0034042F"/>
    <w:rsid w:val="00350FED"/>
    <w:rsid w:val="00360178"/>
    <w:rsid w:val="0036605A"/>
    <w:rsid w:val="00374299"/>
    <w:rsid w:val="0037596E"/>
    <w:rsid w:val="003A0692"/>
    <w:rsid w:val="003B04C1"/>
    <w:rsid w:val="003C3B1C"/>
    <w:rsid w:val="003D31AE"/>
    <w:rsid w:val="003E08E4"/>
    <w:rsid w:val="003F415B"/>
    <w:rsid w:val="004045EE"/>
    <w:rsid w:val="00406D8A"/>
    <w:rsid w:val="004116E9"/>
    <w:rsid w:val="004175DD"/>
    <w:rsid w:val="004640FF"/>
    <w:rsid w:val="00472570"/>
    <w:rsid w:val="004757F0"/>
    <w:rsid w:val="00483C06"/>
    <w:rsid w:val="0049050F"/>
    <w:rsid w:val="00490694"/>
    <w:rsid w:val="004A136E"/>
    <w:rsid w:val="004E6CAE"/>
    <w:rsid w:val="004F32EB"/>
    <w:rsid w:val="00500921"/>
    <w:rsid w:val="00514FCE"/>
    <w:rsid w:val="00522FBD"/>
    <w:rsid w:val="00523D2C"/>
    <w:rsid w:val="00524BA9"/>
    <w:rsid w:val="00527C5B"/>
    <w:rsid w:val="00527EED"/>
    <w:rsid w:val="00532B48"/>
    <w:rsid w:val="00542F0E"/>
    <w:rsid w:val="00543B07"/>
    <w:rsid w:val="00543E94"/>
    <w:rsid w:val="00563002"/>
    <w:rsid w:val="00564CD5"/>
    <w:rsid w:val="005818DA"/>
    <w:rsid w:val="00592B62"/>
    <w:rsid w:val="005A09F2"/>
    <w:rsid w:val="005B439E"/>
    <w:rsid w:val="005C6340"/>
    <w:rsid w:val="005D4DB0"/>
    <w:rsid w:val="005E3CCE"/>
    <w:rsid w:val="005F0C6C"/>
    <w:rsid w:val="0060290D"/>
    <w:rsid w:val="0060585F"/>
    <w:rsid w:val="0061080D"/>
    <w:rsid w:val="0061247C"/>
    <w:rsid w:val="00615C94"/>
    <w:rsid w:val="006461C1"/>
    <w:rsid w:val="00671A44"/>
    <w:rsid w:val="00672998"/>
    <w:rsid w:val="0068315E"/>
    <w:rsid w:val="00692037"/>
    <w:rsid w:val="006B26E5"/>
    <w:rsid w:val="006C185D"/>
    <w:rsid w:val="006C26B4"/>
    <w:rsid w:val="006C4AA5"/>
    <w:rsid w:val="006C7BA9"/>
    <w:rsid w:val="006D0B4A"/>
    <w:rsid w:val="006D1EA3"/>
    <w:rsid w:val="006D5A43"/>
    <w:rsid w:val="006D6097"/>
    <w:rsid w:val="006E594D"/>
    <w:rsid w:val="00707C49"/>
    <w:rsid w:val="0071092B"/>
    <w:rsid w:val="00713026"/>
    <w:rsid w:val="00720AFB"/>
    <w:rsid w:val="00722F3F"/>
    <w:rsid w:val="00735FCC"/>
    <w:rsid w:val="007441B5"/>
    <w:rsid w:val="00747910"/>
    <w:rsid w:val="00762339"/>
    <w:rsid w:val="00786820"/>
    <w:rsid w:val="00787546"/>
    <w:rsid w:val="007A098D"/>
    <w:rsid w:val="007A3737"/>
    <w:rsid w:val="007A7F16"/>
    <w:rsid w:val="007B66D0"/>
    <w:rsid w:val="007B7D36"/>
    <w:rsid w:val="007D493C"/>
    <w:rsid w:val="007E0CD8"/>
    <w:rsid w:val="007F2F7A"/>
    <w:rsid w:val="007F7A38"/>
    <w:rsid w:val="00814D40"/>
    <w:rsid w:val="008159BC"/>
    <w:rsid w:val="008223D5"/>
    <w:rsid w:val="008266E8"/>
    <w:rsid w:val="008471EB"/>
    <w:rsid w:val="0085147A"/>
    <w:rsid w:val="0085451F"/>
    <w:rsid w:val="00880CBF"/>
    <w:rsid w:val="00885F64"/>
    <w:rsid w:val="008860BB"/>
    <w:rsid w:val="00886749"/>
    <w:rsid w:val="008869DE"/>
    <w:rsid w:val="00891D75"/>
    <w:rsid w:val="00894854"/>
    <w:rsid w:val="00895640"/>
    <w:rsid w:val="008A254D"/>
    <w:rsid w:val="008A514B"/>
    <w:rsid w:val="008B68C5"/>
    <w:rsid w:val="008C1E1C"/>
    <w:rsid w:val="008E1384"/>
    <w:rsid w:val="008E2FC7"/>
    <w:rsid w:val="008F68AA"/>
    <w:rsid w:val="008F6E1C"/>
    <w:rsid w:val="00927C84"/>
    <w:rsid w:val="00937FE8"/>
    <w:rsid w:val="00940049"/>
    <w:rsid w:val="009420FA"/>
    <w:rsid w:val="009448E4"/>
    <w:rsid w:val="00945F14"/>
    <w:rsid w:val="00960DF6"/>
    <w:rsid w:val="00965DFC"/>
    <w:rsid w:val="00970074"/>
    <w:rsid w:val="0097474D"/>
    <w:rsid w:val="00982341"/>
    <w:rsid w:val="009918A1"/>
    <w:rsid w:val="00995021"/>
    <w:rsid w:val="009A3B1D"/>
    <w:rsid w:val="009B4D0D"/>
    <w:rsid w:val="009B7E75"/>
    <w:rsid w:val="009C484A"/>
    <w:rsid w:val="009C6827"/>
    <w:rsid w:val="009D5AB9"/>
    <w:rsid w:val="009F3507"/>
    <w:rsid w:val="009F4340"/>
    <w:rsid w:val="00A03A16"/>
    <w:rsid w:val="00A15B58"/>
    <w:rsid w:val="00A17D60"/>
    <w:rsid w:val="00A27B1D"/>
    <w:rsid w:val="00A32AD8"/>
    <w:rsid w:val="00A402F9"/>
    <w:rsid w:val="00A46EDB"/>
    <w:rsid w:val="00A53D3D"/>
    <w:rsid w:val="00A64578"/>
    <w:rsid w:val="00A70AD5"/>
    <w:rsid w:val="00A906EF"/>
    <w:rsid w:val="00AA34A7"/>
    <w:rsid w:val="00AA3718"/>
    <w:rsid w:val="00AC5451"/>
    <w:rsid w:val="00AC588C"/>
    <w:rsid w:val="00AC5BFC"/>
    <w:rsid w:val="00AD16B4"/>
    <w:rsid w:val="00AD1CD7"/>
    <w:rsid w:val="00AD32DB"/>
    <w:rsid w:val="00AD4705"/>
    <w:rsid w:val="00AD702C"/>
    <w:rsid w:val="00AE735B"/>
    <w:rsid w:val="00AF24A7"/>
    <w:rsid w:val="00B07270"/>
    <w:rsid w:val="00B14D7A"/>
    <w:rsid w:val="00B27A3E"/>
    <w:rsid w:val="00B453D9"/>
    <w:rsid w:val="00B469F1"/>
    <w:rsid w:val="00B538E7"/>
    <w:rsid w:val="00B563F5"/>
    <w:rsid w:val="00B7466C"/>
    <w:rsid w:val="00B866C3"/>
    <w:rsid w:val="00B9137A"/>
    <w:rsid w:val="00B9558C"/>
    <w:rsid w:val="00BA46AB"/>
    <w:rsid w:val="00BA6BFC"/>
    <w:rsid w:val="00BB190B"/>
    <w:rsid w:val="00BB3A7F"/>
    <w:rsid w:val="00BC2368"/>
    <w:rsid w:val="00BC3894"/>
    <w:rsid w:val="00BC49CF"/>
    <w:rsid w:val="00BD1572"/>
    <w:rsid w:val="00BD4F84"/>
    <w:rsid w:val="00BE290B"/>
    <w:rsid w:val="00C152F8"/>
    <w:rsid w:val="00C173CF"/>
    <w:rsid w:val="00C317EE"/>
    <w:rsid w:val="00C31DFE"/>
    <w:rsid w:val="00C32F3F"/>
    <w:rsid w:val="00C37BEA"/>
    <w:rsid w:val="00C42CDB"/>
    <w:rsid w:val="00C4413E"/>
    <w:rsid w:val="00C8288C"/>
    <w:rsid w:val="00C85F76"/>
    <w:rsid w:val="00C87195"/>
    <w:rsid w:val="00C90118"/>
    <w:rsid w:val="00C97B82"/>
    <w:rsid w:val="00CA6273"/>
    <w:rsid w:val="00CA7543"/>
    <w:rsid w:val="00CB42BA"/>
    <w:rsid w:val="00CB51F8"/>
    <w:rsid w:val="00CB6CE3"/>
    <w:rsid w:val="00CB72F4"/>
    <w:rsid w:val="00CB7FF8"/>
    <w:rsid w:val="00CC105B"/>
    <w:rsid w:val="00CE34D8"/>
    <w:rsid w:val="00CE5717"/>
    <w:rsid w:val="00CE72F7"/>
    <w:rsid w:val="00CF4814"/>
    <w:rsid w:val="00D06312"/>
    <w:rsid w:val="00D121CC"/>
    <w:rsid w:val="00D212B0"/>
    <w:rsid w:val="00D335D4"/>
    <w:rsid w:val="00D3602F"/>
    <w:rsid w:val="00D85808"/>
    <w:rsid w:val="00D94CB6"/>
    <w:rsid w:val="00DA1708"/>
    <w:rsid w:val="00DA19A2"/>
    <w:rsid w:val="00DB609C"/>
    <w:rsid w:val="00DD2E8E"/>
    <w:rsid w:val="00DD6785"/>
    <w:rsid w:val="00DE60C8"/>
    <w:rsid w:val="00DE6EE2"/>
    <w:rsid w:val="00DF26B8"/>
    <w:rsid w:val="00DF6112"/>
    <w:rsid w:val="00DF6A93"/>
    <w:rsid w:val="00E043AC"/>
    <w:rsid w:val="00E14189"/>
    <w:rsid w:val="00E26089"/>
    <w:rsid w:val="00E3509E"/>
    <w:rsid w:val="00E539A8"/>
    <w:rsid w:val="00E6210D"/>
    <w:rsid w:val="00E670B3"/>
    <w:rsid w:val="00E81A2D"/>
    <w:rsid w:val="00E91D47"/>
    <w:rsid w:val="00E95981"/>
    <w:rsid w:val="00EB0C3B"/>
    <w:rsid w:val="00EB11DA"/>
    <w:rsid w:val="00EB777D"/>
    <w:rsid w:val="00EC7377"/>
    <w:rsid w:val="00EC7BA2"/>
    <w:rsid w:val="00ED49F6"/>
    <w:rsid w:val="00ED5BAE"/>
    <w:rsid w:val="00EE300E"/>
    <w:rsid w:val="00EF2981"/>
    <w:rsid w:val="00F0663A"/>
    <w:rsid w:val="00F30C33"/>
    <w:rsid w:val="00F35742"/>
    <w:rsid w:val="00F42FAC"/>
    <w:rsid w:val="00F431C3"/>
    <w:rsid w:val="00F54064"/>
    <w:rsid w:val="00F55A1B"/>
    <w:rsid w:val="00F723E4"/>
    <w:rsid w:val="00F741C4"/>
    <w:rsid w:val="00F74E07"/>
    <w:rsid w:val="00F85D29"/>
    <w:rsid w:val="00F878CF"/>
    <w:rsid w:val="00F936B2"/>
    <w:rsid w:val="00FA65F2"/>
    <w:rsid w:val="00FB33B2"/>
    <w:rsid w:val="00FB754B"/>
    <w:rsid w:val="00FC309C"/>
    <w:rsid w:val="00FD01C2"/>
    <w:rsid w:val="00FD630F"/>
    <w:rsid w:val="00FF3C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tabs>
        <w:tab w:val="left" w:pos="0"/>
      </w:tabs>
      <w:spacing w:before="240" w:after="60"/>
      <w:outlineLvl w:val="0"/>
    </w:pPr>
    <w:rPr>
      <w:b/>
      <w:kern w:val="28"/>
      <w:sz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2"/>
      </w:numPr>
      <w:spacing w:line="360" w:lineRule="auto"/>
    </w:pPr>
    <w:rPr>
      <w:bCs/>
      <w:sz w:val="28"/>
      <w:lang w:val="en-GB" w:eastAsia="nl-NL"/>
    </w:rPr>
  </w:style>
  <w:style w:type="paragraph" w:styleId="Koptekst">
    <w:name w:val="header"/>
    <w:basedOn w:val="Standaard"/>
    <w:link w:val="KoptekstChar"/>
    <w:pPr>
      <w:tabs>
        <w:tab w:val="center" w:pos="4536"/>
        <w:tab w:val="right" w:pos="9072"/>
      </w:tabs>
    </w:pPr>
  </w:style>
  <w:style w:type="character" w:customStyle="1" w:styleId="KoptekstChar">
    <w:name w:val="Koptekst Char"/>
    <w:link w:val="Koptekst"/>
    <w:rPr>
      <w:sz w:val="22"/>
      <w:lang w:val="nl-NL" w:eastAsia="zh-CN" w:bidi="ar-SA"/>
    </w:rPr>
  </w:style>
  <w:style w:type="paragraph" w:styleId="Voetnoottekst">
    <w:name w:val="footnote text"/>
    <w:basedOn w:val="Standaard"/>
    <w:semiHidden/>
    <w:pPr>
      <w:spacing w:line="240" w:lineRule="atLeast"/>
      <w:ind w:left="1298" w:hanging="1298"/>
    </w:pPr>
    <w:rPr>
      <w:sz w:val="16"/>
    </w:rPr>
  </w:style>
  <w:style w:type="character" w:styleId="Voetnootmarkering">
    <w:name w:val="footnote reference"/>
    <w:semiHidden/>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semiHidden/>
    <w:rPr>
      <w:sz w:val="16"/>
      <w:szCs w:val="16"/>
    </w:rPr>
  </w:style>
  <w:style w:type="paragraph" w:styleId="Tekstopmerking">
    <w:name w:val="annotation text"/>
    <w:basedOn w:val="Standaard"/>
    <w:link w:val="TekstopmerkingChar"/>
    <w:semiHidden/>
    <w:rPr>
      <w:sz w:val="20"/>
    </w:rPr>
  </w:style>
  <w:style w:type="paragraph" w:styleId="Onderwerpvanopmerking">
    <w:name w:val="annotation subject"/>
    <w:basedOn w:val="Tekstopmerking"/>
    <w:next w:val="Tekstopmerking"/>
    <w:semiHidden/>
    <w:rPr>
      <w:b/>
      <w:bCs/>
    </w:rPr>
  </w:style>
  <w:style w:type="character" w:styleId="Zwaar">
    <w:name w:val="Strong"/>
    <w:uiPriority w:val="22"/>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paragraph" w:styleId="Normaalweb">
    <w:name w:val="Normal (Web)"/>
    <w:basedOn w:val="Standaard"/>
    <w:uiPriority w:val="99"/>
    <w:unhideWhenUsed/>
    <w:rsid w:val="00BD1572"/>
    <w:pPr>
      <w:spacing w:before="100" w:beforeAutospacing="1" w:after="100" w:afterAutospacing="1" w:line="240" w:lineRule="auto"/>
    </w:pPr>
    <w:rPr>
      <w:sz w:val="24"/>
      <w:szCs w:val="24"/>
      <w:lang w:eastAsia="nl-NL"/>
    </w:rPr>
  </w:style>
  <w:style w:type="character" w:customStyle="1" w:styleId="ms-1">
    <w:name w:val="ms-1"/>
    <w:basedOn w:val="Standaardalinea-lettertype"/>
    <w:rsid w:val="00BD1572"/>
  </w:style>
  <w:style w:type="character" w:customStyle="1" w:styleId="max-w-15ch">
    <w:name w:val="max-w-[15ch]"/>
    <w:basedOn w:val="Standaardalinea-lettertype"/>
    <w:rsid w:val="00BD1572"/>
  </w:style>
  <w:style w:type="character" w:customStyle="1" w:styleId="-me-1">
    <w:name w:val="-me-1"/>
    <w:basedOn w:val="Standaardalinea-lettertype"/>
    <w:rsid w:val="00BD1572"/>
  </w:style>
  <w:style w:type="character" w:styleId="Nadruk">
    <w:name w:val="Emphasis"/>
    <w:basedOn w:val="Standaardalinea-lettertype"/>
    <w:uiPriority w:val="20"/>
    <w:qFormat/>
    <w:rsid w:val="006D0B4A"/>
    <w:rPr>
      <w:i/>
      <w:iCs/>
    </w:rPr>
  </w:style>
  <w:style w:type="paragraph" w:styleId="Revisie">
    <w:name w:val="Revision"/>
    <w:hidden/>
    <w:uiPriority w:val="99"/>
    <w:semiHidden/>
    <w:rsid w:val="00CA6273"/>
    <w:rPr>
      <w:sz w:val="22"/>
      <w:lang w:eastAsia="zh-CN"/>
    </w:rPr>
  </w:style>
  <w:style w:type="character" w:styleId="Onopgelostemelding">
    <w:name w:val="Unresolved Mention"/>
    <w:basedOn w:val="Standaardalinea-lettertype"/>
    <w:uiPriority w:val="99"/>
    <w:semiHidden/>
    <w:unhideWhenUsed/>
    <w:rsid w:val="00CA6273"/>
    <w:rPr>
      <w:color w:val="605E5C"/>
      <w:shd w:val="clear" w:color="auto" w:fill="E1DFDD"/>
    </w:rPr>
  </w:style>
  <w:style w:type="paragraph" w:customStyle="1" w:styleId="paragraph">
    <w:name w:val="paragraph"/>
    <w:basedOn w:val="Standaard"/>
    <w:rsid w:val="00500921"/>
    <w:pPr>
      <w:spacing w:before="100" w:beforeAutospacing="1" w:after="100" w:afterAutospacing="1" w:line="240" w:lineRule="auto"/>
    </w:pPr>
    <w:rPr>
      <w:sz w:val="24"/>
      <w:szCs w:val="24"/>
      <w:lang w:eastAsia="nl-NL"/>
    </w:rPr>
  </w:style>
  <w:style w:type="character" w:customStyle="1" w:styleId="normaltextrun">
    <w:name w:val="normaltextrun"/>
    <w:basedOn w:val="Standaardalinea-lettertype"/>
    <w:rsid w:val="00500921"/>
  </w:style>
  <w:style w:type="character" w:customStyle="1" w:styleId="eop">
    <w:name w:val="eop"/>
    <w:basedOn w:val="Standaardalinea-lettertype"/>
    <w:rsid w:val="00500921"/>
  </w:style>
  <w:style w:type="character" w:customStyle="1" w:styleId="spellingerror">
    <w:name w:val="spellingerror"/>
    <w:basedOn w:val="Standaardalinea-lettertype"/>
    <w:rsid w:val="00500921"/>
  </w:style>
  <w:style w:type="character" w:customStyle="1" w:styleId="scxw43148729">
    <w:name w:val="scxw43148729"/>
    <w:basedOn w:val="Standaardalinea-lettertype"/>
    <w:rsid w:val="00500921"/>
  </w:style>
  <w:style w:type="character" w:customStyle="1" w:styleId="TekstopmerkingChar">
    <w:name w:val="Tekst opmerking Char"/>
    <w:basedOn w:val="Standaardalinea-lettertype"/>
    <w:link w:val="Tekstopmerking"/>
    <w:semiHidden/>
    <w:rsid w:val="00C317EE"/>
    <w:rPr>
      <w:lang w:eastAsia="zh-CN"/>
    </w:rPr>
  </w:style>
  <w:style w:type="paragraph" w:styleId="Geenafstand">
    <w:name w:val="No Spacing"/>
    <w:uiPriority w:val="1"/>
    <w:qFormat/>
    <w:rsid w:val="00FD01C2"/>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620">
      <w:bodyDiv w:val="1"/>
      <w:marLeft w:val="0"/>
      <w:marRight w:val="0"/>
      <w:marTop w:val="0"/>
      <w:marBottom w:val="0"/>
      <w:divBdr>
        <w:top w:val="none" w:sz="0" w:space="0" w:color="auto"/>
        <w:left w:val="none" w:sz="0" w:space="0" w:color="auto"/>
        <w:bottom w:val="none" w:sz="0" w:space="0" w:color="auto"/>
        <w:right w:val="none" w:sz="0" w:space="0" w:color="auto"/>
      </w:divBdr>
    </w:div>
    <w:div w:id="55209160">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309867840">
      <w:bodyDiv w:val="1"/>
      <w:marLeft w:val="0"/>
      <w:marRight w:val="0"/>
      <w:marTop w:val="0"/>
      <w:marBottom w:val="0"/>
      <w:divBdr>
        <w:top w:val="none" w:sz="0" w:space="0" w:color="auto"/>
        <w:left w:val="none" w:sz="0" w:space="0" w:color="auto"/>
        <w:bottom w:val="none" w:sz="0" w:space="0" w:color="auto"/>
        <w:right w:val="none" w:sz="0" w:space="0" w:color="auto"/>
      </w:divBdr>
    </w:div>
    <w:div w:id="319165496">
      <w:bodyDiv w:val="1"/>
      <w:marLeft w:val="0"/>
      <w:marRight w:val="0"/>
      <w:marTop w:val="0"/>
      <w:marBottom w:val="0"/>
      <w:divBdr>
        <w:top w:val="none" w:sz="0" w:space="0" w:color="auto"/>
        <w:left w:val="none" w:sz="0" w:space="0" w:color="auto"/>
        <w:bottom w:val="none" w:sz="0" w:space="0" w:color="auto"/>
        <w:right w:val="none" w:sz="0" w:space="0" w:color="auto"/>
      </w:divBdr>
      <w:divsChild>
        <w:div w:id="142703663">
          <w:marLeft w:val="0"/>
          <w:marRight w:val="0"/>
          <w:marTop w:val="0"/>
          <w:marBottom w:val="0"/>
          <w:divBdr>
            <w:top w:val="none" w:sz="0" w:space="0" w:color="auto"/>
            <w:left w:val="none" w:sz="0" w:space="0" w:color="auto"/>
            <w:bottom w:val="none" w:sz="0" w:space="0" w:color="auto"/>
            <w:right w:val="none" w:sz="0" w:space="0" w:color="auto"/>
          </w:divBdr>
        </w:div>
        <w:div w:id="1083769095">
          <w:marLeft w:val="0"/>
          <w:marRight w:val="0"/>
          <w:marTop w:val="0"/>
          <w:marBottom w:val="0"/>
          <w:divBdr>
            <w:top w:val="none" w:sz="0" w:space="0" w:color="auto"/>
            <w:left w:val="none" w:sz="0" w:space="0" w:color="auto"/>
            <w:bottom w:val="none" w:sz="0" w:space="0" w:color="auto"/>
            <w:right w:val="none" w:sz="0" w:space="0" w:color="auto"/>
          </w:divBdr>
        </w:div>
        <w:div w:id="2072120158">
          <w:marLeft w:val="0"/>
          <w:marRight w:val="0"/>
          <w:marTop w:val="0"/>
          <w:marBottom w:val="0"/>
          <w:divBdr>
            <w:top w:val="none" w:sz="0" w:space="0" w:color="auto"/>
            <w:left w:val="none" w:sz="0" w:space="0" w:color="auto"/>
            <w:bottom w:val="none" w:sz="0" w:space="0" w:color="auto"/>
            <w:right w:val="none" w:sz="0" w:space="0" w:color="auto"/>
          </w:divBdr>
        </w:div>
        <w:div w:id="647511046">
          <w:marLeft w:val="0"/>
          <w:marRight w:val="0"/>
          <w:marTop w:val="0"/>
          <w:marBottom w:val="0"/>
          <w:divBdr>
            <w:top w:val="none" w:sz="0" w:space="0" w:color="auto"/>
            <w:left w:val="none" w:sz="0" w:space="0" w:color="auto"/>
            <w:bottom w:val="none" w:sz="0" w:space="0" w:color="auto"/>
            <w:right w:val="none" w:sz="0" w:space="0" w:color="auto"/>
          </w:divBdr>
        </w:div>
        <w:div w:id="1492911158">
          <w:marLeft w:val="0"/>
          <w:marRight w:val="0"/>
          <w:marTop w:val="0"/>
          <w:marBottom w:val="0"/>
          <w:divBdr>
            <w:top w:val="none" w:sz="0" w:space="0" w:color="auto"/>
            <w:left w:val="none" w:sz="0" w:space="0" w:color="auto"/>
            <w:bottom w:val="none" w:sz="0" w:space="0" w:color="auto"/>
            <w:right w:val="none" w:sz="0" w:space="0" w:color="auto"/>
          </w:divBdr>
        </w:div>
        <w:div w:id="514078520">
          <w:marLeft w:val="0"/>
          <w:marRight w:val="0"/>
          <w:marTop w:val="0"/>
          <w:marBottom w:val="0"/>
          <w:divBdr>
            <w:top w:val="none" w:sz="0" w:space="0" w:color="auto"/>
            <w:left w:val="none" w:sz="0" w:space="0" w:color="auto"/>
            <w:bottom w:val="none" w:sz="0" w:space="0" w:color="auto"/>
            <w:right w:val="none" w:sz="0" w:space="0" w:color="auto"/>
          </w:divBdr>
        </w:div>
        <w:div w:id="1716849266">
          <w:marLeft w:val="0"/>
          <w:marRight w:val="0"/>
          <w:marTop w:val="0"/>
          <w:marBottom w:val="0"/>
          <w:divBdr>
            <w:top w:val="none" w:sz="0" w:space="0" w:color="auto"/>
            <w:left w:val="none" w:sz="0" w:space="0" w:color="auto"/>
            <w:bottom w:val="none" w:sz="0" w:space="0" w:color="auto"/>
            <w:right w:val="none" w:sz="0" w:space="0" w:color="auto"/>
          </w:divBdr>
        </w:div>
        <w:div w:id="1339695015">
          <w:marLeft w:val="0"/>
          <w:marRight w:val="0"/>
          <w:marTop w:val="0"/>
          <w:marBottom w:val="0"/>
          <w:divBdr>
            <w:top w:val="none" w:sz="0" w:space="0" w:color="auto"/>
            <w:left w:val="none" w:sz="0" w:space="0" w:color="auto"/>
            <w:bottom w:val="none" w:sz="0" w:space="0" w:color="auto"/>
            <w:right w:val="none" w:sz="0" w:space="0" w:color="auto"/>
          </w:divBdr>
        </w:div>
        <w:div w:id="1416780342">
          <w:marLeft w:val="0"/>
          <w:marRight w:val="0"/>
          <w:marTop w:val="0"/>
          <w:marBottom w:val="0"/>
          <w:divBdr>
            <w:top w:val="none" w:sz="0" w:space="0" w:color="auto"/>
            <w:left w:val="none" w:sz="0" w:space="0" w:color="auto"/>
            <w:bottom w:val="none" w:sz="0" w:space="0" w:color="auto"/>
            <w:right w:val="none" w:sz="0" w:space="0" w:color="auto"/>
          </w:divBdr>
        </w:div>
        <w:div w:id="1792553442">
          <w:marLeft w:val="0"/>
          <w:marRight w:val="0"/>
          <w:marTop w:val="0"/>
          <w:marBottom w:val="0"/>
          <w:divBdr>
            <w:top w:val="none" w:sz="0" w:space="0" w:color="auto"/>
            <w:left w:val="none" w:sz="0" w:space="0" w:color="auto"/>
            <w:bottom w:val="none" w:sz="0" w:space="0" w:color="auto"/>
            <w:right w:val="none" w:sz="0" w:space="0" w:color="auto"/>
          </w:divBdr>
        </w:div>
        <w:div w:id="1092243183">
          <w:marLeft w:val="0"/>
          <w:marRight w:val="0"/>
          <w:marTop w:val="0"/>
          <w:marBottom w:val="0"/>
          <w:divBdr>
            <w:top w:val="none" w:sz="0" w:space="0" w:color="auto"/>
            <w:left w:val="none" w:sz="0" w:space="0" w:color="auto"/>
            <w:bottom w:val="none" w:sz="0" w:space="0" w:color="auto"/>
            <w:right w:val="none" w:sz="0" w:space="0" w:color="auto"/>
          </w:divBdr>
        </w:div>
        <w:div w:id="1169904452">
          <w:marLeft w:val="0"/>
          <w:marRight w:val="0"/>
          <w:marTop w:val="0"/>
          <w:marBottom w:val="0"/>
          <w:divBdr>
            <w:top w:val="none" w:sz="0" w:space="0" w:color="auto"/>
            <w:left w:val="none" w:sz="0" w:space="0" w:color="auto"/>
            <w:bottom w:val="none" w:sz="0" w:space="0" w:color="auto"/>
            <w:right w:val="none" w:sz="0" w:space="0" w:color="auto"/>
          </w:divBdr>
        </w:div>
        <w:div w:id="2123458440">
          <w:marLeft w:val="0"/>
          <w:marRight w:val="0"/>
          <w:marTop w:val="0"/>
          <w:marBottom w:val="0"/>
          <w:divBdr>
            <w:top w:val="none" w:sz="0" w:space="0" w:color="auto"/>
            <w:left w:val="none" w:sz="0" w:space="0" w:color="auto"/>
            <w:bottom w:val="none" w:sz="0" w:space="0" w:color="auto"/>
            <w:right w:val="none" w:sz="0" w:space="0" w:color="auto"/>
          </w:divBdr>
        </w:div>
        <w:div w:id="1923876790">
          <w:marLeft w:val="0"/>
          <w:marRight w:val="0"/>
          <w:marTop w:val="0"/>
          <w:marBottom w:val="0"/>
          <w:divBdr>
            <w:top w:val="none" w:sz="0" w:space="0" w:color="auto"/>
            <w:left w:val="none" w:sz="0" w:space="0" w:color="auto"/>
            <w:bottom w:val="none" w:sz="0" w:space="0" w:color="auto"/>
            <w:right w:val="none" w:sz="0" w:space="0" w:color="auto"/>
          </w:divBdr>
        </w:div>
        <w:div w:id="1539928091">
          <w:marLeft w:val="0"/>
          <w:marRight w:val="0"/>
          <w:marTop w:val="0"/>
          <w:marBottom w:val="0"/>
          <w:divBdr>
            <w:top w:val="none" w:sz="0" w:space="0" w:color="auto"/>
            <w:left w:val="none" w:sz="0" w:space="0" w:color="auto"/>
            <w:bottom w:val="none" w:sz="0" w:space="0" w:color="auto"/>
            <w:right w:val="none" w:sz="0" w:space="0" w:color="auto"/>
          </w:divBdr>
        </w:div>
        <w:div w:id="1573663178">
          <w:marLeft w:val="0"/>
          <w:marRight w:val="0"/>
          <w:marTop w:val="0"/>
          <w:marBottom w:val="0"/>
          <w:divBdr>
            <w:top w:val="none" w:sz="0" w:space="0" w:color="auto"/>
            <w:left w:val="none" w:sz="0" w:space="0" w:color="auto"/>
            <w:bottom w:val="none" w:sz="0" w:space="0" w:color="auto"/>
            <w:right w:val="none" w:sz="0" w:space="0" w:color="auto"/>
          </w:divBdr>
        </w:div>
        <w:div w:id="641732199">
          <w:marLeft w:val="0"/>
          <w:marRight w:val="0"/>
          <w:marTop w:val="0"/>
          <w:marBottom w:val="0"/>
          <w:divBdr>
            <w:top w:val="none" w:sz="0" w:space="0" w:color="auto"/>
            <w:left w:val="none" w:sz="0" w:space="0" w:color="auto"/>
            <w:bottom w:val="none" w:sz="0" w:space="0" w:color="auto"/>
            <w:right w:val="none" w:sz="0" w:space="0" w:color="auto"/>
          </w:divBdr>
        </w:div>
        <w:div w:id="196503547">
          <w:marLeft w:val="0"/>
          <w:marRight w:val="0"/>
          <w:marTop w:val="0"/>
          <w:marBottom w:val="0"/>
          <w:divBdr>
            <w:top w:val="none" w:sz="0" w:space="0" w:color="auto"/>
            <w:left w:val="none" w:sz="0" w:space="0" w:color="auto"/>
            <w:bottom w:val="none" w:sz="0" w:space="0" w:color="auto"/>
            <w:right w:val="none" w:sz="0" w:space="0" w:color="auto"/>
          </w:divBdr>
        </w:div>
        <w:div w:id="800541903">
          <w:marLeft w:val="0"/>
          <w:marRight w:val="0"/>
          <w:marTop w:val="0"/>
          <w:marBottom w:val="0"/>
          <w:divBdr>
            <w:top w:val="none" w:sz="0" w:space="0" w:color="auto"/>
            <w:left w:val="none" w:sz="0" w:space="0" w:color="auto"/>
            <w:bottom w:val="none" w:sz="0" w:space="0" w:color="auto"/>
            <w:right w:val="none" w:sz="0" w:space="0" w:color="auto"/>
          </w:divBdr>
        </w:div>
        <w:div w:id="798958632">
          <w:marLeft w:val="0"/>
          <w:marRight w:val="0"/>
          <w:marTop w:val="0"/>
          <w:marBottom w:val="0"/>
          <w:divBdr>
            <w:top w:val="none" w:sz="0" w:space="0" w:color="auto"/>
            <w:left w:val="none" w:sz="0" w:space="0" w:color="auto"/>
            <w:bottom w:val="none" w:sz="0" w:space="0" w:color="auto"/>
            <w:right w:val="none" w:sz="0" w:space="0" w:color="auto"/>
          </w:divBdr>
        </w:div>
        <w:div w:id="658923052">
          <w:marLeft w:val="0"/>
          <w:marRight w:val="0"/>
          <w:marTop w:val="0"/>
          <w:marBottom w:val="0"/>
          <w:divBdr>
            <w:top w:val="none" w:sz="0" w:space="0" w:color="auto"/>
            <w:left w:val="none" w:sz="0" w:space="0" w:color="auto"/>
            <w:bottom w:val="none" w:sz="0" w:space="0" w:color="auto"/>
            <w:right w:val="none" w:sz="0" w:space="0" w:color="auto"/>
          </w:divBdr>
        </w:div>
        <w:div w:id="1667124113">
          <w:marLeft w:val="0"/>
          <w:marRight w:val="0"/>
          <w:marTop w:val="0"/>
          <w:marBottom w:val="0"/>
          <w:divBdr>
            <w:top w:val="none" w:sz="0" w:space="0" w:color="auto"/>
            <w:left w:val="none" w:sz="0" w:space="0" w:color="auto"/>
            <w:bottom w:val="none" w:sz="0" w:space="0" w:color="auto"/>
            <w:right w:val="none" w:sz="0" w:space="0" w:color="auto"/>
          </w:divBdr>
        </w:div>
        <w:div w:id="276302053">
          <w:marLeft w:val="0"/>
          <w:marRight w:val="0"/>
          <w:marTop w:val="0"/>
          <w:marBottom w:val="0"/>
          <w:divBdr>
            <w:top w:val="none" w:sz="0" w:space="0" w:color="auto"/>
            <w:left w:val="none" w:sz="0" w:space="0" w:color="auto"/>
            <w:bottom w:val="none" w:sz="0" w:space="0" w:color="auto"/>
            <w:right w:val="none" w:sz="0" w:space="0" w:color="auto"/>
          </w:divBdr>
        </w:div>
        <w:div w:id="951135282">
          <w:marLeft w:val="0"/>
          <w:marRight w:val="0"/>
          <w:marTop w:val="0"/>
          <w:marBottom w:val="0"/>
          <w:divBdr>
            <w:top w:val="none" w:sz="0" w:space="0" w:color="auto"/>
            <w:left w:val="none" w:sz="0" w:space="0" w:color="auto"/>
            <w:bottom w:val="none" w:sz="0" w:space="0" w:color="auto"/>
            <w:right w:val="none" w:sz="0" w:space="0" w:color="auto"/>
          </w:divBdr>
        </w:div>
        <w:div w:id="2114208134">
          <w:marLeft w:val="0"/>
          <w:marRight w:val="0"/>
          <w:marTop w:val="0"/>
          <w:marBottom w:val="0"/>
          <w:divBdr>
            <w:top w:val="none" w:sz="0" w:space="0" w:color="auto"/>
            <w:left w:val="none" w:sz="0" w:space="0" w:color="auto"/>
            <w:bottom w:val="none" w:sz="0" w:space="0" w:color="auto"/>
            <w:right w:val="none" w:sz="0" w:space="0" w:color="auto"/>
          </w:divBdr>
        </w:div>
        <w:div w:id="1595431892">
          <w:marLeft w:val="0"/>
          <w:marRight w:val="0"/>
          <w:marTop w:val="0"/>
          <w:marBottom w:val="0"/>
          <w:divBdr>
            <w:top w:val="none" w:sz="0" w:space="0" w:color="auto"/>
            <w:left w:val="none" w:sz="0" w:space="0" w:color="auto"/>
            <w:bottom w:val="none" w:sz="0" w:space="0" w:color="auto"/>
            <w:right w:val="none" w:sz="0" w:space="0" w:color="auto"/>
          </w:divBdr>
        </w:div>
        <w:div w:id="1890072403">
          <w:marLeft w:val="0"/>
          <w:marRight w:val="0"/>
          <w:marTop w:val="0"/>
          <w:marBottom w:val="0"/>
          <w:divBdr>
            <w:top w:val="none" w:sz="0" w:space="0" w:color="auto"/>
            <w:left w:val="none" w:sz="0" w:space="0" w:color="auto"/>
            <w:bottom w:val="none" w:sz="0" w:space="0" w:color="auto"/>
            <w:right w:val="none" w:sz="0" w:space="0" w:color="auto"/>
          </w:divBdr>
        </w:div>
        <w:div w:id="128138213">
          <w:marLeft w:val="0"/>
          <w:marRight w:val="0"/>
          <w:marTop w:val="0"/>
          <w:marBottom w:val="0"/>
          <w:divBdr>
            <w:top w:val="none" w:sz="0" w:space="0" w:color="auto"/>
            <w:left w:val="none" w:sz="0" w:space="0" w:color="auto"/>
            <w:bottom w:val="none" w:sz="0" w:space="0" w:color="auto"/>
            <w:right w:val="none" w:sz="0" w:space="0" w:color="auto"/>
          </w:divBdr>
        </w:div>
        <w:div w:id="1430809045">
          <w:marLeft w:val="0"/>
          <w:marRight w:val="0"/>
          <w:marTop w:val="0"/>
          <w:marBottom w:val="0"/>
          <w:divBdr>
            <w:top w:val="none" w:sz="0" w:space="0" w:color="auto"/>
            <w:left w:val="none" w:sz="0" w:space="0" w:color="auto"/>
            <w:bottom w:val="none" w:sz="0" w:space="0" w:color="auto"/>
            <w:right w:val="none" w:sz="0" w:space="0" w:color="auto"/>
          </w:divBdr>
        </w:div>
        <w:div w:id="811562276">
          <w:marLeft w:val="0"/>
          <w:marRight w:val="0"/>
          <w:marTop w:val="0"/>
          <w:marBottom w:val="0"/>
          <w:divBdr>
            <w:top w:val="none" w:sz="0" w:space="0" w:color="auto"/>
            <w:left w:val="none" w:sz="0" w:space="0" w:color="auto"/>
            <w:bottom w:val="none" w:sz="0" w:space="0" w:color="auto"/>
            <w:right w:val="none" w:sz="0" w:space="0" w:color="auto"/>
          </w:divBdr>
        </w:div>
        <w:div w:id="133573231">
          <w:marLeft w:val="0"/>
          <w:marRight w:val="0"/>
          <w:marTop w:val="0"/>
          <w:marBottom w:val="0"/>
          <w:divBdr>
            <w:top w:val="none" w:sz="0" w:space="0" w:color="auto"/>
            <w:left w:val="none" w:sz="0" w:space="0" w:color="auto"/>
            <w:bottom w:val="none" w:sz="0" w:space="0" w:color="auto"/>
            <w:right w:val="none" w:sz="0" w:space="0" w:color="auto"/>
          </w:divBdr>
        </w:div>
        <w:div w:id="2035232620">
          <w:marLeft w:val="0"/>
          <w:marRight w:val="0"/>
          <w:marTop w:val="0"/>
          <w:marBottom w:val="0"/>
          <w:divBdr>
            <w:top w:val="none" w:sz="0" w:space="0" w:color="auto"/>
            <w:left w:val="none" w:sz="0" w:space="0" w:color="auto"/>
            <w:bottom w:val="none" w:sz="0" w:space="0" w:color="auto"/>
            <w:right w:val="none" w:sz="0" w:space="0" w:color="auto"/>
          </w:divBdr>
        </w:div>
        <w:div w:id="1364936506">
          <w:marLeft w:val="0"/>
          <w:marRight w:val="0"/>
          <w:marTop w:val="0"/>
          <w:marBottom w:val="0"/>
          <w:divBdr>
            <w:top w:val="none" w:sz="0" w:space="0" w:color="auto"/>
            <w:left w:val="none" w:sz="0" w:space="0" w:color="auto"/>
            <w:bottom w:val="none" w:sz="0" w:space="0" w:color="auto"/>
            <w:right w:val="none" w:sz="0" w:space="0" w:color="auto"/>
          </w:divBdr>
        </w:div>
        <w:div w:id="412050888">
          <w:marLeft w:val="0"/>
          <w:marRight w:val="0"/>
          <w:marTop w:val="0"/>
          <w:marBottom w:val="0"/>
          <w:divBdr>
            <w:top w:val="none" w:sz="0" w:space="0" w:color="auto"/>
            <w:left w:val="none" w:sz="0" w:space="0" w:color="auto"/>
            <w:bottom w:val="none" w:sz="0" w:space="0" w:color="auto"/>
            <w:right w:val="none" w:sz="0" w:space="0" w:color="auto"/>
          </w:divBdr>
        </w:div>
        <w:div w:id="1179545799">
          <w:marLeft w:val="0"/>
          <w:marRight w:val="0"/>
          <w:marTop w:val="0"/>
          <w:marBottom w:val="0"/>
          <w:divBdr>
            <w:top w:val="none" w:sz="0" w:space="0" w:color="auto"/>
            <w:left w:val="none" w:sz="0" w:space="0" w:color="auto"/>
            <w:bottom w:val="none" w:sz="0" w:space="0" w:color="auto"/>
            <w:right w:val="none" w:sz="0" w:space="0" w:color="auto"/>
          </w:divBdr>
        </w:div>
        <w:div w:id="613748387">
          <w:marLeft w:val="0"/>
          <w:marRight w:val="0"/>
          <w:marTop w:val="0"/>
          <w:marBottom w:val="0"/>
          <w:divBdr>
            <w:top w:val="none" w:sz="0" w:space="0" w:color="auto"/>
            <w:left w:val="none" w:sz="0" w:space="0" w:color="auto"/>
            <w:bottom w:val="none" w:sz="0" w:space="0" w:color="auto"/>
            <w:right w:val="none" w:sz="0" w:space="0" w:color="auto"/>
          </w:divBdr>
        </w:div>
        <w:div w:id="236475191">
          <w:marLeft w:val="0"/>
          <w:marRight w:val="0"/>
          <w:marTop w:val="0"/>
          <w:marBottom w:val="0"/>
          <w:divBdr>
            <w:top w:val="none" w:sz="0" w:space="0" w:color="auto"/>
            <w:left w:val="none" w:sz="0" w:space="0" w:color="auto"/>
            <w:bottom w:val="none" w:sz="0" w:space="0" w:color="auto"/>
            <w:right w:val="none" w:sz="0" w:space="0" w:color="auto"/>
          </w:divBdr>
        </w:div>
        <w:div w:id="1944266707">
          <w:marLeft w:val="0"/>
          <w:marRight w:val="0"/>
          <w:marTop w:val="0"/>
          <w:marBottom w:val="0"/>
          <w:divBdr>
            <w:top w:val="none" w:sz="0" w:space="0" w:color="auto"/>
            <w:left w:val="none" w:sz="0" w:space="0" w:color="auto"/>
            <w:bottom w:val="none" w:sz="0" w:space="0" w:color="auto"/>
            <w:right w:val="none" w:sz="0" w:space="0" w:color="auto"/>
          </w:divBdr>
        </w:div>
        <w:div w:id="1315572528">
          <w:marLeft w:val="0"/>
          <w:marRight w:val="0"/>
          <w:marTop w:val="0"/>
          <w:marBottom w:val="0"/>
          <w:divBdr>
            <w:top w:val="none" w:sz="0" w:space="0" w:color="auto"/>
            <w:left w:val="none" w:sz="0" w:space="0" w:color="auto"/>
            <w:bottom w:val="none" w:sz="0" w:space="0" w:color="auto"/>
            <w:right w:val="none" w:sz="0" w:space="0" w:color="auto"/>
          </w:divBdr>
        </w:div>
        <w:div w:id="1195265658">
          <w:marLeft w:val="0"/>
          <w:marRight w:val="0"/>
          <w:marTop w:val="0"/>
          <w:marBottom w:val="0"/>
          <w:divBdr>
            <w:top w:val="none" w:sz="0" w:space="0" w:color="auto"/>
            <w:left w:val="none" w:sz="0" w:space="0" w:color="auto"/>
            <w:bottom w:val="none" w:sz="0" w:space="0" w:color="auto"/>
            <w:right w:val="none" w:sz="0" w:space="0" w:color="auto"/>
          </w:divBdr>
        </w:div>
        <w:div w:id="1235625767">
          <w:marLeft w:val="0"/>
          <w:marRight w:val="0"/>
          <w:marTop w:val="0"/>
          <w:marBottom w:val="0"/>
          <w:divBdr>
            <w:top w:val="none" w:sz="0" w:space="0" w:color="auto"/>
            <w:left w:val="none" w:sz="0" w:space="0" w:color="auto"/>
            <w:bottom w:val="none" w:sz="0" w:space="0" w:color="auto"/>
            <w:right w:val="none" w:sz="0" w:space="0" w:color="auto"/>
          </w:divBdr>
        </w:div>
        <w:div w:id="117572586">
          <w:marLeft w:val="0"/>
          <w:marRight w:val="0"/>
          <w:marTop w:val="0"/>
          <w:marBottom w:val="0"/>
          <w:divBdr>
            <w:top w:val="none" w:sz="0" w:space="0" w:color="auto"/>
            <w:left w:val="none" w:sz="0" w:space="0" w:color="auto"/>
            <w:bottom w:val="none" w:sz="0" w:space="0" w:color="auto"/>
            <w:right w:val="none" w:sz="0" w:space="0" w:color="auto"/>
          </w:divBdr>
        </w:div>
        <w:div w:id="614100927">
          <w:marLeft w:val="0"/>
          <w:marRight w:val="0"/>
          <w:marTop w:val="0"/>
          <w:marBottom w:val="0"/>
          <w:divBdr>
            <w:top w:val="none" w:sz="0" w:space="0" w:color="auto"/>
            <w:left w:val="none" w:sz="0" w:space="0" w:color="auto"/>
            <w:bottom w:val="none" w:sz="0" w:space="0" w:color="auto"/>
            <w:right w:val="none" w:sz="0" w:space="0" w:color="auto"/>
          </w:divBdr>
        </w:div>
        <w:div w:id="505365121">
          <w:marLeft w:val="0"/>
          <w:marRight w:val="0"/>
          <w:marTop w:val="0"/>
          <w:marBottom w:val="0"/>
          <w:divBdr>
            <w:top w:val="none" w:sz="0" w:space="0" w:color="auto"/>
            <w:left w:val="none" w:sz="0" w:space="0" w:color="auto"/>
            <w:bottom w:val="none" w:sz="0" w:space="0" w:color="auto"/>
            <w:right w:val="none" w:sz="0" w:space="0" w:color="auto"/>
          </w:divBdr>
        </w:div>
        <w:div w:id="1531605341">
          <w:marLeft w:val="0"/>
          <w:marRight w:val="0"/>
          <w:marTop w:val="0"/>
          <w:marBottom w:val="0"/>
          <w:divBdr>
            <w:top w:val="none" w:sz="0" w:space="0" w:color="auto"/>
            <w:left w:val="none" w:sz="0" w:space="0" w:color="auto"/>
            <w:bottom w:val="none" w:sz="0" w:space="0" w:color="auto"/>
            <w:right w:val="none" w:sz="0" w:space="0" w:color="auto"/>
          </w:divBdr>
        </w:div>
        <w:div w:id="840969980">
          <w:marLeft w:val="0"/>
          <w:marRight w:val="0"/>
          <w:marTop w:val="0"/>
          <w:marBottom w:val="0"/>
          <w:divBdr>
            <w:top w:val="none" w:sz="0" w:space="0" w:color="auto"/>
            <w:left w:val="none" w:sz="0" w:space="0" w:color="auto"/>
            <w:bottom w:val="none" w:sz="0" w:space="0" w:color="auto"/>
            <w:right w:val="none" w:sz="0" w:space="0" w:color="auto"/>
          </w:divBdr>
        </w:div>
        <w:div w:id="458719134">
          <w:marLeft w:val="0"/>
          <w:marRight w:val="0"/>
          <w:marTop w:val="0"/>
          <w:marBottom w:val="0"/>
          <w:divBdr>
            <w:top w:val="none" w:sz="0" w:space="0" w:color="auto"/>
            <w:left w:val="none" w:sz="0" w:space="0" w:color="auto"/>
            <w:bottom w:val="none" w:sz="0" w:space="0" w:color="auto"/>
            <w:right w:val="none" w:sz="0" w:space="0" w:color="auto"/>
          </w:divBdr>
        </w:div>
        <w:div w:id="61830699">
          <w:marLeft w:val="0"/>
          <w:marRight w:val="0"/>
          <w:marTop w:val="0"/>
          <w:marBottom w:val="0"/>
          <w:divBdr>
            <w:top w:val="none" w:sz="0" w:space="0" w:color="auto"/>
            <w:left w:val="none" w:sz="0" w:space="0" w:color="auto"/>
            <w:bottom w:val="none" w:sz="0" w:space="0" w:color="auto"/>
            <w:right w:val="none" w:sz="0" w:space="0" w:color="auto"/>
          </w:divBdr>
        </w:div>
        <w:div w:id="2071809573">
          <w:marLeft w:val="0"/>
          <w:marRight w:val="0"/>
          <w:marTop w:val="0"/>
          <w:marBottom w:val="0"/>
          <w:divBdr>
            <w:top w:val="none" w:sz="0" w:space="0" w:color="auto"/>
            <w:left w:val="none" w:sz="0" w:space="0" w:color="auto"/>
            <w:bottom w:val="none" w:sz="0" w:space="0" w:color="auto"/>
            <w:right w:val="none" w:sz="0" w:space="0" w:color="auto"/>
          </w:divBdr>
        </w:div>
        <w:div w:id="2126196874">
          <w:marLeft w:val="0"/>
          <w:marRight w:val="0"/>
          <w:marTop w:val="0"/>
          <w:marBottom w:val="0"/>
          <w:divBdr>
            <w:top w:val="none" w:sz="0" w:space="0" w:color="auto"/>
            <w:left w:val="none" w:sz="0" w:space="0" w:color="auto"/>
            <w:bottom w:val="none" w:sz="0" w:space="0" w:color="auto"/>
            <w:right w:val="none" w:sz="0" w:space="0" w:color="auto"/>
          </w:divBdr>
        </w:div>
        <w:div w:id="835994425">
          <w:marLeft w:val="0"/>
          <w:marRight w:val="0"/>
          <w:marTop w:val="0"/>
          <w:marBottom w:val="0"/>
          <w:divBdr>
            <w:top w:val="none" w:sz="0" w:space="0" w:color="auto"/>
            <w:left w:val="none" w:sz="0" w:space="0" w:color="auto"/>
            <w:bottom w:val="none" w:sz="0" w:space="0" w:color="auto"/>
            <w:right w:val="none" w:sz="0" w:space="0" w:color="auto"/>
          </w:divBdr>
        </w:div>
        <w:div w:id="1877615687">
          <w:marLeft w:val="0"/>
          <w:marRight w:val="0"/>
          <w:marTop w:val="0"/>
          <w:marBottom w:val="0"/>
          <w:divBdr>
            <w:top w:val="none" w:sz="0" w:space="0" w:color="auto"/>
            <w:left w:val="none" w:sz="0" w:space="0" w:color="auto"/>
            <w:bottom w:val="none" w:sz="0" w:space="0" w:color="auto"/>
            <w:right w:val="none" w:sz="0" w:space="0" w:color="auto"/>
          </w:divBdr>
        </w:div>
        <w:div w:id="1236013411">
          <w:marLeft w:val="0"/>
          <w:marRight w:val="0"/>
          <w:marTop w:val="0"/>
          <w:marBottom w:val="0"/>
          <w:divBdr>
            <w:top w:val="none" w:sz="0" w:space="0" w:color="auto"/>
            <w:left w:val="none" w:sz="0" w:space="0" w:color="auto"/>
            <w:bottom w:val="none" w:sz="0" w:space="0" w:color="auto"/>
            <w:right w:val="none" w:sz="0" w:space="0" w:color="auto"/>
          </w:divBdr>
        </w:div>
        <w:div w:id="388965056">
          <w:marLeft w:val="0"/>
          <w:marRight w:val="0"/>
          <w:marTop w:val="0"/>
          <w:marBottom w:val="0"/>
          <w:divBdr>
            <w:top w:val="none" w:sz="0" w:space="0" w:color="auto"/>
            <w:left w:val="none" w:sz="0" w:space="0" w:color="auto"/>
            <w:bottom w:val="none" w:sz="0" w:space="0" w:color="auto"/>
            <w:right w:val="none" w:sz="0" w:space="0" w:color="auto"/>
          </w:divBdr>
        </w:div>
        <w:div w:id="1061055456">
          <w:marLeft w:val="0"/>
          <w:marRight w:val="0"/>
          <w:marTop w:val="0"/>
          <w:marBottom w:val="0"/>
          <w:divBdr>
            <w:top w:val="none" w:sz="0" w:space="0" w:color="auto"/>
            <w:left w:val="none" w:sz="0" w:space="0" w:color="auto"/>
            <w:bottom w:val="none" w:sz="0" w:space="0" w:color="auto"/>
            <w:right w:val="none" w:sz="0" w:space="0" w:color="auto"/>
          </w:divBdr>
        </w:div>
        <w:div w:id="557203577">
          <w:marLeft w:val="0"/>
          <w:marRight w:val="0"/>
          <w:marTop w:val="0"/>
          <w:marBottom w:val="0"/>
          <w:divBdr>
            <w:top w:val="none" w:sz="0" w:space="0" w:color="auto"/>
            <w:left w:val="none" w:sz="0" w:space="0" w:color="auto"/>
            <w:bottom w:val="none" w:sz="0" w:space="0" w:color="auto"/>
            <w:right w:val="none" w:sz="0" w:space="0" w:color="auto"/>
          </w:divBdr>
        </w:div>
        <w:div w:id="1924291511">
          <w:marLeft w:val="0"/>
          <w:marRight w:val="0"/>
          <w:marTop w:val="0"/>
          <w:marBottom w:val="0"/>
          <w:divBdr>
            <w:top w:val="none" w:sz="0" w:space="0" w:color="auto"/>
            <w:left w:val="none" w:sz="0" w:space="0" w:color="auto"/>
            <w:bottom w:val="none" w:sz="0" w:space="0" w:color="auto"/>
            <w:right w:val="none" w:sz="0" w:space="0" w:color="auto"/>
          </w:divBdr>
        </w:div>
        <w:div w:id="523397262">
          <w:marLeft w:val="0"/>
          <w:marRight w:val="0"/>
          <w:marTop w:val="0"/>
          <w:marBottom w:val="0"/>
          <w:divBdr>
            <w:top w:val="none" w:sz="0" w:space="0" w:color="auto"/>
            <w:left w:val="none" w:sz="0" w:space="0" w:color="auto"/>
            <w:bottom w:val="none" w:sz="0" w:space="0" w:color="auto"/>
            <w:right w:val="none" w:sz="0" w:space="0" w:color="auto"/>
          </w:divBdr>
        </w:div>
        <w:div w:id="908419894">
          <w:marLeft w:val="0"/>
          <w:marRight w:val="0"/>
          <w:marTop w:val="0"/>
          <w:marBottom w:val="0"/>
          <w:divBdr>
            <w:top w:val="none" w:sz="0" w:space="0" w:color="auto"/>
            <w:left w:val="none" w:sz="0" w:space="0" w:color="auto"/>
            <w:bottom w:val="none" w:sz="0" w:space="0" w:color="auto"/>
            <w:right w:val="none" w:sz="0" w:space="0" w:color="auto"/>
          </w:divBdr>
        </w:div>
        <w:div w:id="1148593765">
          <w:marLeft w:val="0"/>
          <w:marRight w:val="0"/>
          <w:marTop w:val="0"/>
          <w:marBottom w:val="0"/>
          <w:divBdr>
            <w:top w:val="none" w:sz="0" w:space="0" w:color="auto"/>
            <w:left w:val="none" w:sz="0" w:space="0" w:color="auto"/>
            <w:bottom w:val="none" w:sz="0" w:space="0" w:color="auto"/>
            <w:right w:val="none" w:sz="0" w:space="0" w:color="auto"/>
          </w:divBdr>
        </w:div>
      </w:divsChild>
    </w:div>
    <w:div w:id="375280576">
      <w:bodyDiv w:val="1"/>
      <w:marLeft w:val="0"/>
      <w:marRight w:val="0"/>
      <w:marTop w:val="0"/>
      <w:marBottom w:val="0"/>
      <w:divBdr>
        <w:top w:val="none" w:sz="0" w:space="0" w:color="auto"/>
        <w:left w:val="none" w:sz="0" w:space="0" w:color="auto"/>
        <w:bottom w:val="none" w:sz="0" w:space="0" w:color="auto"/>
        <w:right w:val="none" w:sz="0" w:space="0" w:color="auto"/>
      </w:divBdr>
    </w:div>
    <w:div w:id="388765340">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57528224">
      <w:bodyDiv w:val="1"/>
      <w:marLeft w:val="0"/>
      <w:marRight w:val="0"/>
      <w:marTop w:val="0"/>
      <w:marBottom w:val="0"/>
      <w:divBdr>
        <w:top w:val="none" w:sz="0" w:space="0" w:color="auto"/>
        <w:left w:val="none" w:sz="0" w:space="0" w:color="auto"/>
        <w:bottom w:val="none" w:sz="0" w:space="0" w:color="auto"/>
        <w:right w:val="none" w:sz="0" w:space="0" w:color="auto"/>
      </w:divBdr>
    </w:div>
    <w:div w:id="508756317">
      <w:bodyDiv w:val="1"/>
      <w:marLeft w:val="0"/>
      <w:marRight w:val="0"/>
      <w:marTop w:val="0"/>
      <w:marBottom w:val="0"/>
      <w:divBdr>
        <w:top w:val="none" w:sz="0" w:space="0" w:color="auto"/>
        <w:left w:val="none" w:sz="0" w:space="0" w:color="auto"/>
        <w:bottom w:val="none" w:sz="0" w:space="0" w:color="auto"/>
        <w:right w:val="none" w:sz="0" w:space="0" w:color="auto"/>
      </w:divBdr>
    </w:div>
    <w:div w:id="603802614">
      <w:bodyDiv w:val="1"/>
      <w:marLeft w:val="0"/>
      <w:marRight w:val="0"/>
      <w:marTop w:val="0"/>
      <w:marBottom w:val="0"/>
      <w:divBdr>
        <w:top w:val="none" w:sz="0" w:space="0" w:color="auto"/>
        <w:left w:val="none" w:sz="0" w:space="0" w:color="auto"/>
        <w:bottom w:val="none" w:sz="0" w:space="0" w:color="auto"/>
        <w:right w:val="none" w:sz="0" w:space="0" w:color="auto"/>
      </w:divBdr>
    </w:div>
    <w:div w:id="623194618">
      <w:bodyDiv w:val="1"/>
      <w:marLeft w:val="0"/>
      <w:marRight w:val="0"/>
      <w:marTop w:val="0"/>
      <w:marBottom w:val="0"/>
      <w:divBdr>
        <w:top w:val="none" w:sz="0" w:space="0" w:color="auto"/>
        <w:left w:val="none" w:sz="0" w:space="0" w:color="auto"/>
        <w:bottom w:val="none" w:sz="0" w:space="0" w:color="auto"/>
        <w:right w:val="none" w:sz="0" w:space="0" w:color="auto"/>
      </w:divBdr>
    </w:div>
    <w:div w:id="761218748">
      <w:bodyDiv w:val="1"/>
      <w:marLeft w:val="0"/>
      <w:marRight w:val="0"/>
      <w:marTop w:val="0"/>
      <w:marBottom w:val="0"/>
      <w:divBdr>
        <w:top w:val="none" w:sz="0" w:space="0" w:color="auto"/>
        <w:left w:val="none" w:sz="0" w:space="0" w:color="auto"/>
        <w:bottom w:val="none" w:sz="0" w:space="0" w:color="auto"/>
        <w:right w:val="none" w:sz="0" w:space="0" w:color="auto"/>
      </w:divBdr>
    </w:div>
    <w:div w:id="785926882">
      <w:bodyDiv w:val="1"/>
      <w:marLeft w:val="0"/>
      <w:marRight w:val="0"/>
      <w:marTop w:val="0"/>
      <w:marBottom w:val="0"/>
      <w:divBdr>
        <w:top w:val="none" w:sz="0" w:space="0" w:color="auto"/>
        <w:left w:val="none" w:sz="0" w:space="0" w:color="auto"/>
        <w:bottom w:val="none" w:sz="0" w:space="0" w:color="auto"/>
        <w:right w:val="none" w:sz="0" w:space="0" w:color="auto"/>
      </w:divBdr>
    </w:div>
    <w:div w:id="958954014">
      <w:bodyDiv w:val="1"/>
      <w:marLeft w:val="0"/>
      <w:marRight w:val="0"/>
      <w:marTop w:val="0"/>
      <w:marBottom w:val="0"/>
      <w:divBdr>
        <w:top w:val="none" w:sz="0" w:space="0" w:color="auto"/>
        <w:left w:val="none" w:sz="0" w:space="0" w:color="auto"/>
        <w:bottom w:val="none" w:sz="0" w:space="0" w:color="auto"/>
        <w:right w:val="none" w:sz="0" w:space="0" w:color="auto"/>
      </w:divBdr>
    </w:div>
    <w:div w:id="996374620">
      <w:bodyDiv w:val="1"/>
      <w:marLeft w:val="0"/>
      <w:marRight w:val="0"/>
      <w:marTop w:val="0"/>
      <w:marBottom w:val="0"/>
      <w:divBdr>
        <w:top w:val="none" w:sz="0" w:space="0" w:color="auto"/>
        <w:left w:val="none" w:sz="0" w:space="0" w:color="auto"/>
        <w:bottom w:val="none" w:sz="0" w:space="0" w:color="auto"/>
        <w:right w:val="none" w:sz="0" w:space="0" w:color="auto"/>
      </w:divBdr>
    </w:div>
    <w:div w:id="996497071">
      <w:bodyDiv w:val="1"/>
      <w:marLeft w:val="0"/>
      <w:marRight w:val="0"/>
      <w:marTop w:val="0"/>
      <w:marBottom w:val="0"/>
      <w:divBdr>
        <w:top w:val="none" w:sz="0" w:space="0" w:color="auto"/>
        <w:left w:val="none" w:sz="0" w:space="0" w:color="auto"/>
        <w:bottom w:val="none" w:sz="0" w:space="0" w:color="auto"/>
        <w:right w:val="none" w:sz="0" w:space="0" w:color="auto"/>
      </w:divBdr>
      <w:divsChild>
        <w:div w:id="503591591">
          <w:marLeft w:val="0"/>
          <w:marRight w:val="0"/>
          <w:marTop w:val="0"/>
          <w:marBottom w:val="0"/>
          <w:divBdr>
            <w:top w:val="none" w:sz="0" w:space="0" w:color="auto"/>
            <w:left w:val="none" w:sz="0" w:space="0" w:color="auto"/>
            <w:bottom w:val="none" w:sz="0" w:space="0" w:color="auto"/>
            <w:right w:val="none" w:sz="0" w:space="0" w:color="auto"/>
          </w:divBdr>
        </w:div>
        <w:div w:id="1379207633">
          <w:marLeft w:val="0"/>
          <w:marRight w:val="0"/>
          <w:marTop w:val="0"/>
          <w:marBottom w:val="0"/>
          <w:divBdr>
            <w:top w:val="none" w:sz="0" w:space="0" w:color="auto"/>
            <w:left w:val="none" w:sz="0" w:space="0" w:color="auto"/>
            <w:bottom w:val="none" w:sz="0" w:space="0" w:color="auto"/>
            <w:right w:val="none" w:sz="0" w:space="0" w:color="auto"/>
          </w:divBdr>
        </w:div>
        <w:div w:id="624233267">
          <w:marLeft w:val="0"/>
          <w:marRight w:val="0"/>
          <w:marTop w:val="0"/>
          <w:marBottom w:val="0"/>
          <w:divBdr>
            <w:top w:val="none" w:sz="0" w:space="0" w:color="auto"/>
            <w:left w:val="none" w:sz="0" w:space="0" w:color="auto"/>
            <w:bottom w:val="none" w:sz="0" w:space="0" w:color="auto"/>
            <w:right w:val="none" w:sz="0" w:space="0" w:color="auto"/>
          </w:divBdr>
        </w:div>
        <w:div w:id="577792361">
          <w:marLeft w:val="0"/>
          <w:marRight w:val="0"/>
          <w:marTop w:val="0"/>
          <w:marBottom w:val="0"/>
          <w:divBdr>
            <w:top w:val="none" w:sz="0" w:space="0" w:color="auto"/>
            <w:left w:val="none" w:sz="0" w:space="0" w:color="auto"/>
            <w:bottom w:val="none" w:sz="0" w:space="0" w:color="auto"/>
            <w:right w:val="none" w:sz="0" w:space="0" w:color="auto"/>
          </w:divBdr>
        </w:div>
        <w:div w:id="237520067">
          <w:marLeft w:val="0"/>
          <w:marRight w:val="0"/>
          <w:marTop w:val="0"/>
          <w:marBottom w:val="0"/>
          <w:divBdr>
            <w:top w:val="none" w:sz="0" w:space="0" w:color="auto"/>
            <w:left w:val="none" w:sz="0" w:space="0" w:color="auto"/>
            <w:bottom w:val="none" w:sz="0" w:space="0" w:color="auto"/>
            <w:right w:val="none" w:sz="0" w:space="0" w:color="auto"/>
          </w:divBdr>
        </w:div>
        <w:div w:id="153955121">
          <w:marLeft w:val="0"/>
          <w:marRight w:val="0"/>
          <w:marTop w:val="0"/>
          <w:marBottom w:val="0"/>
          <w:divBdr>
            <w:top w:val="none" w:sz="0" w:space="0" w:color="auto"/>
            <w:left w:val="none" w:sz="0" w:space="0" w:color="auto"/>
            <w:bottom w:val="none" w:sz="0" w:space="0" w:color="auto"/>
            <w:right w:val="none" w:sz="0" w:space="0" w:color="auto"/>
          </w:divBdr>
        </w:div>
        <w:div w:id="2083217105">
          <w:marLeft w:val="0"/>
          <w:marRight w:val="0"/>
          <w:marTop w:val="0"/>
          <w:marBottom w:val="0"/>
          <w:divBdr>
            <w:top w:val="none" w:sz="0" w:space="0" w:color="auto"/>
            <w:left w:val="none" w:sz="0" w:space="0" w:color="auto"/>
            <w:bottom w:val="none" w:sz="0" w:space="0" w:color="auto"/>
            <w:right w:val="none" w:sz="0" w:space="0" w:color="auto"/>
          </w:divBdr>
        </w:div>
        <w:div w:id="612442307">
          <w:marLeft w:val="0"/>
          <w:marRight w:val="0"/>
          <w:marTop w:val="0"/>
          <w:marBottom w:val="0"/>
          <w:divBdr>
            <w:top w:val="none" w:sz="0" w:space="0" w:color="auto"/>
            <w:left w:val="none" w:sz="0" w:space="0" w:color="auto"/>
            <w:bottom w:val="none" w:sz="0" w:space="0" w:color="auto"/>
            <w:right w:val="none" w:sz="0" w:space="0" w:color="auto"/>
          </w:divBdr>
        </w:div>
        <w:div w:id="1477070032">
          <w:marLeft w:val="0"/>
          <w:marRight w:val="0"/>
          <w:marTop w:val="0"/>
          <w:marBottom w:val="0"/>
          <w:divBdr>
            <w:top w:val="none" w:sz="0" w:space="0" w:color="auto"/>
            <w:left w:val="none" w:sz="0" w:space="0" w:color="auto"/>
            <w:bottom w:val="none" w:sz="0" w:space="0" w:color="auto"/>
            <w:right w:val="none" w:sz="0" w:space="0" w:color="auto"/>
          </w:divBdr>
        </w:div>
        <w:div w:id="2036736768">
          <w:marLeft w:val="0"/>
          <w:marRight w:val="0"/>
          <w:marTop w:val="0"/>
          <w:marBottom w:val="0"/>
          <w:divBdr>
            <w:top w:val="none" w:sz="0" w:space="0" w:color="auto"/>
            <w:left w:val="none" w:sz="0" w:space="0" w:color="auto"/>
            <w:bottom w:val="none" w:sz="0" w:space="0" w:color="auto"/>
            <w:right w:val="none" w:sz="0" w:space="0" w:color="auto"/>
          </w:divBdr>
        </w:div>
        <w:div w:id="1091857164">
          <w:marLeft w:val="0"/>
          <w:marRight w:val="0"/>
          <w:marTop w:val="0"/>
          <w:marBottom w:val="0"/>
          <w:divBdr>
            <w:top w:val="none" w:sz="0" w:space="0" w:color="auto"/>
            <w:left w:val="none" w:sz="0" w:space="0" w:color="auto"/>
            <w:bottom w:val="none" w:sz="0" w:space="0" w:color="auto"/>
            <w:right w:val="none" w:sz="0" w:space="0" w:color="auto"/>
          </w:divBdr>
        </w:div>
        <w:div w:id="1332562201">
          <w:marLeft w:val="0"/>
          <w:marRight w:val="0"/>
          <w:marTop w:val="0"/>
          <w:marBottom w:val="0"/>
          <w:divBdr>
            <w:top w:val="none" w:sz="0" w:space="0" w:color="auto"/>
            <w:left w:val="none" w:sz="0" w:space="0" w:color="auto"/>
            <w:bottom w:val="none" w:sz="0" w:space="0" w:color="auto"/>
            <w:right w:val="none" w:sz="0" w:space="0" w:color="auto"/>
          </w:divBdr>
        </w:div>
        <w:div w:id="1326471430">
          <w:marLeft w:val="0"/>
          <w:marRight w:val="0"/>
          <w:marTop w:val="0"/>
          <w:marBottom w:val="0"/>
          <w:divBdr>
            <w:top w:val="none" w:sz="0" w:space="0" w:color="auto"/>
            <w:left w:val="none" w:sz="0" w:space="0" w:color="auto"/>
            <w:bottom w:val="none" w:sz="0" w:space="0" w:color="auto"/>
            <w:right w:val="none" w:sz="0" w:space="0" w:color="auto"/>
          </w:divBdr>
        </w:div>
        <w:div w:id="1485707412">
          <w:marLeft w:val="0"/>
          <w:marRight w:val="0"/>
          <w:marTop w:val="0"/>
          <w:marBottom w:val="0"/>
          <w:divBdr>
            <w:top w:val="none" w:sz="0" w:space="0" w:color="auto"/>
            <w:left w:val="none" w:sz="0" w:space="0" w:color="auto"/>
            <w:bottom w:val="none" w:sz="0" w:space="0" w:color="auto"/>
            <w:right w:val="none" w:sz="0" w:space="0" w:color="auto"/>
          </w:divBdr>
        </w:div>
        <w:div w:id="3290945">
          <w:marLeft w:val="0"/>
          <w:marRight w:val="0"/>
          <w:marTop w:val="0"/>
          <w:marBottom w:val="0"/>
          <w:divBdr>
            <w:top w:val="none" w:sz="0" w:space="0" w:color="auto"/>
            <w:left w:val="none" w:sz="0" w:space="0" w:color="auto"/>
            <w:bottom w:val="none" w:sz="0" w:space="0" w:color="auto"/>
            <w:right w:val="none" w:sz="0" w:space="0" w:color="auto"/>
          </w:divBdr>
        </w:div>
        <w:div w:id="1126629864">
          <w:marLeft w:val="0"/>
          <w:marRight w:val="0"/>
          <w:marTop w:val="0"/>
          <w:marBottom w:val="0"/>
          <w:divBdr>
            <w:top w:val="none" w:sz="0" w:space="0" w:color="auto"/>
            <w:left w:val="none" w:sz="0" w:space="0" w:color="auto"/>
            <w:bottom w:val="none" w:sz="0" w:space="0" w:color="auto"/>
            <w:right w:val="none" w:sz="0" w:space="0" w:color="auto"/>
          </w:divBdr>
        </w:div>
        <w:div w:id="735981854">
          <w:marLeft w:val="0"/>
          <w:marRight w:val="0"/>
          <w:marTop w:val="0"/>
          <w:marBottom w:val="0"/>
          <w:divBdr>
            <w:top w:val="none" w:sz="0" w:space="0" w:color="auto"/>
            <w:left w:val="none" w:sz="0" w:space="0" w:color="auto"/>
            <w:bottom w:val="none" w:sz="0" w:space="0" w:color="auto"/>
            <w:right w:val="none" w:sz="0" w:space="0" w:color="auto"/>
          </w:divBdr>
        </w:div>
        <w:div w:id="1591888649">
          <w:marLeft w:val="0"/>
          <w:marRight w:val="0"/>
          <w:marTop w:val="0"/>
          <w:marBottom w:val="0"/>
          <w:divBdr>
            <w:top w:val="none" w:sz="0" w:space="0" w:color="auto"/>
            <w:left w:val="none" w:sz="0" w:space="0" w:color="auto"/>
            <w:bottom w:val="none" w:sz="0" w:space="0" w:color="auto"/>
            <w:right w:val="none" w:sz="0" w:space="0" w:color="auto"/>
          </w:divBdr>
        </w:div>
        <w:div w:id="1227033558">
          <w:marLeft w:val="0"/>
          <w:marRight w:val="0"/>
          <w:marTop w:val="0"/>
          <w:marBottom w:val="0"/>
          <w:divBdr>
            <w:top w:val="none" w:sz="0" w:space="0" w:color="auto"/>
            <w:left w:val="none" w:sz="0" w:space="0" w:color="auto"/>
            <w:bottom w:val="none" w:sz="0" w:space="0" w:color="auto"/>
            <w:right w:val="none" w:sz="0" w:space="0" w:color="auto"/>
          </w:divBdr>
        </w:div>
        <w:div w:id="349449514">
          <w:marLeft w:val="0"/>
          <w:marRight w:val="0"/>
          <w:marTop w:val="0"/>
          <w:marBottom w:val="0"/>
          <w:divBdr>
            <w:top w:val="none" w:sz="0" w:space="0" w:color="auto"/>
            <w:left w:val="none" w:sz="0" w:space="0" w:color="auto"/>
            <w:bottom w:val="none" w:sz="0" w:space="0" w:color="auto"/>
            <w:right w:val="none" w:sz="0" w:space="0" w:color="auto"/>
          </w:divBdr>
        </w:div>
        <w:div w:id="791896257">
          <w:marLeft w:val="0"/>
          <w:marRight w:val="0"/>
          <w:marTop w:val="0"/>
          <w:marBottom w:val="0"/>
          <w:divBdr>
            <w:top w:val="none" w:sz="0" w:space="0" w:color="auto"/>
            <w:left w:val="none" w:sz="0" w:space="0" w:color="auto"/>
            <w:bottom w:val="none" w:sz="0" w:space="0" w:color="auto"/>
            <w:right w:val="none" w:sz="0" w:space="0" w:color="auto"/>
          </w:divBdr>
        </w:div>
        <w:div w:id="1717704552">
          <w:marLeft w:val="0"/>
          <w:marRight w:val="0"/>
          <w:marTop w:val="0"/>
          <w:marBottom w:val="0"/>
          <w:divBdr>
            <w:top w:val="none" w:sz="0" w:space="0" w:color="auto"/>
            <w:left w:val="none" w:sz="0" w:space="0" w:color="auto"/>
            <w:bottom w:val="none" w:sz="0" w:space="0" w:color="auto"/>
            <w:right w:val="none" w:sz="0" w:space="0" w:color="auto"/>
          </w:divBdr>
        </w:div>
        <w:div w:id="30303059">
          <w:marLeft w:val="0"/>
          <w:marRight w:val="0"/>
          <w:marTop w:val="0"/>
          <w:marBottom w:val="0"/>
          <w:divBdr>
            <w:top w:val="none" w:sz="0" w:space="0" w:color="auto"/>
            <w:left w:val="none" w:sz="0" w:space="0" w:color="auto"/>
            <w:bottom w:val="none" w:sz="0" w:space="0" w:color="auto"/>
            <w:right w:val="none" w:sz="0" w:space="0" w:color="auto"/>
          </w:divBdr>
        </w:div>
        <w:div w:id="154884144">
          <w:marLeft w:val="0"/>
          <w:marRight w:val="0"/>
          <w:marTop w:val="0"/>
          <w:marBottom w:val="0"/>
          <w:divBdr>
            <w:top w:val="none" w:sz="0" w:space="0" w:color="auto"/>
            <w:left w:val="none" w:sz="0" w:space="0" w:color="auto"/>
            <w:bottom w:val="none" w:sz="0" w:space="0" w:color="auto"/>
            <w:right w:val="none" w:sz="0" w:space="0" w:color="auto"/>
          </w:divBdr>
        </w:div>
        <w:div w:id="1416590756">
          <w:marLeft w:val="0"/>
          <w:marRight w:val="0"/>
          <w:marTop w:val="0"/>
          <w:marBottom w:val="0"/>
          <w:divBdr>
            <w:top w:val="none" w:sz="0" w:space="0" w:color="auto"/>
            <w:left w:val="none" w:sz="0" w:space="0" w:color="auto"/>
            <w:bottom w:val="none" w:sz="0" w:space="0" w:color="auto"/>
            <w:right w:val="none" w:sz="0" w:space="0" w:color="auto"/>
          </w:divBdr>
        </w:div>
        <w:div w:id="1361130764">
          <w:marLeft w:val="0"/>
          <w:marRight w:val="0"/>
          <w:marTop w:val="0"/>
          <w:marBottom w:val="0"/>
          <w:divBdr>
            <w:top w:val="none" w:sz="0" w:space="0" w:color="auto"/>
            <w:left w:val="none" w:sz="0" w:space="0" w:color="auto"/>
            <w:bottom w:val="none" w:sz="0" w:space="0" w:color="auto"/>
            <w:right w:val="none" w:sz="0" w:space="0" w:color="auto"/>
          </w:divBdr>
        </w:div>
        <w:div w:id="483156673">
          <w:marLeft w:val="0"/>
          <w:marRight w:val="0"/>
          <w:marTop w:val="0"/>
          <w:marBottom w:val="0"/>
          <w:divBdr>
            <w:top w:val="none" w:sz="0" w:space="0" w:color="auto"/>
            <w:left w:val="none" w:sz="0" w:space="0" w:color="auto"/>
            <w:bottom w:val="none" w:sz="0" w:space="0" w:color="auto"/>
            <w:right w:val="none" w:sz="0" w:space="0" w:color="auto"/>
          </w:divBdr>
        </w:div>
        <w:div w:id="678852581">
          <w:marLeft w:val="0"/>
          <w:marRight w:val="0"/>
          <w:marTop w:val="0"/>
          <w:marBottom w:val="0"/>
          <w:divBdr>
            <w:top w:val="none" w:sz="0" w:space="0" w:color="auto"/>
            <w:left w:val="none" w:sz="0" w:space="0" w:color="auto"/>
            <w:bottom w:val="none" w:sz="0" w:space="0" w:color="auto"/>
            <w:right w:val="none" w:sz="0" w:space="0" w:color="auto"/>
          </w:divBdr>
        </w:div>
        <w:div w:id="735589994">
          <w:marLeft w:val="0"/>
          <w:marRight w:val="0"/>
          <w:marTop w:val="0"/>
          <w:marBottom w:val="0"/>
          <w:divBdr>
            <w:top w:val="none" w:sz="0" w:space="0" w:color="auto"/>
            <w:left w:val="none" w:sz="0" w:space="0" w:color="auto"/>
            <w:bottom w:val="none" w:sz="0" w:space="0" w:color="auto"/>
            <w:right w:val="none" w:sz="0" w:space="0" w:color="auto"/>
          </w:divBdr>
        </w:div>
        <w:div w:id="572423813">
          <w:marLeft w:val="0"/>
          <w:marRight w:val="0"/>
          <w:marTop w:val="0"/>
          <w:marBottom w:val="0"/>
          <w:divBdr>
            <w:top w:val="none" w:sz="0" w:space="0" w:color="auto"/>
            <w:left w:val="none" w:sz="0" w:space="0" w:color="auto"/>
            <w:bottom w:val="none" w:sz="0" w:space="0" w:color="auto"/>
            <w:right w:val="none" w:sz="0" w:space="0" w:color="auto"/>
          </w:divBdr>
        </w:div>
        <w:div w:id="1856726862">
          <w:marLeft w:val="0"/>
          <w:marRight w:val="0"/>
          <w:marTop w:val="0"/>
          <w:marBottom w:val="0"/>
          <w:divBdr>
            <w:top w:val="none" w:sz="0" w:space="0" w:color="auto"/>
            <w:left w:val="none" w:sz="0" w:space="0" w:color="auto"/>
            <w:bottom w:val="none" w:sz="0" w:space="0" w:color="auto"/>
            <w:right w:val="none" w:sz="0" w:space="0" w:color="auto"/>
          </w:divBdr>
        </w:div>
        <w:div w:id="1010181462">
          <w:marLeft w:val="0"/>
          <w:marRight w:val="0"/>
          <w:marTop w:val="0"/>
          <w:marBottom w:val="0"/>
          <w:divBdr>
            <w:top w:val="none" w:sz="0" w:space="0" w:color="auto"/>
            <w:left w:val="none" w:sz="0" w:space="0" w:color="auto"/>
            <w:bottom w:val="none" w:sz="0" w:space="0" w:color="auto"/>
            <w:right w:val="none" w:sz="0" w:space="0" w:color="auto"/>
          </w:divBdr>
        </w:div>
        <w:div w:id="1490101036">
          <w:marLeft w:val="0"/>
          <w:marRight w:val="0"/>
          <w:marTop w:val="0"/>
          <w:marBottom w:val="0"/>
          <w:divBdr>
            <w:top w:val="none" w:sz="0" w:space="0" w:color="auto"/>
            <w:left w:val="none" w:sz="0" w:space="0" w:color="auto"/>
            <w:bottom w:val="none" w:sz="0" w:space="0" w:color="auto"/>
            <w:right w:val="none" w:sz="0" w:space="0" w:color="auto"/>
          </w:divBdr>
        </w:div>
        <w:div w:id="1741371010">
          <w:marLeft w:val="0"/>
          <w:marRight w:val="0"/>
          <w:marTop w:val="0"/>
          <w:marBottom w:val="0"/>
          <w:divBdr>
            <w:top w:val="none" w:sz="0" w:space="0" w:color="auto"/>
            <w:left w:val="none" w:sz="0" w:space="0" w:color="auto"/>
            <w:bottom w:val="none" w:sz="0" w:space="0" w:color="auto"/>
            <w:right w:val="none" w:sz="0" w:space="0" w:color="auto"/>
          </w:divBdr>
        </w:div>
        <w:div w:id="711539877">
          <w:marLeft w:val="0"/>
          <w:marRight w:val="0"/>
          <w:marTop w:val="0"/>
          <w:marBottom w:val="0"/>
          <w:divBdr>
            <w:top w:val="none" w:sz="0" w:space="0" w:color="auto"/>
            <w:left w:val="none" w:sz="0" w:space="0" w:color="auto"/>
            <w:bottom w:val="none" w:sz="0" w:space="0" w:color="auto"/>
            <w:right w:val="none" w:sz="0" w:space="0" w:color="auto"/>
          </w:divBdr>
        </w:div>
        <w:div w:id="638535986">
          <w:marLeft w:val="0"/>
          <w:marRight w:val="0"/>
          <w:marTop w:val="0"/>
          <w:marBottom w:val="0"/>
          <w:divBdr>
            <w:top w:val="none" w:sz="0" w:space="0" w:color="auto"/>
            <w:left w:val="none" w:sz="0" w:space="0" w:color="auto"/>
            <w:bottom w:val="none" w:sz="0" w:space="0" w:color="auto"/>
            <w:right w:val="none" w:sz="0" w:space="0" w:color="auto"/>
          </w:divBdr>
        </w:div>
        <w:div w:id="845363140">
          <w:marLeft w:val="0"/>
          <w:marRight w:val="0"/>
          <w:marTop w:val="0"/>
          <w:marBottom w:val="0"/>
          <w:divBdr>
            <w:top w:val="none" w:sz="0" w:space="0" w:color="auto"/>
            <w:left w:val="none" w:sz="0" w:space="0" w:color="auto"/>
            <w:bottom w:val="none" w:sz="0" w:space="0" w:color="auto"/>
            <w:right w:val="none" w:sz="0" w:space="0" w:color="auto"/>
          </w:divBdr>
        </w:div>
        <w:div w:id="1986160247">
          <w:marLeft w:val="0"/>
          <w:marRight w:val="0"/>
          <w:marTop w:val="0"/>
          <w:marBottom w:val="0"/>
          <w:divBdr>
            <w:top w:val="none" w:sz="0" w:space="0" w:color="auto"/>
            <w:left w:val="none" w:sz="0" w:space="0" w:color="auto"/>
            <w:bottom w:val="none" w:sz="0" w:space="0" w:color="auto"/>
            <w:right w:val="none" w:sz="0" w:space="0" w:color="auto"/>
          </w:divBdr>
        </w:div>
        <w:div w:id="305282504">
          <w:marLeft w:val="0"/>
          <w:marRight w:val="0"/>
          <w:marTop w:val="0"/>
          <w:marBottom w:val="0"/>
          <w:divBdr>
            <w:top w:val="none" w:sz="0" w:space="0" w:color="auto"/>
            <w:left w:val="none" w:sz="0" w:space="0" w:color="auto"/>
            <w:bottom w:val="none" w:sz="0" w:space="0" w:color="auto"/>
            <w:right w:val="none" w:sz="0" w:space="0" w:color="auto"/>
          </w:divBdr>
        </w:div>
        <w:div w:id="1207333601">
          <w:marLeft w:val="0"/>
          <w:marRight w:val="0"/>
          <w:marTop w:val="0"/>
          <w:marBottom w:val="0"/>
          <w:divBdr>
            <w:top w:val="none" w:sz="0" w:space="0" w:color="auto"/>
            <w:left w:val="none" w:sz="0" w:space="0" w:color="auto"/>
            <w:bottom w:val="none" w:sz="0" w:space="0" w:color="auto"/>
            <w:right w:val="none" w:sz="0" w:space="0" w:color="auto"/>
          </w:divBdr>
        </w:div>
        <w:div w:id="1428500411">
          <w:marLeft w:val="0"/>
          <w:marRight w:val="0"/>
          <w:marTop w:val="0"/>
          <w:marBottom w:val="0"/>
          <w:divBdr>
            <w:top w:val="none" w:sz="0" w:space="0" w:color="auto"/>
            <w:left w:val="none" w:sz="0" w:space="0" w:color="auto"/>
            <w:bottom w:val="none" w:sz="0" w:space="0" w:color="auto"/>
            <w:right w:val="none" w:sz="0" w:space="0" w:color="auto"/>
          </w:divBdr>
        </w:div>
        <w:div w:id="693264749">
          <w:marLeft w:val="0"/>
          <w:marRight w:val="0"/>
          <w:marTop w:val="0"/>
          <w:marBottom w:val="0"/>
          <w:divBdr>
            <w:top w:val="none" w:sz="0" w:space="0" w:color="auto"/>
            <w:left w:val="none" w:sz="0" w:space="0" w:color="auto"/>
            <w:bottom w:val="none" w:sz="0" w:space="0" w:color="auto"/>
            <w:right w:val="none" w:sz="0" w:space="0" w:color="auto"/>
          </w:divBdr>
        </w:div>
        <w:div w:id="858466548">
          <w:marLeft w:val="0"/>
          <w:marRight w:val="0"/>
          <w:marTop w:val="0"/>
          <w:marBottom w:val="0"/>
          <w:divBdr>
            <w:top w:val="none" w:sz="0" w:space="0" w:color="auto"/>
            <w:left w:val="none" w:sz="0" w:space="0" w:color="auto"/>
            <w:bottom w:val="none" w:sz="0" w:space="0" w:color="auto"/>
            <w:right w:val="none" w:sz="0" w:space="0" w:color="auto"/>
          </w:divBdr>
        </w:div>
        <w:div w:id="995299120">
          <w:marLeft w:val="0"/>
          <w:marRight w:val="0"/>
          <w:marTop w:val="0"/>
          <w:marBottom w:val="0"/>
          <w:divBdr>
            <w:top w:val="none" w:sz="0" w:space="0" w:color="auto"/>
            <w:left w:val="none" w:sz="0" w:space="0" w:color="auto"/>
            <w:bottom w:val="none" w:sz="0" w:space="0" w:color="auto"/>
            <w:right w:val="none" w:sz="0" w:space="0" w:color="auto"/>
          </w:divBdr>
        </w:div>
        <w:div w:id="549616512">
          <w:marLeft w:val="0"/>
          <w:marRight w:val="0"/>
          <w:marTop w:val="0"/>
          <w:marBottom w:val="0"/>
          <w:divBdr>
            <w:top w:val="none" w:sz="0" w:space="0" w:color="auto"/>
            <w:left w:val="none" w:sz="0" w:space="0" w:color="auto"/>
            <w:bottom w:val="none" w:sz="0" w:space="0" w:color="auto"/>
            <w:right w:val="none" w:sz="0" w:space="0" w:color="auto"/>
          </w:divBdr>
        </w:div>
        <w:div w:id="405691453">
          <w:marLeft w:val="0"/>
          <w:marRight w:val="0"/>
          <w:marTop w:val="0"/>
          <w:marBottom w:val="0"/>
          <w:divBdr>
            <w:top w:val="none" w:sz="0" w:space="0" w:color="auto"/>
            <w:left w:val="none" w:sz="0" w:space="0" w:color="auto"/>
            <w:bottom w:val="none" w:sz="0" w:space="0" w:color="auto"/>
            <w:right w:val="none" w:sz="0" w:space="0" w:color="auto"/>
          </w:divBdr>
        </w:div>
        <w:div w:id="862137791">
          <w:marLeft w:val="0"/>
          <w:marRight w:val="0"/>
          <w:marTop w:val="0"/>
          <w:marBottom w:val="0"/>
          <w:divBdr>
            <w:top w:val="none" w:sz="0" w:space="0" w:color="auto"/>
            <w:left w:val="none" w:sz="0" w:space="0" w:color="auto"/>
            <w:bottom w:val="none" w:sz="0" w:space="0" w:color="auto"/>
            <w:right w:val="none" w:sz="0" w:space="0" w:color="auto"/>
          </w:divBdr>
        </w:div>
        <w:div w:id="205332445">
          <w:marLeft w:val="0"/>
          <w:marRight w:val="0"/>
          <w:marTop w:val="0"/>
          <w:marBottom w:val="0"/>
          <w:divBdr>
            <w:top w:val="none" w:sz="0" w:space="0" w:color="auto"/>
            <w:left w:val="none" w:sz="0" w:space="0" w:color="auto"/>
            <w:bottom w:val="none" w:sz="0" w:space="0" w:color="auto"/>
            <w:right w:val="none" w:sz="0" w:space="0" w:color="auto"/>
          </w:divBdr>
        </w:div>
        <w:div w:id="1627735343">
          <w:marLeft w:val="0"/>
          <w:marRight w:val="0"/>
          <w:marTop w:val="0"/>
          <w:marBottom w:val="0"/>
          <w:divBdr>
            <w:top w:val="none" w:sz="0" w:space="0" w:color="auto"/>
            <w:left w:val="none" w:sz="0" w:space="0" w:color="auto"/>
            <w:bottom w:val="none" w:sz="0" w:space="0" w:color="auto"/>
            <w:right w:val="none" w:sz="0" w:space="0" w:color="auto"/>
          </w:divBdr>
        </w:div>
        <w:div w:id="979072100">
          <w:marLeft w:val="0"/>
          <w:marRight w:val="0"/>
          <w:marTop w:val="0"/>
          <w:marBottom w:val="0"/>
          <w:divBdr>
            <w:top w:val="none" w:sz="0" w:space="0" w:color="auto"/>
            <w:left w:val="none" w:sz="0" w:space="0" w:color="auto"/>
            <w:bottom w:val="none" w:sz="0" w:space="0" w:color="auto"/>
            <w:right w:val="none" w:sz="0" w:space="0" w:color="auto"/>
          </w:divBdr>
        </w:div>
        <w:div w:id="968783073">
          <w:marLeft w:val="0"/>
          <w:marRight w:val="0"/>
          <w:marTop w:val="0"/>
          <w:marBottom w:val="0"/>
          <w:divBdr>
            <w:top w:val="none" w:sz="0" w:space="0" w:color="auto"/>
            <w:left w:val="none" w:sz="0" w:space="0" w:color="auto"/>
            <w:bottom w:val="none" w:sz="0" w:space="0" w:color="auto"/>
            <w:right w:val="none" w:sz="0" w:space="0" w:color="auto"/>
          </w:divBdr>
        </w:div>
        <w:div w:id="1966961870">
          <w:marLeft w:val="0"/>
          <w:marRight w:val="0"/>
          <w:marTop w:val="0"/>
          <w:marBottom w:val="0"/>
          <w:divBdr>
            <w:top w:val="none" w:sz="0" w:space="0" w:color="auto"/>
            <w:left w:val="none" w:sz="0" w:space="0" w:color="auto"/>
            <w:bottom w:val="none" w:sz="0" w:space="0" w:color="auto"/>
            <w:right w:val="none" w:sz="0" w:space="0" w:color="auto"/>
          </w:divBdr>
        </w:div>
        <w:div w:id="560798176">
          <w:marLeft w:val="0"/>
          <w:marRight w:val="0"/>
          <w:marTop w:val="0"/>
          <w:marBottom w:val="0"/>
          <w:divBdr>
            <w:top w:val="none" w:sz="0" w:space="0" w:color="auto"/>
            <w:left w:val="none" w:sz="0" w:space="0" w:color="auto"/>
            <w:bottom w:val="none" w:sz="0" w:space="0" w:color="auto"/>
            <w:right w:val="none" w:sz="0" w:space="0" w:color="auto"/>
          </w:divBdr>
        </w:div>
        <w:div w:id="1015033129">
          <w:marLeft w:val="0"/>
          <w:marRight w:val="0"/>
          <w:marTop w:val="0"/>
          <w:marBottom w:val="0"/>
          <w:divBdr>
            <w:top w:val="none" w:sz="0" w:space="0" w:color="auto"/>
            <w:left w:val="none" w:sz="0" w:space="0" w:color="auto"/>
            <w:bottom w:val="none" w:sz="0" w:space="0" w:color="auto"/>
            <w:right w:val="none" w:sz="0" w:space="0" w:color="auto"/>
          </w:divBdr>
        </w:div>
        <w:div w:id="518738546">
          <w:marLeft w:val="0"/>
          <w:marRight w:val="0"/>
          <w:marTop w:val="0"/>
          <w:marBottom w:val="0"/>
          <w:divBdr>
            <w:top w:val="none" w:sz="0" w:space="0" w:color="auto"/>
            <w:left w:val="none" w:sz="0" w:space="0" w:color="auto"/>
            <w:bottom w:val="none" w:sz="0" w:space="0" w:color="auto"/>
            <w:right w:val="none" w:sz="0" w:space="0" w:color="auto"/>
          </w:divBdr>
        </w:div>
        <w:div w:id="81029573">
          <w:marLeft w:val="0"/>
          <w:marRight w:val="0"/>
          <w:marTop w:val="0"/>
          <w:marBottom w:val="0"/>
          <w:divBdr>
            <w:top w:val="none" w:sz="0" w:space="0" w:color="auto"/>
            <w:left w:val="none" w:sz="0" w:space="0" w:color="auto"/>
            <w:bottom w:val="none" w:sz="0" w:space="0" w:color="auto"/>
            <w:right w:val="none" w:sz="0" w:space="0" w:color="auto"/>
          </w:divBdr>
        </w:div>
        <w:div w:id="1293948209">
          <w:marLeft w:val="0"/>
          <w:marRight w:val="0"/>
          <w:marTop w:val="0"/>
          <w:marBottom w:val="0"/>
          <w:divBdr>
            <w:top w:val="none" w:sz="0" w:space="0" w:color="auto"/>
            <w:left w:val="none" w:sz="0" w:space="0" w:color="auto"/>
            <w:bottom w:val="none" w:sz="0" w:space="0" w:color="auto"/>
            <w:right w:val="none" w:sz="0" w:space="0" w:color="auto"/>
          </w:divBdr>
        </w:div>
        <w:div w:id="1976715081">
          <w:marLeft w:val="0"/>
          <w:marRight w:val="0"/>
          <w:marTop w:val="0"/>
          <w:marBottom w:val="0"/>
          <w:divBdr>
            <w:top w:val="none" w:sz="0" w:space="0" w:color="auto"/>
            <w:left w:val="none" w:sz="0" w:space="0" w:color="auto"/>
            <w:bottom w:val="none" w:sz="0" w:space="0" w:color="auto"/>
            <w:right w:val="none" w:sz="0" w:space="0" w:color="auto"/>
          </w:divBdr>
        </w:div>
        <w:div w:id="1386568884">
          <w:marLeft w:val="0"/>
          <w:marRight w:val="0"/>
          <w:marTop w:val="0"/>
          <w:marBottom w:val="0"/>
          <w:divBdr>
            <w:top w:val="none" w:sz="0" w:space="0" w:color="auto"/>
            <w:left w:val="none" w:sz="0" w:space="0" w:color="auto"/>
            <w:bottom w:val="none" w:sz="0" w:space="0" w:color="auto"/>
            <w:right w:val="none" w:sz="0" w:space="0" w:color="auto"/>
          </w:divBdr>
        </w:div>
        <w:div w:id="143664315">
          <w:marLeft w:val="0"/>
          <w:marRight w:val="0"/>
          <w:marTop w:val="0"/>
          <w:marBottom w:val="0"/>
          <w:divBdr>
            <w:top w:val="none" w:sz="0" w:space="0" w:color="auto"/>
            <w:left w:val="none" w:sz="0" w:space="0" w:color="auto"/>
            <w:bottom w:val="none" w:sz="0" w:space="0" w:color="auto"/>
            <w:right w:val="none" w:sz="0" w:space="0" w:color="auto"/>
          </w:divBdr>
        </w:div>
      </w:divsChild>
    </w:div>
    <w:div w:id="1094282331">
      <w:bodyDiv w:val="1"/>
      <w:marLeft w:val="0"/>
      <w:marRight w:val="0"/>
      <w:marTop w:val="0"/>
      <w:marBottom w:val="0"/>
      <w:divBdr>
        <w:top w:val="none" w:sz="0" w:space="0" w:color="auto"/>
        <w:left w:val="none" w:sz="0" w:space="0" w:color="auto"/>
        <w:bottom w:val="none" w:sz="0" w:space="0" w:color="auto"/>
        <w:right w:val="none" w:sz="0" w:space="0" w:color="auto"/>
      </w:divBdr>
    </w:div>
    <w:div w:id="1172723159">
      <w:bodyDiv w:val="1"/>
      <w:marLeft w:val="0"/>
      <w:marRight w:val="0"/>
      <w:marTop w:val="0"/>
      <w:marBottom w:val="0"/>
      <w:divBdr>
        <w:top w:val="none" w:sz="0" w:space="0" w:color="auto"/>
        <w:left w:val="none" w:sz="0" w:space="0" w:color="auto"/>
        <w:bottom w:val="none" w:sz="0" w:space="0" w:color="auto"/>
        <w:right w:val="none" w:sz="0" w:space="0" w:color="auto"/>
      </w:divBdr>
    </w:div>
    <w:div w:id="1205633003">
      <w:bodyDiv w:val="1"/>
      <w:marLeft w:val="0"/>
      <w:marRight w:val="0"/>
      <w:marTop w:val="0"/>
      <w:marBottom w:val="0"/>
      <w:divBdr>
        <w:top w:val="none" w:sz="0" w:space="0" w:color="auto"/>
        <w:left w:val="none" w:sz="0" w:space="0" w:color="auto"/>
        <w:bottom w:val="none" w:sz="0" w:space="0" w:color="auto"/>
        <w:right w:val="none" w:sz="0" w:space="0" w:color="auto"/>
      </w:divBdr>
    </w:div>
    <w:div w:id="1221482073">
      <w:bodyDiv w:val="1"/>
      <w:marLeft w:val="0"/>
      <w:marRight w:val="0"/>
      <w:marTop w:val="0"/>
      <w:marBottom w:val="0"/>
      <w:divBdr>
        <w:top w:val="none" w:sz="0" w:space="0" w:color="auto"/>
        <w:left w:val="none" w:sz="0" w:space="0" w:color="auto"/>
        <w:bottom w:val="none" w:sz="0" w:space="0" w:color="auto"/>
        <w:right w:val="none" w:sz="0" w:space="0" w:color="auto"/>
      </w:divBdr>
    </w:div>
    <w:div w:id="1248882491">
      <w:bodyDiv w:val="1"/>
      <w:marLeft w:val="0"/>
      <w:marRight w:val="0"/>
      <w:marTop w:val="0"/>
      <w:marBottom w:val="0"/>
      <w:divBdr>
        <w:top w:val="none" w:sz="0" w:space="0" w:color="auto"/>
        <w:left w:val="none" w:sz="0" w:space="0" w:color="auto"/>
        <w:bottom w:val="none" w:sz="0" w:space="0" w:color="auto"/>
        <w:right w:val="none" w:sz="0" w:space="0" w:color="auto"/>
      </w:divBdr>
    </w:div>
    <w:div w:id="1431242003">
      <w:bodyDiv w:val="1"/>
      <w:marLeft w:val="0"/>
      <w:marRight w:val="0"/>
      <w:marTop w:val="0"/>
      <w:marBottom w:val="0"/>
      <w:divBdr>
        <w:top w:val="none" w:sz="0" w:space="0" w:color="auto"/>
        <w:left w:val="none" w:sz="0" w:space="0" w:color="auto"/>
        <w:bottom w:val="none" w:sz="0" w:space="0" w:color="auto"/>
        <w:right w:val="none" w:sz="0" w:space="0" w:color="auto"/>
      </w:divBdr>
    </w:div>
    <w:div w:id="1437755547">
      <w:bodyDiv w:val="1"/>
      <w:marLeft w:val="0"/>
      <w:marRight w:val="0"/>
      <w:marTop w:val="0"/>
      <w:marBottom w:val="0"/>
      <w:divBdr>
        <w:top w:val="none" w:sz="0" w:space="0" w:color="auto"/>
        <w:left w:val="none" w:sz="0" w:space="0" w:color="auto"/>
        <w:bottom w:val="none" w:sz="0" w:space="0" w:color="auto"/>
        <w:right w:val="none" w:sz="0" w:space="0" w:color="auto"/>
      </w:divBdr>
    </w:div>
    <w:div w:id="1470589222">
      <w:bodyDiv w:val="1"/>
      <w:marLeft w:val="0"/>
      <w:marRight w:val="0"/>
      <w:marTop w:val="0"/>
      <w:marBottom w:val="0"/>
      <w:divBdr>
        <w:top w:val="none" w:sz="0" w:space="0" w:color="auto"/>
        <w:left w:val="none" w:sz="0" w:space="0" w:color="auto"/>
        <w:bottom w:val="none" w:sz="0" w:space="0" w:color="auto"/>
        <w:right w:val="none" w:sz="0" w:space="0" w:color="auto"/>
      </w:divBdr>
    </w:div>
    <w:div w:id="1475638979">
      <w:bodyDiv w:val="1"/>
      <w:marLeft w:val="0"/>
      <w:marRight w:val="0"/>
      <w:marTop w:val="0"/>
      <w:marBottom w:val="0"/>
      <w:divBdr>
        <w:top w:val="none" w:sz="0" w:space="0" w:color="auto"/>
        <w:left w:val="none" w:sz="0" w:space="0" w:color="auto"/>
        <w:bottom w:val="none" w:sz="0" w:space="0" w:color="auto"/>
        <w:right w:val="none" w:sz="0" w:space="0" w:color="auto"/>
      </w:divBdr>
    </w:div>
    <w:div w:id="1575622613">
      <w:bodyDiv w:val="1"/>
      <w:marLeft w:val="0"/>
      <w:marRight w:val="0"/>
      <w:marTop w:val="0"/>
      <w:marBottom w:val="0"/>
      <w:divBdr>
        <w:top w:val="none" w:sz="0" w:space="0" w:color="auto"/>
        <w:left w:val="none" w:sz="0" w:space="0" w:color="auto"/>
        <w:bottom w:val="none" w:sz="0" w:space="0" w:color="auto"/>
        <w:right w:val="none" w:sz="0" w:space="0" w:color="auto"/>
      </w:divBdr>
    </w:div>
    <w:div w:id="1610308861">
      <w:bodyDiv w:val="1"/>
      <w:marLeft w:val="0"/>
      <w:marRight w:val="0"/>
      <w:marTop w:val="0"/>
      <w:marBottom w:val="0"/>
      <w:divBdr>
        <w:top w:val="none" w:sz="0" w:space="0" w:color="auto"/>
        <w:left w:val="none" w:sz="0" w:space="0" w:color="auto"/>
        <w:bottom w:val="none" w:sz="0" w:space="0" w:color="auto"/>
        <w:right w:val="none" w:sz="0" w:space="0" w:color="auto"/>
      </w:divBdr>
    </w:div>
    <w:div w:id="1623924697">
      <w:bodyDiv w:val="1"/>
      <w:marLeft w:val="0"/>
      <w:marRight w:val="0"/>
      <w:marTop w:val="0"/>
      <w:marBottom w:val="0"/>
      <w:divBdr>
        <w:top w:val="none" w:sz="0" w:space="0" w:color="auto"/>
        <w:left w:val="none" w:sz="0" w:space="0" w:color="auto"/>
        <w:bottom w:val="none" w:sz="0" w:space="0" w:color="auto"/>
        <w:right w:val="none" w:sz="0" w:space="0" w:color="auto"/>
      </w:divBdr>
    </w:div>
    <w:div w:id="1790854328">
      <w:bodyDiv w:val="1"/>
      <w:marLeft w:val="0"/>
      <w:marRight w:val="0"/>
      <w:marTop w:val="0"/>
      <w:marBottom w:val="0"/>
      <w:divBdr>
        <w:top w:val="none" w:sz="0" w:space="0" w:color="auto"/>
        <w:left w:val="none" w:sz="0" w:space="0" w:color="auto"/>
        <w:bottom w:val="none" w:sz="0" w:space="0" w:color="auto"/>
        <w:right w:val="none" w:sz="0" w:space="0" w:color="auto"/>
      </w:divBdr>
    </w:div>
    <w:div w:id="1834833012">
      <w:bodyDiv w:val="1"/>
      <w:marLeft w:val="0"/>
      <w:marRight w:val="0"/>
      <w:marTop w:val="0"/>
      <w:marBottom w:val="0"/>
      <w:divBdr>
        <w:top w:val="none" w:sz="0" w:space="0" w:color="auto"/>
        <w:left w:val="none" w:sz="0" w:space="0" w:color="auto"/>
        <w:bottom w:val="none" w:sz="0" w:space="0" w:color="auto"/>
        <w:right w:val="none" w:sz="0" w:space="0" w:color="auto"/>
      </w:divBdr>
    </w:div>
    <w:div w:id="1868371474">
      <w:bodyDiv w:val="1"/>
      <w:marLeft w:val="0"/>
      <w:marRight w:val="0"/>
      <w:marTop w:val="0"/>
      <w:marBottom w:val="0"/>
      <w:divBdr>
        <w:top w:val="none" w:sz="0" w:space="0" w:color="auto"/>
        <w:left w:val="none" w:sz="0" w:space="0" w:color="auto"/>
        <w:bottom w:val="none" w:sz="0" w:space="0" w:color="auto"/>
        <w:right w:val="none" w:sz="0" w:space="0" w:color="auto"/>
      </w:divBdr>
    </w:div>
    <w:div w:id="1902520500">
      <w:bodyDiv w:val="1"/>
      <w:marLeft w:val="0"/>
      <w:marRight w:val="0"/>
      <w:marTop w:val="0"/>
      <w:marBottom w:val="0"/>
      <w:divBdr>
        <w:top w:val="none" w:sz="0" w:space="0" w:color="auto"/>
        <w:left w:val="none" w:sz="0" w:space="0" w:color="auto"/>
        <w:bottom w:val="none" w:sz="0" w:space="0" w:color="auto"/>
        <w:right w:val="none" w:sz="0" w:space="0" w:color="auto"/>
      </w:divBdr>
    </w:div>
    <w:div w:id="2038701148">
      <w:bodyDiv w:val="1"/>
      <w:marLeft w:val="0"/>
      <w:marRight w:val="0"/>
      <w:marTop w:val="0"/>
      <w:marBottom w:val="0"/>
      <w:divBdr>
        <w:top w:val="none" w:sz="0" w:space="0" w:color="auto"/>
        <w:left w:val="none" w:sz="0" w:space="0" w:color="auto"/>
        <w:bottom w:val="none" w:sz="0" w:space="0" w:color="auto"/>
        <w:right w:val="none" w:sz="0" w:space="0" w:color="auto"/>
      </w:divBdr>
    </w:div>
    <w:div w:id="204479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EN/TXT/?uri=celex:52025PC0747" TargetMode="Externa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6155</ap:Words>
  <ap:Characters>33857</ap:Characters>
  <ap:DocSecurity>0</ap:DocSecurity>
  <ap:Lines>282</ap:Lines>
  <ap:Paragraphs>79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39933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2026-02-04T11:24:00.0000000Z</lastPrinted>
  <dcterms:created xsi:type="dcterms:W3CDTF">2026-02-17T09:52:00.0000000Z</dcterms:created>
  <dcterms:modified xsi:type="dcterms:W3CDTF">2026-02-17T09:52:00.0000000Z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0x01010038E60350FC170647B310166F2EB204D8</vt:lpwstr>
  </property>
  <property fmtid="{D5CDD505-2E9C-101B-9397-08002B2CF9AE}" pid="8" name="MSIP_Label_6800fede-0e59-47ad-af95-4e63bbdb932d_Enabled">
    <vt:lpwstr>true</vt:lpwstr>
  </property>
  <property fmtid="{D5CDD505-2E9C-101B-9397-08002B2CF9AE}" pid="9" name="MSIP_Label_6800fede-0e59-47ad-af95-4e63bbdb932d_SetDate">
    <vt:lpwstr>2026-01-27T19:24:36Z</vt:lpwstr>
  </property>
  <property fmtid="{D5CDD505-2E9C-101B-9397-08002B2CF9AE}" pid="10" name="MSIP_Label_6800fede-0e59-47ad-af95-4e63bbdb932d_Method">
    <vt:lpwstr>Standard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91432a17-b32c-4ed1-9882-560d443db60d</vt:lpwstr>
  </property>
  <property fmtid="{D5CDD505-2E9C-101B-9397-08002B2CF9AE}" pid="14" name="MSIP_Label_6800fede-0e59-47ad-af95-4e63bbdb932d_ContentBits">
    <vt:lpwstr>0</vt:lpwstr>
  </property>
  <property fmtid="{D5CDD505-2E9C-101B-9397-08002B2CF9AE}" pid="15" name="MSIP_Label_6800fede-0e59-47ad-af95-4e63bbdb932d_Tag">
    <vt:lpwstr>10, 3, 0, 1</vt:lpwstr>
  </property>
  <property fmtid="{D5CDD505-2E9C-101B-9397-08002B2CF9AE}" pid="16" name="gc2efd3bfea04f7f8169be07009f5536">
    <vt:lpwstr/>
  </property>
  <property fmtid="{D5CDD505-2E9C-101B-9397-08002B2CF9AE}" pid="17" name="BZForumOrganisation">
    <vt:lpwstr>2;#Not applicable|0049e722-bfb1-4a3f-9d08-af7366a9af40</vt:lpwstr>
  </property>
  <property fmtid="{D5CDD505-2E9C-101B-9397-08002B2CF9AE}" pid="18" name="BZTheme">
    <vt:lpwstr>1;#Not applicable|ec01d90b-9d0f-4785-8785-e1ea615196bf</vt:lpwstr>
  </property>
  <property fmtid="{D5CDD505-2E9C-101B-9397-08002B2CF9AE}" pid="19" name="BZDossierResponsibleDepartment">
    <vt:lpwstr/>
  </property>
  <property fmtid="{D5CDD505-2E9C-101B-9397-08002B2CF9AE}" pid="20" name="BZCountryState">
    <vt:lpwstr>3;#Not applicable|ec01d90b-9d0f-4785-8785-e1ea615196bf</vt:lpwstr>
  </property>
  <property fmtid="{D5CDD505-2E9C-101B-9397-08002B2CF9AE}" pid="21" name="BZDossierGovernmentOfficial">
    <vt:lpwstr/>
  </property>
  <property fmtid="{D5CDD505-2E9C-101B-9397-08002B2CF9AE}" pid="22" name="BZDossierProcessLocation">
    <vt:lpwstr/>
  </property>
  <property fmtid="{D5CDD505-2E9C-101B-9397-08002B2CF9AE}" pid="23" name="i42ef48d5fa942a0ad0d60e44f201751">
    <vt:lpwstr/>
  </property>
  <property fmtid="{D5CDD505-2E9C-101B-9397-08002B2CF9AE}" pid="24" name="BZDossierPublishingWOOCategory">
    <vt:lpwstr/>
  </property>
  <property fmtid="{D5CDD505-2E9C-101B-9397-08002B2CF9AE}" pid="25" name="f2fb2a8e39404f1ab554e4e4a49d2918">
    <vt:lpwstr/>
  </property>
  <property fmtid="{D5CDD505-2E9C-101B-9397-08002B2CF9AE}" pid="26" name="BZMarking">
    <vt:lpwstr>5;#NO MARKING|0a4eb9ae-69eb-4d9e-b573-43ab99ef8592</vt:lpwstr>
  </property>
  <property fmtid="{D5CDD505-2E9C-101B-9397-08002B2CF9AE}" pid="27" name="_dlc_DocIdItemGuid">
    <vt:lpwstr>4ce539bd-fdc6-43a1-98a2-470e3ae600e4</vt:lpwstr>
  </property>
  <property fmtid="{D5CDD505-2E9C-101B-9397-08002B2CF9AE}" pid="28" name="f8e003236e1c4ac2ab9051d5d8789bbb">
    <vt:lpwstr/>
  </property>
  <property fmtid="{D5CDD505-2E9C-101B-9397-08002B2CF9AE}" pid="29" name="BZClassification">
    <vt:lpwstr>4;#UNCLASSIFIED (U)|284e6a62-15ab-4017-be27-a1e965f4e940</vt:lpwstr>
  </property>
  <property fmtid="{D5CDD505-2E9C-101B-9397-08002B2CF9AE}" pid="30" name="p29721a54a5c4bbe9786e930fc91e270">
    <vt:lpwstr/>
  </property>
  <property fmtid="{D5CDD505-2E9C-101B-9397-08002B2CF9AE}" pid="31" name="BZDossierTemplate">
    <vt:lpwstr>ReguliereKamerbrief</vt:lpwstr>
  </property>
  <property fmtid="{D5CDD505-2E9C-101B-9397-08002B2CF9AE}" pid="32" name="e256f556a7b748329ab47889947c7d40">
    <vt:lpwstr/>
  </property>
  <property fmtid="{D5CDD505-2E9C-101B-9397-08002B2CF9AE}" pid="33" name="ed9282a3f18446ec8c17c7829edf82dd">
    <vt:lpwstr/>
  </property>
  <property fmtid="{D5CDD505-2E9C-101B-9397-08002B2CF9AE}" pid="34" name="BZDossierProcessType">
    <vt:lpwstr/>
  </property>
  <property fmtid="{D5CDD505-2E9C-101B-9397-08002B2CF9AE}" pid="35" name="URL">
    <vt:lpwstr>https://247.plaza.buzaservices.nl/subject/PV-RK2026012026/BZ2624889/BNC%20Fiche%205%20-%20Herziening%20precursorenwetgeving.docx, </vt:lpwstr>
  </property>
  <property fmtid="{D5CDD505-2E9C-101B-9397-08002B2CF9AE}" pid="36" name="BZDossierBudgetManager">
    <vt:lpwstr/>
  </property>
  <property fmtid="{D5CDD505-2E9C-101B-9397-08002B2CF9AE}" pid="37" name="BZDossierSendTo">
    <vt:lpwstr/>
  </property>
</Properties>
</file>