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767C" w:rsidR="00567BB0" w:rsidP="30CDB650" w:rsidRDefault="30CDB650" w14:paraId="2AC598AB" w14:textId="4643A8E5">
      <w:pPr>
        <w:spacing w:after="0" w:line="240" w:lineRule="auto"/>
        <w:rPr>
          <w:rFonts w:ascii="Verdana" w:hAnsi="Verdana"/>
          <w:b/>
          <w:bCs/>
          <w:i/>
          <w:iCs/>
          <w:sz w:val="18"/>
          <w:szCs w:val="18"/>
        </w:rPr>
      </w:pPr>
      <w:r w:rsidRPr="30CDB650">
        <w:rPr>
          <w:rFonts w:ascii="Verdana" w:hAnsi="Verdana"/>
          <w:b/>
          <w:bCs/>
          <w:i/>
          <w:iCs/>
          <w:sz w:val="18"/>
          <w:szCs w:val="18"/>
        </w:rPr>
        <w:t>EU-wetgevingsonderhandelingen BZ/BHO</w:t>
      </w:r>
      <w:r w:rsidR="00567BB0">
        <w:br/>
      </w:r>
      <w:r w:rsidRPr="30CDB650">
        <w:rPr>
          <w:rFonts w:ascii="Verdana" w:hAnsi="Verdana"/>
          <w:b/>
          <w:bCs/>
          <w:sz w:val="18"/>
          <w:szCs w:val="18"/>
        </w:rPr>
        <w:t xml:space="preserve">Kwartaalrapportage, </w:t>
      </w:r>
      <w:r w:rsidR="001F2EB1">
        <w:rPr>
          <w:rFonts w:ascii="Verdana" w:hAnsi="Verdana"/>
          <w:b/>
          <w:bCs/>
          <w:sz w:val="18"/>
          <w:szCs w:val="18"/>
        </w:rPr>
        <w:t>juli</w:t>
      </w:r>
      <w:r w:rsidR="00114650">
        <w:rPr>
          <w:rFonts w:ascii="Verdana" w:hAnsi="Verdana"/>
          <w:b/>
          <w:bCs/>
          <w:sz w:val="18"/>
          <w:szCs w:val="18"/>
        </w:rPr>
        <w:t>-</w:t>
      </w:r>
      <w:r w:rsidR="00736C43">
        <w:rPr>
          <w:rFonts w:ascii="Verdana" w:hAnsi="Verdana"/>
          <w:b/>
          <w:bCs/>
          <w:sz w:val="18"/>
          <w:szCs w:val="18"/>
        </w:rPr>
        <w:t>december</w:t>
      </w:r>
      <w:r w:rsidRPr="30CDB650">
        <w:rPr>
          <w:rFonts w:ascii="Verdana" w:hAnsi="Verdana"/>
          <w:b/>
          <w:bCs/>
          <w:sz w:val="18"/>
          <w:szCs w:val="18"/>
        </w:rPr>
        <w:t xml:space="preserve"> 202</w:t>
      </w:r>
      <w:r w:rsidR="00C538B1">
        <w:rPr>
          <w:rFonts w:ascii="Verdana" w:hAnsi="Verdana"/>
          <w:b/>
          <w:bCs/>
          <w:sz w:val="18"/>
          <w:szCs w:val="18"/>
        </w:rPr>
        <w:t>5</w:t>
      </w:r>
    </w:p>
    <w:tbl>
      <w:tblPr>
        <w:tblStyle w:val="TableGrid"/>
        <w:tblpPr w:leftFromText="141" w:rightFromText="141" w:vertAnchor="page" w:horzAnchor="margin" w:tblpY="2611"/>
        <w:tblW w:w="0" w:type="auto"/>
        <w:tblLayout w:type="fixed"/>
        <w:tblLook w:val="04A0" w:firstRow="1" w:lastRow="0" w:firstColumn="1" w:lastColumn="0" w:noHBand="0" w:noVBand="1"/>
      </w:tblPr>
      <w:tblGrid>
        <w:gridCol w:w="2547"/>
        <w:gridCol w:w="1984"/>
        <w:gridCol w:w="3828"/>
        <w:gridCol w:w="4591"/>
      </w:tblGrid>
      <w:tr w:rsidRPr="003A767C" w:rsidR="000C5D84" w:rsidTr="4029C653" w14:paraId="4A413750" w14:textId="77777777">
        <w:tc>
          <w:tcPr>
            <w:tcW w:w="2547" w:type="dxa"/>
          </w:tcPr>
          <w:p w:rsidRPr="003A767C" w:rsidR="009C2838" w:rsidP="30CDB650" w:rsidRDefault="30CDB650" w14:paraId="79433CB1" w14:textId="77777777">
            <w:pPr>
              <w:rPr>
                <w:rFonts w:ascii="Verdana" w:hAnsi="Verdana" w:cstheme="minorBidi"/>
                <w:b/>
                <w:bCs/>
                <w:sz w:val="18"/>
                <w:szCs w:val="18"/>
              </w:rPr>
            </w:pPr>
            <w:r w:rsidRPr="30CDB650">
              <w:rPr>
                <w:rFonts w:ascii="Verdana" w:hAnsi="Verdana" w:cstheme="minorBidi"/>
                <w:b/>
                <w:bCs/>
                <w:sz w:val="18"/>
                <w:szCs w:val="18"/>
              </w:rPr>
              <w:t>Titel</w:t>
            </w:r>
          </w:p>
        </w:tc>
        <w:tc>
          <w:tcPr>
            <w:tcW w:w="1984" w:type="dxa"/>
          </w:tcPr>
          <w:p w:rsidRPr="003A767C" w:rsidR="009C2838" w:rsidP="30CDB650" w:rsidRDefault="30CDB650" w14:paraId="237C59A0" w14:textId="4C5351B0">
            <w:pPr>
              <w:rPr>
                <w:rFonts w:ascii="Verdana" w:hAnsi="Verdana" w:cstheme="minorBidi"/>
                <w:b/>
                <w:bCs/>
                <w:sz w:val="18"/>
                <w:szCs w:val="18"/>
              </w:rPr>
            </w:pPr>
            <w:r w:rsidRPr="30CDB650">
              <w:rPr>
                <w:rFonts w:ascii="Verdana" w:hAnsi="Verdana" w:cstheme="minorBidi"/>
                <w:b/>
                <w:bCs/>
                <w:sz w:val="18"/>
                <w:szCs w:val="18"/>
              </w:rPr>
              <w:t>Document nummers</w:t>
            </w:r>
          </w:p>
        </w:tc>
        <w:tc>
          <w:tcPr>
            <w:tcW w:w="3828" w:type="dxa"/>
          </w:tcPr>
          <w:p w:rsidRPr="006569B4" w:rsidR="009C2838" w:rsidP="30CDB650" w:rsidRDefault="30CDB650" w14:paraId="74870465" w14:textId="77777777">
            <w:pPr>
              <w:rPr>
                <w:rFonts w:ascii="Verdana" w:hAnsi="Verdana" w:cstheme="minorBidi"/>
                <w:b/>
                <w:bCs/>
                <w:sz w:val="18"/>
                <w:szCs w:val="18"/>
              </w:rPr>
            </w:pPr>
            <w:r w:rsidRPr="30CDB650">
              <w:rPr>
                <w:rFonts w:ascii="Verdana" w:hAnsi="Verdana" w:cstheme="minorBidi"/>
                <w:b/>
                <w:bCs/>
                <w:sz w:val="18"/>
                <w:szCs w:val="18"/>
              </w:rPr>
              <w:t>Korte beschrijving</w:t>
            </w:r>
          </w:p>
        </w:tc>
        <w:tc>
          <w:tcPr>
            <w:tcW w:w="4591" w:type="dxa"/>
          </w:tcPr>
          <w:p w:rsidRPr="006569B4" w:rsidR="009C2838" w:rsidP="30CDB650" w:rsidRDefault="30CDB650" w14:paraId="7AC09C83" w14:textId="11B34E47">
            <w:pPr>
              <w:rPr>
                <w:rFonts w:ascii="Verdana" w:hAnsi="Verdana" w:cstheme="minorBidi"/>
                <w:b/>
                <w:bCs/>
                <w:sz w:val="18"/>
                <w:szCs w:val="18"/>
              </w:rPr>
            </w:pPr>
            <w:r w:rsidRPr="30CDB650">
              <w:rPr>
                <w:rFonts w:ascii="Verdana" w:hAnsi="Verdana" w:cstheme="minorBidi"/>
                <w:b/>
                <w:bCs/>
                <w:sz w:val="18"/>
                <w:szCs w:val="18"/>
              </w:rPr>
              <w:t xml:space="preserve">Stand van Zaken </w:t>
            </w:r>
          </w:p>
        </w:tc>
      </w:tr>
      <w:tr w:rsidRPr="00372B06" w:rsidR="00C538B1" w:rsidTr="4029C653" w14:paraId="156C2DF9" w14:textId="77777777">
        <w:tc>
          <w:tcPr>
            <w:tcW w:w="2547" w:type="dxa"/>
          </w:tcPr>
          <w:p w:rsidRPr="00D64BC8" w:rsidR="00C538B1" w:rsidP="30CDB650" w:rsidRDefault="00372B06" w14:paraId="3C615311" w14:textId="268AA3CE">
            <w:pPr>
              <w:rPr>
                <w:rFonts w:ascii="Verdana" w:hAnsi="Verdana" w:cstheme="minorBidi"/>
                <w:sz w:val="18"/>
                <w:szCs w:val="18"/>
                <w:lang w:val="en-US"/>
              </w:rPr>
            </w:pPr>
            <w:proofErr w:type="spellStart"/>
            <w:r w:rsidRPr="00D64BC8">
              <w:rPr>
                <w:rFonts w:ascii="Verdana" w:hAnsi="Verdana" w:cstheme="minorBidi"/>
                <w:sz w:val="18"/>
                <w:szCs w:val="18"/>
                <w:lang w:val="en-US"/>
              </w:rPr>
              <w:t>Voorstel</w:t>
            </w:r>
            <w:proofErr w:type="spellEnd"/>
            <w:r w:rsidRPr="00D64BC8">
              <w:rPr>
                <w:rFonts w:ascii="Verdana" w:hAnsi="Verdana" w:cstheme="minorBidi"/>
                <w:sz w:val="18"/>
                <w:szCs w:val="18"/>
                <w:lang w:val="en-US"/>
              </w:rPr>
              <w:t xml:space="preserve"> </w:t>
            </w:r>
            <w:r w:rsidRPr="00D64BC8" w:rsidR="00C538B1">
              <w:rPr>
                <w:rFonts w:ascii="Verdana" w:hAnsi="Verdana" w:cstheme="minorBidi"/>
                <w:sz w:val="18"/>
                <w:szCs w:val="18"/>
                <w:lang w:val="en-US"/>
              </w:rPr>
              <w:t>Omnibus</w:t>
            </w:r>
            <w:r w:rsidRPr="00D64BC8">
              <w:rPr>
                <w:rFonts w:ascii="Verdana" w:hAnsi="Verdana" w:cstheme="minorBidi"/>
                <w:sz w:val="18"/>
                <w:szCs w:val="18"/>
                <w:lang w:val="en-US"/>
              </w:rPr>
              <w:t xml:space="preserve"> I</w:t>
            </w:r>
            <w:r w:rsidR="00D64BC8">
              <w:rPr>
                <w:rFonts w:ascii="Verdana" w:hAnsi="Verdana" w:cstheme="minorBidi"/>
                <w:sz w:val="18"/>
                <w:szCs w:val="18"/>
                <w:lang w:val="en-US"/>
              </w:rPr>
              <w:t xml:space="preserve"> </w:t>
            </w:r>
            <w:r w:rsidRPr="00D64BC8" w:rsidR="00D64BC8">
              <w:rPr>
                <w:rFonts w:ascii="Verdana" w:hAnsi="Verdana" w:cstheme="minorBidi"/>
                <w:i/>
                <w:iCs/>
                <w:sz w:val="18"/>
                <w:szCs w:val="18"/>
                <w:lang w:val="en-US"/>
              </w:rPr>
              <w:t>Corporate Sustainability Due Diligence Directive</w:t>
            </w:r>
            <w:r w:rsidRPr="00D64BC8" w:rsidR="00D64BC8">
              <w:rPr>
                <w:rFonts w:ascii="Verdana" w:hAnsi="Verdana" w:cstheme="minorBidi"/>
                <w:sz w:val="18"/>
                <w:szCs w:val="18"/>
                <w:lang w:val="en-US"/>
              </w:rPr>
              <w:t xml:space="preserve"> </w:t>
            </w:r>
            <w:r w:rsidR="00D64BC8">
              <w:rPr>
                <w:rFonts w:ascii="Verdana" w:hAnsi="Verdana" w:cstheme="minorBidi"/>
                <w:sz w:val="18"/>
                <w:szCs w:val="18"/>
                <w:lang w:val="en-US"/>
              </w:rPr>
              <w:t>(</w:t>
            </w:r>
            <w:r w:rsidRPr="00D64BC8">
              <w:rPr>
                <w:rFonts w:ascii="Verdana" w:hAnsi="Verdana" w:cstheme="minorBidi"/>
                <w:sz w:val="18"/>
                <w:szCs w:val="18"/>
                <w:lang w:val="en-US"/>
              </w:rPr>
              <w:t>CSDDD</w:t>
            </w:r>
            <w:r w:rsidR="00D64BC8">
              <w:rPr>
                <w:rFonts w:ascii="Verdana" w:hAnsi="Verdana" w:cstheme="minorBidi"/>
                <w:sz w:val="18"/>
                <w:szCs w:val="18"/>
                <w:lang w:val="en-US"/>
              </w:rPr>
              <w:t>)</w:t>
            </w:r>
          </w:p>
        </w:tc>
        <w:tc>
          <w:tcPr>
            <w:tcW w:w="1984" w:type="dxa"/>
          </w:tcPr>
          <w:p w:rsidRPr="00372B06" w:rsidR="00C538B1" w:rsidP="30CDB650" w:rsidRDefault="00C538B1" w14:paraId="7CBC8D89" w14:textId="0883CA8D">
            <w:pPr>
              <w:rPr>
                <w:rFonts w:ascii="Verdana" w:hAnsi="Verdana" w:cstheme="minorBidi"/>
                <w:sz w:val="18"/>
                <w:szCs w:val="18"/>
              </w:rPr>
            </w:pPr>
            <w:r w:rsidRPr="00372B06">
              <w:rPr>
                <w:rFonts w:ascii="Verdana" w:hAnsi="Verdana" w:cstheme="minorBidi"/>
                <w:sz w:val="18"/>
                <w:szCs w:val="18"/>
              </w:rPr>
              <w:t xml:space="preserve">COM(2025)80 en 81, BNC-fiche </w:t>
            </w:r>
            <w:r w:rsidRPr="00372B06" w:rsidR="00372B06">
              <w:rPr>
                <w:rFonts w:ascii="Verdana" w:hAnsi="Verdana" w:cstheme="minorBidi"/>
                <w:sz w:val="18"/>
                <w:szCs w:val="18"/>
              </w:rPr>
              <w:t>(2025), Kamerstuk 22112, nr. 4013</w:t>
            </w:r>
          </w:p>
        </w:tc>
        <w:tc>
          <w:tcPr>
            <w:tcW w:w="3828" w:type="dxa"/>
          </w:tcPr>
          <w:p w:rsidRPr="00372B06" w:rsidR="00C538B1" w:rsidP="30CDB650" w:rsidRDefault="002B3D3E" w14:paraId="688EC338" w14:textId="73A53294">
            <w:pPr>
              <w:rPr>
                <w:rFonts w:ascii="Verdana" w:hAnsi="Verdana" w:cstheme="minorBidi"/>
                <w:sz w:val="18"/>
                <w:szCs w:val="18"/>
              </w:rPr>
            </w:pPr>
            <w:r w:rsidRPr="002B3D3E">
              <w:rPr>
                <w:rFonts w:ascii="Verdana" w:hAnsi="Verdana" w:cstheme="minorBidi"/>
                <w:sz w:val="18"/>
                <w:szCs w:val="18"/>
              </w:rPr>
              <w:t xml:space="preserve">Het Omnibus </w:t>
            </w:r>
            <w:r w:rsidR="00BF5ABA">
              <w:rPr>
                <w:rFonts w:ascii="Verdana" w:hAnsi="Verdana" w:cstheme="minorBidi"/>
                <w:sz w:val="18"/>
                <w:szCs w:val="18"/>
              </w:rPr>
              <w:t>I</w:t>
            </w:r>
            <w:r w:rsidRPr="002B3D3E">
              <w:rPr>
                <w:rFonts w:ascii="Verdana" w:hAnsi="Verdana" w:cstheme="minorBidi"/>
                <w:sz w:val="18"/>
                <w:szCs w:val="18"/>
              </w:rPr>
              <w:t xml:space="preserve"> voorstel is het eerste omnibusvoorstel als onderdeel van de bredere agenda van de Europese Commissie om wet- en regelgeving te vereenvoudigen en regeldruk te verminderen. </w:t>
            </w:r>
            <w:r w:rsidR="00BF5ABA">
              <w:rPr>
                <w:rFonts w:ascii="Verdana" w:hAnsi="Verdana" w:cstheme="minorBidi"/>
                <w:sz w:val="18"/>
                <w:szCs w:val="18"/>
              </w:rPr>
              <w:t xml:space="preserve">Omnibus I wijzigt o.a. de CSDDD in inhoud en implementatietermijn. </w:t>
            </w:r>
          </w:p>
        </w:tc>
        <w:tc>
          <w:tcPr>
            <w:tcW w:w="4591" w:type="dxa"/>
          </w:tcPr>
          <w:p w:rsidR="00A4551E" w:rsidP="30CDB650" w:rsidRDefault="00A4551E" w14:paraId="07607A30" w14:textId="420B5EBC">
            <w:pPr>
              <w:rPr>
                <w:rFonts w:ascii="Verdana" w:hAnsi="Verdana" w:cstheme="minorBidi"/>
                <w:sz w:val="18"/>
                <w:szCs w:val="18"/>
              </w:rPr>
            </w:pPr>
            <w:bookmarkStart w:name="_Hlk220925883" w:id="0"/>
            <w:r w:rsidRPr="00A4551E">
              <w:rPr>
                <w:rFonts w:ascii="Verdana" w:hAnsi="Verdana" w:cstheme="minorBidi"/>
                <w:sz w:val="18"/>
                <w:szCs w:val="18"/>
              </w:rPr>
              <w:t>Op 9 december jl. hebben de Raad, het Europees Parlement en de Europese Commissie een voorlopig politiek akkoord bereikt in de triloog over Omnibus I</w:t>
            </w:r>
            <w:r>
              <w:rPr>
                <w:rFonts w:ascii="Verdana" w:hAnsi="Verdana" w:cstheme="minorBidi"/>
                <w:sz w:val="18"/>
                <w:szCs w:val="18"/>
              </w:rPr>
              <w:t xml:space="preserve">. </w:t>
            </w:r>
            <w:r w:rsidRPr="00A4551E">
              <w:rPr>
                <w:rFonts w:ascii="Verdana" w:hAnsi="Verdana" w:cstheme="minorBidi"/>
                <w:sz w:val="18"/>
                <w:szCs w:val="18"/>
              </w:rPr>
              <w:t xml:space="preserve">Finale stemming over de richtlijn in het Europees Parlement en de Raad </w:t>
            </w:r>
            <w:r>
              <w:rPr>
                <w:rFonts w:ascii="Verdana" w:hAnsi="Verdana" w:cstheme="minorBidi"/>
                <w:sz w:val="18"/>
                <w:szCs w:val="18"/>
              </w:rPr>
              <w:t>zal</w:t>
            </w:r>
            <w:r w:rsidRPr="00A4551E">
              <w:rPr>
                <w:rFonts w:ascii="Verdana" w:hAnsi="Verdana" w:cstheme="minorBidi"/>
                <w:sz w:val="18"/>
                <w:szCs w:val="18"/>
              </w:rPr>
              <w:t xml:space="preserve"> </w:t>
            </w:r>
            <w:r w:rsidRPr="00A4551E" w:rsidR="00EE2FD5">
              <w:rPr>
                <w:rFonts w:ascii="Verdana" w:hAnsi="Verdana" w:cstheme="minorBidi"/>
                <w:sz w:val="18"/>
                <w:szCs w:val="18"/>
              </w:rPr>
              <w:t xml:space="preserve">naar verwachting </w:t>
            </w:r>
            <w:r w:rsidR="00EE2FD5">
              <w:rPr>
                <w:rFonts w:ascii="Verdana" w:hAnsi="Verdana" w:cstheme="minorBidi"/>
                <w:sz w:val="18"/>
                <w:szCs w:val="18"/>
              </w:rPr>
              <w:t>eind feb</w:t>
            </w:r>
            <w:r w:rsidR="001D04D3">
              <w:rPr>
                <w:rFonts w:ascii="Verdana" w:hAnsi="Verdana" w:cstheme="minorBidi"/>
                <w:sz w:val="18"/>
                <w:szCs w:val="18"/>
              </w:rPr>
              <w:t>ruari</w:t>
            </w:r>
            <w:r w:rsidR="00EE2FD5">
              <w:rPr>
                <w:rFonts w:ascii="Verdana" w:hAnsi="Verdana" w:cstheme="minorBidi"/>
                <w:sz w:val="18"/>
                <w:szCs w:val="18"/>
              </w:rPr>
              <w:t xml:space="preserve"> </w:t>
            </w:r>
            <w:r w:rsidRPr="00A4551E" w:rsidR="00EE2FD5">
              <w:rPr>
                <w:rFonts w:ascii="Verdana" w:hAnsi="Verdana" w:cstheme="minorBidi"/>
                <w:sz w:val="18"/>
                <w:szCs w:val="18"/>
              </w:rPr>
              <w:t>2026</w:t>
            </w:r>
            <w:r w:rsidR="00EE2FD5">
              <w:rPr>
                <w:rFonts w:ascii="Verdana" w:hAnsi="Verdana" w:cstheme="minorBidi"/>
                <w:sz w:val="18"/>
                <w:szCs w:val="18"/>
              </w:rPr>
              <w:t xml:space="preserve"> </w:t>
            </w:r>
            <w:r>
              <w:rPr>
                <w:rFonts w:ascii="Verdana" w:hAnsi="Verdana" w:cstheme="minorBidi"/>
                <w:sz w:val="18"/>
                <w:szCs w:val="18"/>
              </w:rPr>
              <w:t>p</w:t>
            </w:r>
            <w:r w:rsidRPr="00A4551E">
              <w:rPr>
                <w:rFonts w:ascii="Verdana" w:hAnsi="Verdana" w:cstheme="minorBidi"/>
                <w:sz w:val="18"/>
                <w:szCs w:val="18"/>
              </w:rPr>
              <w:t>laats</w:t>
            </w:r>
            <w:r>
              <w:rPr>
                <w:rFonts w:ascii="Verdana" w:hAnsi="Verdana" w:cstheme="minorBidi"/>
                <w:sz w:val="18"/>
                <w:szCs w:val="18"/>
              </w:rPr>
              <w:t>vinden</w:t>
            </w:r>
            <w:r w:rsidR="00EE2FD5">
              <w:rPr>
                <w:rFonts w:ascii="Verdana" w:hAnsi="Verdana" w:cstheme="minorBidi"/>
                <w:sz w:val="18"/>
                <w:szCs w:val="18"/>
              </w:rPr>
              <w:t>.</w:t>
            </w:r>
            <w:r w:rsidR="00DD1E71">
              <w:rPr>
                <w:rFonts w:ascii="Verdana" w:hAnsi="Verdana" w:cstheme="minorBidi"/>
                <w:sz w:val="18"/>
                <w:szCs w:val="18"/>
              </w:rPr>
              <w:t xml:space="preserve"> </w:t>
            </w:r>
            <w:bookmarkEnd w:id="0"/>
            <w:r w:rsidR="00570B56">
              <w:rPr>
                <w:rFonts w:ascii="Verdana" w:hAnsi="Verdana" w:cstheme="minorBidi"/>
                <w:sz w:val="18"/>
                <w:szCs w:val="18"/>
              </w:rPr>
              <w:t>D</w:t>
            </w:r>
            <w:r w:rsidR="00B365E5">
              <w:rPr>
                <w:rFonts w:ascii="Verdana" w:hAnsi="Verdana" w:cstheme="minorBidi"/>
                <w:sz w:val="18"/>
                <w:szCs w:val="18"/>
              </w:rPr>
              <w:t xml:space="preserve">etails over de belangrijkste wijzigingen </w:t>
            </w:r>
            <w:r w:rsidR="001D04D3">
              <w:rPr>
                <w:rFonts w:ascii="Verdana" w:hAnsi="Verdana" w:cstheme="minorBidi"/>
                <w:sz w:val="18"/>
                <w:szCs w:val="18"/>
              </w:rPr>
              <w:t>staan</w:t>
            </w:r>
            <w:r w:rsidR="00B365E5">
              <w:rPr>
                <w:rFonts w:ascii="Verdana" w:hAnsi="Verdana" w:cstheme="minorBidi"/>
                <w:sz w:val="18"/>
                <w:szCs w:val="18"/>
              </w:rPr>
              <w:t xml:space="preserve"> in de Kamerbrief van 9 december jl. (Kamerstuk 36712, nr.9). </w:t>
            </w:r>
          </w:p>
          <w:p w:rsidRPr="002B3D3E" w:rsidR="00C538B1" w:rsidP="30CDB650" w:rsidRDefault="00A4551E" w14:paraId="47E41E53" w14:textId="634A5BAF">
            <w:pPr>
              <w:rPr>
                <w:rFonts w:ascii="Verdana" w:hAnsi="Verdana" w:cstheme="minorBidi"/>
                <w:sz w:val="18"/>
                <w:szCs w:val="18"/>
              </w:rPr>
            </w:pPr>
            <w:r w:rsidRPr="00BC290C">
              <w:rPr>
                <w:rFonts w:ascii="Verdana" w:hAnsi="Verdana" w:cstheme="minorBidi"/>
                <w:sz w:val="18"/>
                <w:szCs w:val="18"/>
              </w:rPr>
              <w:t xml:space="preserve">Voor meer informatie over </w:t>
            </w:r>
            <w:r w:rsidR="00DD1E71">
              <w:rPr>
                <w:rFonts w:ascii="Verdana" w:hAnsi="Verdana" w:cstheme="minorBidi"/>
                <w:sz w:val="18"/>
                <w:szCs w:val="18"/>
              </w:rPr>
              <w:t xml:space="preserve">de </w:t>
            </w:r>
            <w:r w:rsidRPr="00BC290C">
              <w:rPr>
                <w:rFonts w:ascii="Verdana" w:hAnsi="Verdana" w:cstheme="minorBidi"/>
                <w:sz w:val="18"/>
                <w:szCs w:val="18"/>
              </w:rPr>
              <w:t xml:space="preserve">CSRD raadpleeg kwartaalrapportage </w:t>
            </w:r>
            <w:r w:rsidRPr="00BC290C" w:rsidR="001D04D3">
              <w:rPr>
                <w:rFonts w:ascii="Verdana" w:hAnsi="Verdana" w:cstheme="minorBidi"/>
                <w:sz w:val="18"/>
                <w:szCs w:val="18"/>
              </w:rPr>
              <w:t>van het Ministerie van Financiën</w:t>
            </w:r>
            <w:r w:rsidRPr="00BC290C">
              <w:rPr>
                <w:rFonts w:ascii="Verdana" w:hAnsi="Verdana" w:cstheme="minorBidi"/>
                <w:sz w:val="18"/>
                <w:szCs w:val="18"/>
              </w:rPr>
              <w:t xml:space="preserve"> (Omnibus</w:t>
            </w:r>
            <w:r w:rsidRPr="00BC290C" w:rsidR="001D04D3">
              <w:rPr>
                <w:rFonts w:ascii="Verdana" w:hAnsi="Verdana" w:cstheme="minorBidi"/>
                <w:sz w:val="18"/>
                <w:szCs w:val="18"/>
              </w:rPr>
              <w:t xml:space="preserve"> I</w:t>
            </w:r>
            <w:r w:rsidRPr="00BC290C">
              <w:rPr>
                <w:rFonts w:ascii="Verdana" w:hAnsi="Verdana" w:cstheme="minorBidi"/>
                <w:sz w:val="18"/>
                <w:szCs w:val="18"/>
              </w:rPr>
              <w:t>)</w:t>
            </w:r>
            <w:r w:rsidRPr="00865CD3" w:rsidR="000C0ACC">
              <w:rPr>
                <w:rFonts w:ascii="Verdana" w:hAnsi="Verdana" w:cstheme="minorBidi"/>
                <w:sz w:val="18"/>
                <w:szCs w:val="18"/>
              </w:rPr>
              <w:t>.</w:t>
            </w:r>
          </w:p>
        </w:tc>
      </w:tr>
      <w:tr w:rsidRPr="003A767C" w:rsidR="00114650" w:rsidTr="4029C653" w14:paraId="7303B462" w14:textId="77777777">
        <w:tc>
          <w:tcPr>
            <w:tcW w:w="2547" w:type="dxa"/>
          </w:tcPr>
          <w:p w:rsidRPr="003A767C" w:rsidR="00114650" w:rsidP="00114650" w:rsidRDefault="00114650" w14:paraId="6ABE4B7A" w14:textId="17ECF3A0">
            <w:pPr>
              <w:rPr>
                <w:rFonts w:ascii="Verdana" w:hAnsi="Verdana" w:cstheme="minorBidi"/>
                <w:sz w:val="18"/>
                <w:szCs w:val="18"/>
              </w:rPr>
            </w:pPr>
            <w:r w:rsidRPr="30CDB650">
              <w:rPr>
                <w:rFonts w:ascii="Verdana" w:hAnsi="Verdana" w:cstheme="minorBidi"/>
                <w:sz w:val="18"/>
                <w:szCs w:val="18"/>
              </w:rPr>
              <w:t xml:space="preserve">Herziening verordening opschortingsmechanisme voor visumvrije derde landen </w:t>
            </w:r>
          </w:p>
        </w:tc>
        <w:tc>
          <w:tcPr>
            <w:tcW w:w="1984" w:type="dxa"/>
          </w:tcPr>
          <w:p w:rsidRPr="00253193" w:rsidR="00114650" w:rsidRDefault="00114650" w14:paraId="21627F5C" w14:textId="37DA343A">
            <w:pPr>
              <w:shd w:val="clear" w:color="auto" w:fill="FFFFFF" w:themeFill="background1"/>
              <w:outlineLvl w:val="0"/>
              <w:rPr>
                <w:rFonts w:ascii="Verdana" w:hAnsi="Verdana" w:cstheme="minorBidi"/>
                <w:sz w:val="18"/>
                <w:szCs w:val="18"/>
              </w:rPr>
            </w:pPr>
            <w:r w:rsidRPr="795B51B4">
              <w:rPr>
                <w:rFonts w:ascii="Verdana" w:hAnsi="Verdana" w:cstheme="minorBidi"/>
                <w:sz w:val="18"/>
                <w:szCs w:val="18"/>
              </w:rPr>
              <w:t>COM(2023)642, BNC-fiche (2023), Kamerstuk 22112, nr. 3840</w:t>
            </w:r>
          </w:p>
        </w:tc>
        <w:tc>
          <w:tcPr>
            <w:tcW w:w="3828" w:type="dxa"/>
          </w:tcPr>
          <w:p w:rsidRPr="003A767C" w:rsidR="00114650" w:rsidP="00114650" w:rsidRDefault="00114650" w14:paraId="5ABCAAE9" w14:textId="0B467AD4">
            <w:pPr>
              <w:rPr>
                <w:rFonts w:ascii="Verdana" w:hAnsi="Verdana" w:cstheme="minorBidi"/>
                <w:color w:val="000000" w:themeColor="text1"/>
                <w:sz w:val="18"/>
                <w:szCs w:val="18"/>
              </w:rPr>
            </w:pPr>
            <w:r w:rsidRPr="30CDB650">
              <w:rPr>
                <w:rFonts w:ascii="Verdana" w:hAnsi="Verdana" w:cstheme="minorBidi"/>
                <w:color w:val="000000" w:themeColor="text1"/>
                <w:sz w:val="18"/>
                <w:szCs w:val="18"/>
              </w:rPr>
              <w:t>Herziening ziet toe op aanvullende gronden voor opschorting</w:t>
            </w:r>
            <w:r w:rsidR="00982661">
              <w:rPr>
                <w:rFonts w:ascii="Verdana" w:hAnsi="Verdana" w:cstheme="minorBidi"/>
                <w:color w:val="000000" w:themeColor="text1"/>
                <w:sz w:val="18"/>
                <w:szCs w:val="18"/>
              </w:rPr>
              <w:t xml:space="preserve"> </w:t>
            </w:r>
            <w:r w:rsidRPr="30CDB650">
              <w:rPr>
                <w:rFonts w:ascii="Verdana" w:hAnsi="Verdana" w:cstheme="minorBidi"/>
                <w:color w:val="000000" w:themeColor="text1"/>
                <w:sz w:val="18"/>
                <w:szCs w:val="18"/>
              </w:rPr>
              <w:t>(zogenaamde triggers), aangepaste drempelwaardes, de opschortingsprocedure zelf en de monitorings- en</w:t>
            </w:r>
            <w:r w:rsidR="00982661">
              <w:rPr>
                <w:rFonts w:ascii="Verdana" w:hAnsi="Verdana" w:cstheme="minorBidi"/>
                <w:color w:val="000000" w:themeColor="text1"/>
                <w:sz w:val="18"/>
                <w:szCs w:val="18"/>
              </w:rPr>
              <w:t xml:space="preserve"> </w:t>
            </w:r>
            <w:r w:rsidRPr="30CDB650">
              <w:rPr>
                <w:rFonts w:ascii="Verdana" w:hAnsi="Verdana" w:cstheme="minorBidi"/>
                <w:color w:val="000000" w:themeColor="text1"/>
                <w:sz w:val="18"/>
                <w:szCs w:val="18"/>
              </w:rPr>
              <w:t>rapporteringsverplichtingen.</w:t>
            </w:r>
          </w:p>
        </w:tc>
        <w:tc>
          <w:tcPr>
            <w:tcW w:w="4591" w:type="dxa"/>
          </w:tcPr>
          <w:p w:rsidRPr="00DA0272" w:rsidR="00114650" w:rsidRDefault="00114650" w14:paraId="12F59938" w14:textId="0F9304B3">
            <w:r w:rsidRPr="161F098E">
              <w:rPr>
                <w:rFonts w:ascii="Verdana" w:hAnsi="Verdana" w:cstheme="minorBidi"/>
                <w:sz w:val="18"/>
                <w:szCs w:val="18"/>
              </w:rPr>
              <w:t xml:space="preserve">Op 17/06 bereikten de Raad en het EP een politiek akkoord over de herziening van het visum opschortingsmechanisme voor visumvrije derde landen. Het akkoord is conform NL inzet, en werd met een gekwalificeerde meerderheid door de Raad aangenomen. De herziening </w:t>
            </w:r>
            <w:r w:rsidRPr="161F098E" w:rsidR="795B51B4">
              <w:rPr>
                <w:rFonts w:ascii="Verdana" w:hAnsi="Verdana" w:cstheme="minorBidi"/>
                <w:sz w:val="18"/>
                <w:szCs w:val="18"/>
              </w:rPr>
              <w:t>is op 31 december 2025 in werking getreden.</w:t>
            </w:r>
          </w:p>
        </w:tc>
      </w:tr>
      <w:tr w:rsidRPr="003A767C" w:rsidR="00114650" w:rsidTr="4029C653" w14:paraId="2A817D5F" w14:textId="77777777">
        <w:tc>
          <w:tcPr>
            <w:tcW w:w="2547" w:type="dxa"/>
          </w:tcPr>
          <w:p w:rsidR="00114650" w:rsidP="00114650" w:rsidRDefault="00114650" w14:paraId="7111C421" w14:textId="4D8B19B3">
            <w:pPr>
              <w:rPr>
                <w:rFonts w:ascii="Verdana" w:hAnsi="Verdana" w:cstheme="minorBidi"/>
                <w:sz w:val="18"/>
                <w:szCs w:val="18"/>
              </w:rPr>
            </w:pPr>
            <w:r w:rsidRPr="30CDB650">
              <w:rPr>
                <w:rFonts w:ascii="Verdana" w:hAnsi="Verdana" w:cstheme="minorBidi"/>
                <w:sz w:val="18"/>
                <w:szCs w:val="18"/>
              </w:rPr>
              <w:t>Herziening richtlijn consulaire bescherming niet-vertegenwoordigde EU-burgers in derde landen</w:t>
            </w:r>
          </w:p>
        </w:tc>
        <w:tc>
          <w:tcPr>
            <w:tcW w:w="1984" w:type="dxa"/>
          </w:tcPr>
          <w:p w:rsidRPr="00253193" w:rsidR="00114650" w:rsidRDefault="00114650" w14:paraId="519E08F8" w14:textId="2C6D96AF">
            <w:pPr>
              <w:shd w:val="clear" w:color="auto" w:fill="FFFFFF" w:themeFill="background1"/>
              <w:outlineLvl w:val="0"/>
              <w:rPr>
                <w:rFonts w:ascii="Verdana" w:hAnsi="Verdana" w:cstheme="minorBidi"/>
                <w:sz w:val="18"/>
                <w:szCs w:val="18"/>
              </w:rPr>
            </w:pPr>
            <w:r w:rsidRPr="795B51B4">
              <w:rPr>
                <w:rFonts w:ascii="Verdana" w:hAnsi="Verdana" w:cstheme="minorBidi"/>
                <w:sz w:val="18"/>
                <w:szCs w:val="18"/>
              </w:rPr>
              <w:t>COM(2023)930, BNC-fiche (2024), Kamerstuk 22112, nr. 3877</w:t>
            </w:r>
          </w:p>
        </w:tc>
        <w:tc>
          <w:tcPr>
            <w:tcW w:w="3828" w:type="dxa"/>
          </w:tcPr>
          <w:p w:rsidRPr="009F6C7A" w:rsidR="00114650" w:rsidP="00114650" w:rsidRDefault="00114650" w14:paraId="36CAE9FC" w14:textId="70EF52A1">
            <w:pPr>
              <w:rPr>
                <w:rFonts w:ascii="Verdana" w:hAnsi="Verdana"/>
                <w:sz w:val="18"/>
                <w:szCs w:val="18"/>
              </w:rPr>
            </w:pPr>
            <w:bookmarkStart w:name="_Hlk220585777" w:id="1"/>
            <w:r w:rsidRPr="30CDB650">
              <w:rPr>
                <w:rFonts w:ascii="Verdana" w:hAnsi="Verdana" w:cstheme="minorBidi"/>
                <w:color w:val="000000" w:themeColor="text1"/>
                <w:sz w:val="18"/>
                <w:szCs w:val="18"/>
              </w:rPr>
              <w:t>Herziening</w:t>
            </w:r>
            <w:r w:rsidR="006B6A5F">
              <w:rPr>
                <w:rFonts w:ascii="Verdana" w:hAnsi="Verdana" w:cstheme="minorBidi"/>
                <w:color w:val="000000" w:themeColor="text1"/>
                <w:sz w:val="18"/>
                <w:szCs w:val="18"/>
              </w:rPr>
              <w:t>svoorstel van de Commissie</w:t>
            </w:r>
            <w:r w:rsidRPr="30CDB650">
              <w:rPr>
                <w:rFonts w:ascii="Verdana" w:hAnsi="Verdana" w:cstheme="minorBidi"/>
                <w:color w:val="000000" w:themeColor="text1"/>
                <w:sz w:val="18"/>
                <w:szCs w:val="18"/>
              </w:rPr>
              <w:t xml:space="preserve"> ziet toe op het verbeteren van het </w:t>
            </w:r>
            <w:r w:rsidRPr="30CDB650">
              <w:rPr>
                <w:rFonts w:ascii="Verdana" w:hAnsi="Verdana"/>
                <w:sz w:val="18"/>
                <w:szCs w:val="18"/>
              </w:rPr>
              <w:t xml:space="preserve">recht op consulaire bescherming </w:t>
            </w:r>
            <w:r w:rsidR="006B6A5F">
              <w:rPr>
                <w:rFonts w:ascii="Verdana" w:hAnsi="Verdana"/>
                <w:sz w:val="18"/>
                <w:szCs w:val="18"/>
              </w:rPr>
              <w:t>van</w:t>
            </w:r>
            <w:r w:rsidRPr="30CDB650" w:rsidR="006B6A5F">
              <w:rPr>
                <w:rFonts w:ascii="Verdana" w:hAnsi="Verdana"/>
                <w:sz w:val="18"/>
                <w:szCs w:val="18"/>
              </w:rPr>
              <w:t xml:space="preserve"> </w:t>
            </w:r>
            <w:r w:rsidRPr="30CDB650">
              <w:rPr>
                <w:rFonts w:ascii="Verdana" w:hAnsi="Verdana"/>
                <w:sz w:val="18"/>
                <w:szCs w:val="18"/>
              </w:rPr>
              <w:t xml:space="preserve">niet-vertegenwoordigde EU-burgers in derde landen, d.m.v. de introductie van een uitgewerkte definitie van niet-vertegenwoordigd-zijn, geherdefinieerde </w:t>
            </w:r>
            <w:r w:rsidRPr="30CDB650" w:rsidR="006B6A5F">
              <w:rPr>
                <w:rFonts w:ascii="Verdana" w:hAnsi="Verdana"/>
                <w:sz w:val="18"/>
                <w:szCs w:val="18"/>
              </w:rPr>
              <w:t>samenwerkings</w:t>
            </w:r>
            <w:r w:rsidR="006B6A5F">
              <w:rPr>
                <w:rFonts w:ascii="Verdana" w:hAnsi="Verdana"/>
                <w:sz w:val="18"/>
                <w:szCs w:val="18"/>
              </w:rPr>
              <w:t>procedures</w:t>
            </w:r>
            <w:r w:rsidRPr="30CDB650" w:rsidR="006B6A5F">
              <w:rPr>
                <w:rFonts w:ascii="Verdana" w:hAnsi="Verdana"/>
                <w:sz w:val="18"/>
                <w:szCs w:val="18"/>
              </w:rPr>
              <w:t xml:space="preserve"> </w:t>
            </w:r>
            <w:r w:rsidRPr="30CDB650">
              <w:rPr>
                <w:rFonts w:ascii="Verdana" w:hAnsi="Verdana"/>
                <w:sz w:val="18"/>
                <w:szCs w:val="18"/>
              </w:rPr>
              <w:t>en rol voor de EU-delegaties, nieuwe informatievoorzieningseisen en een herziening van de financiële procedures.</w:t>
            </w:r>
            <w:bookmarkEnd w:id="1"/>
          </w:p>
        </w:tc>
        <w:tc>
          <w:tcPr>
            <w:tcW w:w="4591" w:type="dxa"/>
          </w:tcPr>
          <w:p w:rsidRPr="00114650" w:rsidR="00114650" w:rsidP="00114650" w:rsidRDefault="00147E08" w14:paraId="4F701466" w14:textId="46D7209E">
            <w:pPr>
              <w:rPr>
                <w:rFonts w:ascii="Verdana" w:hAnsi="Verdana" w:cstheme="minorBidi"/>
                <w:color w:val="000000" w:themeColor="text1"/>
                <w:sz w:val="18"/>
                <w:szCs w:val="18"/>
              </w:rPr>
            </w:pPr>
            <w:bookmarkStart w:name="_Hlk220585793" w:id="2"/>
            <w:r>
              <w:rPr>
                <w:rFonts w:ascii="Verdana" w:hAnsi="Verdana" w:cstheme="minorBidi"/>
                <w:color w:val="000000" w:themeColor="text1"/>
                <w:sz w:val="18"/>
                <w:szCs w:val="18"/>
              </w:rPr>
              <w:t>De R</w:t>
            </w:r>
            <w:r w:rsidRPr="00114650" w:rsidR="00114650">
              <w:rPr>
                <w:rFonts w:ascii="Verdana" w:hAnsi="Verdana" w:cstheme="minorBidi"/>
                <w:color w:val="000000" w:themeColor="text1"/>
                <w:sz w:val="18"/>
                <w:szCs w:val="18"/>
              </w:rPr>
              <w:t xml:space="preserve">aadswerkgroep Consulaire Zaken (COCON) </w:t>
            </w:r>
            <w:r>
              <w:rPr>
                <w:rFonts w:ascii="Verdana" w:hAnsi="Verdana" w:cstheme="minorBidi"/>
                <w:color w:val="000000" w:themeColor="text1"/>
                <w:sz w:val="18"/>
                <w:szCs w:val="18"/>
              </w:rPr>
              <w:t xml:space="preserve">heeft </w:t>
            </w:r>
            <w:r w:rsidR="006663D1">
              <w:rPr>
                <w:rFonts w:ascii="Verdana" w:hAnsi="Verdana" w:cstheme="minorBidi"/>
                <w:color w:val="000000" w:themeColor="text1"/>
                <w:sz w:val="18"/>
                <w:szCs w:val="18"/>
              </w:rPr>
              <w:t xml:space="preserve">op 19 januari jl. </w:t>
            </w:r>
            <w:r>
              <w:rPr>
                <w:rFonts w:ascii="Verdana" w:hAnsi="Verdana" w:cstheme="minorBidi"/>
                <w:color w:val="000000" w:themeColor="text1"/>
                <w:sz w:val="18"/>
                <w:szCs w:val="18"/>
              </w:rPr>
              <w:t>overeenstemming gevonden over een</w:t>
            </w:r>
            <w:r w:rsidRPr="00114650" w:rsidR="00114650">
              <w:rPr>
                <w:rFonts w:ascii="Verdana" w:hAnsi="Verdana" w:cstheme="minorBidi"/>
                <w:color w:val="000000" w:themeColor="text1"/>
                <w:sz w:val="18"/>
                <w:szCs w:val="18"/>
              </w:rPr>
              <w:t xml:space="preserve"> compromistekst. </w:t>
            </w:r>
            <w:r>
              <w:rPr>
                <w:rFonts w:ascii="Verdana" w:hAnsi="Verdana" w:cstheme="minorBidi"/>
                <w:color w:val="000000" w:themeColor="text1"/>
                <w:sz w:val="18"/>
                <w:szCs w:val="18"/>
              </w:rPr>
              <w:t xml:space="preserve">De compromistekst </w:t>
            </w:r>
            <w:r w:rsidR="00A06104">
              <w:rPr>
                <w:rFonts w:ascii="Verdana" w:hAnsi="Verdana" w:cstheme="minorBidi"/>
                <w:color w:val="000000" w:themeColor="text1"/>
                <w:sz w:val="18"/>
                <w:szCs w:val="18"/>
              </w:rPr>
              <w:t>is door</w:t>
            </w:r>
            <w:r>
              <w:rPr>
                <w:rFonts w:ascii="Verdana" w:hAnsi="Verdana" w:cstheme="minorBidi"/>
                <w:color w:val="000000" w:themeColor="text1"/>
                <w:sz w:val="18"/>
                <w:szCs w:val="18"/>
              </w:rPr>
              <w:t xml:space="preserve"> </w:t>
            </w:r>
            <w:r w:rsidR="00A06104">
              <w:rPr>
                <w:rFonts w:ascii="Verdana" w:hAnsi="Verdana" w:cstheme="minorBidi"/>
                <w:color w:val="000000" w:themeColor="text1"/>
                <w:sz w:val="18"/>
                <w:szCs w:val="18"/>
              </w:rPr>
              <w:t xml:space="preserve">het </w:t>
            </w:r>
            <w:r>
              <w:rPr>
                <w:rFonts w:ascii="Verdana" w:hAnsi="Verdana" w:cstheme="minorBidi"/>
                <w:color w:val="000000" w:themeColor="text1"/>
                <w:sz w:val="18"/>
                <w:szCs w:val="18"/>
              </w:rPr>
              <w:t xml:space="preserve">COREPER (II) van 4 februari </w:t>
            </w:r>
            <w:r w:rsidR="00B13D44">
              <w:rPr>
                <w:rFonts w:ascii="Verdana" w:hAnsi="Verdana" w:cstheme="minorBidi"/>
                <w:color w:val="000000" w:themeColor="text1"/>
                <w:sz w:val="18"/>
                <w:szCs w:val="18"/>
              </w:rPr>
              <w:t xml:space="preserve">jl. </w:t>
            </w:r>
            <w:r>
              <w:rPr>
                <w:rFonts w:ascii="Verdana" w:hAnsi="Verdana" w:cstheme="minorBidi"/>
                <w:color w:val="000000" w:themeColor="text1"/>
                <w:sz w:val="18"/>
                <w:szCs w:val="18"/>
              </w:rPr>
              <w:t xml:space="preserve">voorgelegd aan het Europees Parlement ter facultatieve consultatie. </w:t>
            </w:r>
          </w:p>
          <w:bookmarkEnd w:id="2"/>
          <w:p w:rsidRPr="00114650" w:rsidR="00114650" w:rsidP="00114650" w:rsidRDefault="00114650" w14:paraId="217F44DC" w14:textId="3ED5020F">
            <w:pPr>
              <w:rPr>
                <w:rFonts w:ascii="Verdana" w:hAnsi="Verdana" w:cstheme="minorBidi"/>
                <w:color w:val="000000" w:themeColor="text1"/>
                <w:sz w:val="18"/>
                <w:szCs w:val="18"/>
              </w:rPr>
            </w:pPr>
          </w:p>
        </w:tc>
      </w:tr>
      <w:tr w:rsidRPr="003A767C" w:rsidR="00114650" w:rsidTr="4029C653" w14:paraId="17CB2775" w14:textId="77777777">
        <w:tc>
          <w:tcPr>
            <w:tcW w:w="2547" w:type="dxa"/>
          </w:tcPr>
          <w:p w:rsidRPr="003A767C" w:rsidR="00114650" w:rsidP="00114650" w:rsidRDefault="00114650" w14:paraId="25CEB0DE" w14:textId="77777777">
            <w:pPr>
              <w:rPr>
                <w:rFonts w:ascii="Verdana" w:hAnsi="Verdana" w:cstheme="minorBidi"/>
                <w:sz w:val="18"/>
                <w:szCs w:val="18"/>
              </w:rPr>
            </w:pPr>
            <w:bookmarkStart w:name="_Hlk170814842" w:id="3"/>
            <w:r w:rsidRPr="30CDB650">
              <w:rPr>
                <w:rFonts w:ascii="Verdana" w:hAnsi="Verdana" w:cstheme="minorBidi"/>
                <w:sz w:val="18"/>
                <w:szCs w:val="18"/>
              </w:rPr>
              <w:t xml:space="preserve">Herziening Verordening Algemeen </w:t>
            </w:r>
          </w:p>
          <w:p w:rsidRPr="003A767C" w:rsidR="00114650" w:rsidP="00114650" w:rsidRDefault="00114650" w14:paraId="0563F611" w14:textId="77777777">
            <w:pPr>
              <w:rPr>
                <w:rFonts w:ascii="Verdana" w:hAnsi="Verdana" w:cstheme="minorBidi"/>
                <w:sz w:val="18"/>
                <w:szCs w:val="18"/>
              </w:rPr>
            </w:pPr>
            <w:r w:rsidRPr="30CDB650">
              <w:rPr>
                <w:rFonts w:ascii="Verdana" w:hAnsi="Verdana" w:cstheme="minorBidi"/>
                <w:sz w:val="18"/>
                <w:szCs w:val="18"/>
              </w:rPr>
              <w:t xml:space="preserve">Preferentieel </w:t>
            </w:r>
          </w:p>
          <w:p w:rsidRPr="003A767C" w:rsidR="00114650" w:rsidP="00114650" w:rsidRDefault="00114650" w14:paraId="6F1F7BE5" w14:textId="66E38D3D">
            <w:pPr>
              <w:rPr>
                <w:rFonts w:ascii="Verdana" w:hAnsi="Verdana" w:cstheme="minorBidi"/>
                <w:sz w:val="18"/>
                <w:szCs w:val="18"/>
              </w:rPr>
            </w:pPr>
            <w:r w:rsidRPr="30CDB650">
              <w:rPr>
                <w:rFonts w:ascii="Verdana" w:hAnsi="Verdana" w:cstheme="minorBidi"/>
                <w:sz w:val="18"/>
                <w:szCs w:val="18"/>
              </w:rPr>
              <w:lastRenderedPageBreak/>
              <w:t>Stelsel (APS)</w:t>
            </w:r>
          </w:p>
        </w:tc>
        <w:tc>
          <w:tcPr>
            <w:tcW w:w="1984" w:type="dxa"/>
          </w:tcPr>
          <w:p w:rsidRPr="00253193" w:rsidR="00114650" w:rsidRDefault="00114650" w14:paraId="25E0E80B" w14:textId="1E9FEFDD">
            <w:pPr>
              <w:shd w:val="clear" w:color="auto" w:fill="FFFFFF" w:themeFill="background1"/>
              <w:outlineLvl w:val="0"/>
              <w:rPr>
                <w:rFonts w:ascii="Verdana" w:hAnsi="Verdana" w:cstheme="minorBidi"/>
                <w:sz w:val="18"/>
                <w:szCs w:val="18"/>
              </w:rPr>
            </w:pPr>
            <w:r w:rsidRPr="795B51B4">
              <w:rPr>
                <w:rFonts w:ascii="Verdana" w:hAnsi="Verdana" w:cstheme="minorBidi"/>
                <w:sz w:val="18"/>
                <w:szCs w:val="18"/>
              </w:rPr>
              <w:lastRenderedPageBreak/>
              <w:t xml:space="preserve">COM(2021)579, BNC-fiche (2021), Kamerstuk 22112, </w:t>
            </w:r>
            <w:r w:rsidRPr="795B51B4">
              <w:rPr>
                <w:rFonts w:ascii="Verdana" w:hAnsi="Verdana" w:cstheme="minorBidi"/>
                <w:sz w:val="18"/>
                <w:szCs w:val="18"/>
              </w:rPr>
              <w:lastRenderedPageBreak/>
              <w:t>nr. 3237, Kamerstuk 22112, nr. 3593, COM(2023)426 en Kamerstuk 22112, nr. 3755</w:t>
            </w:r>
          </w:p>
        </w:tc>
        <w:tc>
          <w:tcPr>
            <w:tcW w:w="3828" w:type="dxa"/>
          </w:tcPr>
          <w:p w:rsidRPr="00253193" w:rsidR="00114650" w:rsidRDefault="0029394B" w14:paraId="7FD3C0E1" w14:textId="7C752263">
            <w:pPr>
              <w:rPr>
                <w:rFonts w:ascii="Verdana" w:hAnsi="Verdana" w:cstheme="minorBidi"/>
                <w:sz w:val="18"/>
                <w:szCs w:val="18"/>
              </w:rPr>
            </w:pPr>
            <w:r w:rsidRPr="4029C653">
              <w:rPr>
                <w:rFonts w:ascii="Verdana" w:hAnsi="Verdana" w:cstheme="minorBidi"/>
                <w:sz w:val="18"/>
                <w:szCs w:val="18"/>
              </w:rPr>
              <w:lastRenderedPageBreak/>
              <w:t xml:space="preserve">Herziening van het voorwaardelijke handelsstelsel waarmee de EU-tariefpreferenties voor import aanbiedt </w:t>
            </w:r>
            <w:r w:rsidRPr="4029C653">
              <w:rPr>
                <w:rFonts w:ascii="Verdana" w:hAnsi="Verdana" w:cstheme="minorBidi"/>
                <w:sz w:val="18"/>
                <w:szCs w:val="18"/>
              </w:rPr>
              <w:lastRenderedPageBreak/>
              <w:t xml:space="preserve">aan ontwikkelingslanden. De herziening ziet onder meer toe op aanvullende voorwaarden waaraan begunstigde landen moeten voldoen, vrijwaringsmaatregelen en </w:t>
            </w:r>
            <w:r w:rsidR="00226D2F">
              <w:rPr>
                <w:rFonts w:ascii="Verdana" w:hAnsi="Verdana" w:cstheme="minorBidi"/>
                <w:sz w:val="18"/>
                <w:szCs w:val="18"/>
              </w:rPr>
              <w:t>meer transparantie</w:t>
            </w:r>
            <w:r w:rsidRPr="4029C653">
              <w:rPr>
                <w:rFonts w:ascii="Verdana" w:hAnsi="Verdana" w:cstheme="minorBidi"/>
                <w:sz w:val="18"/>
                <w:szCs w:val="18"/>
              </w:rPr>
              <w:t xml:space="preserve">. </w:t>
            </w:r>
          </w:p>
          <w:p w:rsidRPr="003A767C" w:rsidR="00114650" w:rsidP="00114650" w:rsidRDefault="00114650" w14:paraId="4032BE8B" w14:textId="21F99B9E">
            <w:pPr>
              <w:rPr>
                <w:rFonts w:ascii="Verdana" w:hAnsi="Verdana" w:cstheme="minorHAnsi"/>
                <w:color w:val="000000"/>
                <w:sz w:val="18"/>
                <w:szCs w:val="18"/>
              </w:rPr>
            </w:pPr>
          </w:p>
        </w:tc>
        <w:tc>
          <w:tcPr>
            <w:tcW w:w="4591" w:type="dxa"/>
            <w:shd w:val="clear" w:color="auto" w:fill="auto"/>
          </w:tcPr>
          <w:p w:rsidRPr="00253193" w:rsidR="00114650" w:rsidRDefault="0029394B" w14:paraId="75C4BE73" w14:textId="27BA9FB6">
            <w:pPr>
              <w:rPr>
                <w:rFonts w:ascii="Verdana" w:hAnsi="Verdana" w:cstheme="minorBidi"/>
                <w:color w:val="000000" w:themeColor="text1"/>
                <w:sz w:val="18"/>
                <w:szCs w:val="18"/>
              </w:rPr>
            </w:pPr>
            <w:bookmarkStart w:name="_Hlk220926433" w:id="4"/>
            <w:r w:rsidRPr="4029C653">
              <w:rPr>
                <w:rFonts w:ascii="Verdana" w:hAnsi="Verdana" w:cstheme="minorBidi"/>
                <w:sz w:val="18"/>
                <w:szCs w:val="18"/>
              </w:rPr>
              <w:lastRenderedPageBreak/>
              <w:t xml:space="preserve">Het voorzitterschap van de Raad en het Europees Parlement hebben in december 2025 een akkoord bereikt over de herziening van het </w:t>
            </w:r>
            <w:r w:rsidRPr="4029C653">
              <w:rPr>
                <w:rFonts w:ascii="Verdana" w:hAnsi="Verdana" w:cstheme="minorBidi"/>
                <w:sz w:val="18"/>
                <w:szCs w:val="18"/>
              </w:rPr>
              <w:lastRenderedPageBreak/>
              <w:t>APS. Naar verwachting wordt de herziene verordening in mei</w:t>
            </w:r>
            <w:r w:rsidRPr="4029C653" w:rsidR="006E4490">
              <w:rPr>
                <w:rFonts w:ascii="Verdana" w:hAnsi="Verdana" w:cstheme="minorBidi"/>
                <w:sz w:val="18"/>
                <w:szCs w:val="18"/>
              </w:rPr>
              <w:t xml:space="preserve"> 2026</w:t>
            </w:r>
            <w:r w:rsidRPr="4029C653">
              <w:rPr>
                <w:rFonts w:ascii="Verdana" w:hAnsi="Verdana" w:cstheme="minorBidi"/>
                <w:sz w:val="18"/>
                <w:szCs w:val="18"/>
              </w:rPr>
              <w:t xml:space="preserve">, na </w:t>
            </w:r>
            <w:r w:rsidRPr="4029C653" w:rsidR="007E471B">
              <w:rPr>
                <w:rFonts w:ascii="Verdana" w:hAnsi="Verdana" w:cstheme="minorBidi"/>
                <w:sz w:val="18"/>
                <w:szCs w:val="18"/>
              </w:rPr>
              <w:t>goedkeuring door</w:t>
            </w:r>
            <w:r w:rsidRPr="4029C653">
              <w:rPr>
                <w:rFonts w:ascii="Verdana" w:hAnsi="Verdana" w:cstheme="minorBidi"/>
                <w:sz w:val="18"/>
                <w:szCs w:val="18"/>
              </w:rPr>
              <w:t xml:space="preserve"> het Europees Parlement, aangenomen door de Raad</w:t>
            </w:r>
            <w:bookmarkEnd w:id="4"/>
            <w:r w:rsidRPr="4029C653">
              <w:rPr>
                <w:rFonts w:ascii="Verdana" w:hAnsi="Verdana" w:cstheme="minorBidi"/>
                <w:sz w:val="18"/>
                <w:szCs w:val="18"/>
              </w:rPr>
              <w:t xml:space="preserve">. Na goedkeuring door de Raad </w:t>
            </w:r>
            <w:r w:rsidR="000C023E">
              <w:rPr>
                <w:rFonts w:ascii="Verdana" w:hAnsi="Verdana" w:cstheme="minorBidi"/>
                <w:sz w:val="18"/>
                <w:szCs w:val="18"/>
              </w:rPr>
              <w:t xml:space="preserve">kan </w:t>
            </w:r>
            <w:r w:rsidRPr="4029C653">
              <w:rPr>
                <w:rFonts w:ascii="Verdana" w:hAnsi="Verdana" w:cstheme="minorBidi"/>
                <w:sz w:val="18"/>
                <w:szCs w:val="18"/>
              </w:rPr>
              <w:t xml:space="preserve">de herziene verordening per 1 januari 2027 </w:t>
            </w:r>
            <w:r w:rsidR="000C023E">
              <w:rPr>
                <w:rFonts w:ascii="Verdana" w:hAnsi="Verdana" w:cstheme="minorBidi"/>
                <w:sz w:val="18"/>
                <w:szCs w:val="18"/>
              </w:rPr>
              <w:t xml:space="preserve">worden </w:t>
            </w:r>
            <w:r w:rsidRPr="4029C653">
              <w:rPr>
                <w:rFonts w:ascii="Verdana" w:hAnsi="Verdana" w:cstheme="minorBidi"/>
                <w:sz w:val="18"/>
                <w:szCs w:val="18"/>
              </w:rPr>
              <w:t>toegepast.</w:t>
            </w:r>
          </w:p>
        </w:tc>
      </w:tr>
      <w:tr w:rsidRPr="003A767C" w:rsidR="003135F4" w:rsidTr="4029C653" w14:paraId="39AAA94D" w14:textId="77777777">
        <w:tc>
          <w:tcPr>
            <w:tcW w:w="2547" w:type="dxa"/>
          </w:tcPr>
          <w:p w:rsidRPr="30CDB650" w:rsidR="003135F4" w:rsidP="00114650" w:rsidRDefault="003135F4" w14:paraId="5AA6317D" w14:textId="66457927">
            <w:pPr>
              <w:rPr>
                <w:rFonts w:ascii="Verdana" w:hAnsi="Verdana" w:cstheme="minorBidi"/>
                <w:sz w:val="18"/>
                <w:szCs w:val="18"/>
              </w:rPr>
            </w:pPr>
            <w:r>
              <w:rPr>
                <w:rFonts w:ascii="Verdana" w:hAnsi="Verdana" w:cstheme="minorBidi"/>
                <w:sz w:val="18"/>
                <w:szCs w:val="18"/>
              </w:rPr>
              <w:lastRenderedPageBreak/>
              <w:t>M</w:t>
            </w:r>
            <w:r w:rsidR="00912FA9">
              <w:rPr>
                <w:rFonts w:ascii="Verdana" w:hAnsi="Verdana" w:cstheme="minorBidi"/>
                <w:sz w:val="18"/>
                <w:szCs w:val="18"/>
              </w:rPr>
              <w:t xml:space="preserve">eerjarig </w:t>
            </w:r>
            <w:r>
              <w:rPr>
                <w:rFonts w:ascii="Verdana" w:hAnsi="Verdana" w:cstheme="minorBidi"/>
                <w:sz w:val="18"/>
                <w:szCs w:val="18"/>
              </w:rPr>
              <w:t>F</w:t>
            </w:r>
            <w:r w:rsidR="00912FA9">
              <w:rPr>
                <w:rFonts w:ascii="Verdana" w:hAnsi="Verdana" w:cstheme="minorBidi"/>
                <w:sz w:val="18"/>
                <w:szCs w:val="18"/>
              </w:rPr>
              <w:t xml:space="preserve">inancieel </w:t>
            </w:r>
            <w:r>
              <w:rPr>
                <w:rFonts w:ascii="Verdana" w:hAnsi="Verdana" w:cstheme="minorBidi"/>
                <w:sz w:val="18"/>
                <w:szCs w:val="18"/>
              </w:rPr>
              <w:t>K</w:t>
            </w:r>
            <w:r w:rsidR="00912FA9">
              <w:rPr>
                <w:rFonts w:ascii="Verdana" w:hAnsi="Verdana" w:cstheme="minorBidi"/>
                <w:sz w:val="18"/>
                <w:szCs w:val="18"/>
              </w:rPr>
              <w:t>ader 2028-2034</w:t>
            </w:r>
          </w:p>
        </w:tc>
        <w:tc>
          <w:tcPr>
            <w:tcW w:w="1984" w:type="dxa"/>
          </w:tcPr>
          <w:p w:rsidRPr="00253193" w:rsidR="003135F4" w:rsidRDefault="00614064" w14:paraId="34C56912" w14:textId="52A27BBB">
            <w:pPr>
              <w:shd w:val="clear" w:color="auto" w:fill="FFFFFF" w:themeFill="background1"/>
              <w:outlineLvl w:val="0"/>
              <w:rPr>
                <w:rFonts w:ascii="Verdana" w:hAnsi="Verdana" w:cstheme="minorBidi"/>
                <w:sz w:val="18"/>
                <w:szCs w:val="18"/>
              </w:rPr>
            </w:pPr>
            <w:r w:rsidRPr="00614064">
              <w:rPr>
                <w:rFonts w:ascii="Verdana" w:hAnsi="Verdana" w:cstheme="minorBidi"/>
                <w:sz w:val="18"/>
                <w:szCs w:val="18"/>
              </w:rPr>
              <w:t xml:space="preserve">COM(2025) 570 </w:t>
            </w:r>
            <w:proofErr w:type="spellStart"/>
            <w:r w:rsidRPr="00614064">
              <w:rPr>
                <w:rFonts w:ascii="Verdana" w:hAnsi="Verdana" w:cstheme="minorBidi"/>
                <w:sz w:val="18"/>
                <w:szCs w:val="18"/>
              </w:rPr>
              <w:t>final</w:t>
            </w:r>
            <w:proofErr w:type="spellEnd"/>
            <w:r w:rsidRPr="00614064">
              <w:rPr>
                <w:rFonts w:ascii="Verdana" w:hAnsi="Verdana" w:cstheme="minorBidi"/>
                <w:sz w:val="18"/>
                <w:szCs w:val="18"/>
              </w:rPr>
              <w:t>/2</w:t>
            </w:r>
            <w:r>
              <w:rPr>
                <w:rFonts w:ascii="Verdana" w:hAnsi="Verdana" w:cstheme="minorBidi"/>
                <w:sz w:val="18"/>
                <w:szCs w:val="18"/>
              </w:rPr>
              <w:t xml:space="preserve">, Kamerstuk </w:t>
            </w:r>
            <w:r w:rsidRPr="00614064">
              <w:rPr>
                <w:rFonts w:ascii="Verdana" w:hAnsi="Verdana" w:cstheme="minorBidi"/>
                <w:sz w:val="18"/>
                <w:szCs w:val="18"/>
              </w:rPr>
              <w:t>21 501-20, nr. 2268</w:t>
            </w:r>
            <w:r>
              <w:rPr>
                <w:rFonts w:ascii="Verdana" w:hAnsi="Verdana" w:cstheme="minorBidi"/>
                <w:sz w:val="18"/>
                <w:szCs w:val="18"/>
              </w:rPr>
              <w:t xml:space="preserve"> </w:t>
            </w:r>
          </w:p>
        </w:tc>
        <w:tc>
          <w:tcPr>
            <w:tcW w:w="3828" w:type="dxa"/>
          </w:tcPr>
          <w:p w:rsidRPr="30CDB650" w:rsidR="003135F4" w:rsidP="00114650" w:rsidRDefault="00D2296B" w14:paraId="145C9728" w14:textId="2EBD48E8">
            <w:pPr>
              <w:rPr>
                <w:rFonts w:ascii="Verdana" w:hAnsi="Verdana" w:cstheme="minorBidi"/>
                <w:sz w:val="18"/>
                <w:szCs w:val="18"/>
              </w:rPr>
            </w:pPr>
            <w:r w:rsidRPr="00D2296B">
              <w:rPr>
                <w:rFonts w:ascii="Verdana" w:hAnsi="Verdana" w:cstheme="minorBidi"/>
                <w:sz w:val="18"/>
                <w:szCs w:val="18"/>
              </w:rPr>
              <w:t xml:space="preserve">De Europese Commissie heeft de volgende </w:t>
            </w:r>
            <w:proofErr w:type="spellStart"/>
            <w:r w:rsidRPr="00D2296B">
              <w:rPr>
                <w:rFonts w:ascii="Verdana" w:hAnsi="Verdana" w:cstheme="minorBidi"/>
                <w:sz w:val="18"/>
                <w:szCs w:val="18"/>
              </w:rPr>
              <w:t>langetermijnbegroting</w:t>
            </w:r>
            <w:proofErr w:type="spellEnd"/>
            <w:r w:rsidRPr="00D2296B">
              <w:rPr>
                <w:rFonts w:ascii="Verdana" w:hAnsi="Verdana" w:cstheme="minorBidi"/>
                <w:sz w:val="18"/>
                <w:szCs w:val="18"/>
              </w:rPr>
              <w:t xml:space="preserve"> van de EU voor de periode 2028-2034 voorgesteld, ook bekend als het meerjarig financieel kader (MFK).</w:t>
            </w:r>
            <w:r>
              <w:rPr>
                <w:rFonts w:ascii="Verdana" w:hAnsi="Verdana" w:cstheme="minorBidi"/>
                <w:sz w:val="18"/>
                <w:szCs w:val="18"/>
              </w:rPr>
              <w:t xml:space="preserve"> Hieronder vallen verschillende sectorale voorstellen die samen het MFK vormen. </w:t>
            </w:r>
            <w:r w:rsidRPr="00D2296B">
              <w:rPr>
                <w:rFonts w:ascii="Verdana" w:hAnsi="Verdana" w:cstheme="minorBidi"/>
                <w:sz w:val="18"/>
                <w:szCs w:val="18"/>
              </w:rPr>
              <w:t>Parallel hieraan is een voorstel voor een nieuw eigenmiddelenbesluit </w:t>
            </w:r>
            <w:r>
              <w:rPr>
                <w:rFonts w:ascii="Verdana" w:hAnsi="Verdana" w:cstheme="minorBidi"/>
                <w:sz w:val="18"/>
                <w:szCs w:val="18"/>
              </w:rPr>
              <w:t xml:space="preserve">(EMB) </w:t>
            </w:r>
            <w:r w:rsidRPr="00D2296B">
              <w:rPr>
                <w:rFonts w:ascii="Verdana" w:hAnsi="Verdana" w:cstheme="minorBidi"/>
                <w:sz w:val="18"/>
                <w:szCs w:val="18"/>
              </w:rPr>
              <w:t>gepresenteerd, waarin de financiering van de EU-begroting wordt geregeld.</w:t>
            </w:r>
          </w:p>
        </w:tc>
        <w:tc>
          <w:tcPr>
            <w:tcW w:w="4591" w:type="dxa"/>
            <w:shd w:val="clear" w:color="auto" w:fill="auto"/>
          </w:tcPr>
          <w:p w:rsidRPr="00386F3F" w:rsidR="003135F4" w:rsidP="00614064" w:rsidRDefault="00614064" w14:paraId="3F1F952D" w14:textId="7C26B981">
            <w:pPr>
              <w:rPr>
                <w:rFonts w:ascii="Verdana" w:hAnsi="Verdana" w:cstheme="minorBidi"/>
                <w:sz w:val="18"/>
                <w:szCs w:val="18"/>
              </w:rPr>
            </w:pPr>
            <w:r w:rsidRPr="00614064">
              <w:rPr>
                <w:rFonts w:ascii="Verdana" w:hAnsi="Verdana" w:cstheme="minorBidi"/>
                <w:sz w:val="18"/>
                <w:szCs w:val="18"/>
              </w:rPr>
              <w:t xml:space="preserve">Op 16 juli en 3 september 2025 bracht de </w:t>
            </w:r>
            <w:r>
              <w:rPr>
                <w:rFonts w:ascii="Verdana" w:hAnsi="Verdana" w:cstheme="minorBidi"/>
                <w:sz w:val="18"/>
                <w:szCs w:val="18"/>
              </w:rPr>
              <w:t xml:space="preserve">Europese </w:t>
            </w:r>
            <w:r w:rsidRPr="00614064">
              <w:rPr>
                <w:rFonts w:ascii="Verdana" w:hAnsi="Verdana" w:cstheme="minorBidi"/>
                <w:sz w:val="18"/>
                <w:szCs w:val="18"/>
              </w:rPr>
              <w:t xml:space="preserve">Commissie haar voorstellen voor het volgende MFK </w:t>
            </w:r>
            <w:r w:rsidR="00D2296B">
              <w:rPr>
                <w:rFonts w:ascii="Verdana" w:hAnsi="Verdana" w:cstheme="minorBidi"/>
                <w:sz w:val="18"/>
                <w:szCs w:val="18"/>
              </w:rPr>
              <w:t xml:space="preserve">en EMB </w:t>
            </w:r>
            <w:r>
              <w:rPr>
                <w:rFonts w:ascii="Verdana" w:hAnsi="Verdana" w:cstheme="minorBidi"/>
                <w:sz w:val="18"/>
                <w:szCs w:val="18"/>
              </w:rPr>
              <w:t xml:space="preserve">vanaf 2028 </w:t>
            </w:r>
            <w:r w:rsidRPr="00614064">
              <w:rPr>
                <w:rFonts w:ascii="Verdana" w:hAnsi="Verdana" w:cstheme="minorBidi"/>
                <w:sz w:val="18"/>
                <w:szCs w:val="18"/>
              </w:rPr>
              <w:t>uit</w:t>
            </w:r>
            <w:r>
              <w:rPr>
                <w:rFonts w:ascii="Verdana" w:hAnsi="Verdana" w:cstheme="minorBidi"/>
                <w:sz w:val="18"/>
                <w:szCs w:val="18"/>
              </w:rPr>
              <w:t xml:space="preserve">. </w:t>
            </w:r>
            <w:r w:rsidRPr="00614064">
              <w:rPr>
                <w:rFonts w:ascii="Verdana" w:hAnsi="Verdana" w:cstheme="minorBidi"/>
                <w:sz w:val="18"/>
                <w:szCs w:val="18"/>
              </w:rPr>
              <w:t>De besprekingen over de voorstellen in de Raad Algemene Zaken zijn sindsdien zowel op technisch als op politiek niveau gevorderd.</w:t>
            </w:r>
            <w:r w:rsidR="00D2296B">
              <w:rPr>
                <w:rFonts w:ascii="Verdana" w:hAnsi="Verdana" w:cstheme="minorBidi"/>
                <w:sz w:val="18"/>
                <w:szCs w:val="18"/>
              </w:rPr>
              <w:t xml:space="preserve"> De regeringsleiders spraken voor het eerst over het voorstel </w:t>
            </w:r>
            <w:r w:rsidR="00912FA9">
              <w:rPr>
                <w:rFonts w:ascii="Verdana" w:hAnsi="Verdana" w:cstheme="minorBidi"/>
                <w:sz w:val="18"/>
                <w:szCs w:val="18"/>
              </w:rPr>
              <w:t xml:space="preserve">tijdens de Europese Raad </w:t>
            </w:r>
            <w:proofErr w:type="spellStart"/>
            <w:r w:rsidR="00912FA9">
              <w:rPr>
                <w:rFonts w:ascii="Verdana" w:hAnsi="Verdana" w:cstheme="minorBidi"/>
                <w:sz w:val="18"/>
                <w:szCs w:val="18"/>
              </w:rPr>
              <w:t>vanvan</w:t>
            </w:r>
            <w:proofErr w:type="spellEnd"/>
            <w:r w:rsidR="00D2296B">
              <w:rPr>
                <w:rFonts w:ascii="Verdana" w:hAnsi="Verdana" w:cstheme="minorBidi"/>
                <w:sz w:val="18"/>
                <w:szCs w:val="18"/>
              </w:rPr>
              <w:t xml:space="preserve"> 18-19 december 2025. De eerste bespreking van cijfers zal naar verwachting in 2026 plaatsvinden bij de Raad Algemene Zaken en </w:t>
            </w:r>
            <w:r w:rsidR="00912FA9">
              <w:rPr>
                <w:rFonts w:ascii="Verdana" w:hAnsi="Verdana" w:cstheme="minorBidi"/>
                <w:sz w:val="18"/>
                <w:szCs w:val="18"/>
              </w:rPr>
              <w:t xml:space="preserve">de </w:t>
            </w:r>
            <w:r w:rsidR="00D2296B">
              <w:rPr>
                <w:rFonts w:ascii="Verdana" w:hAnsi="Verdana" w:cstheme="minorBidi"/>
                <w:sz w:val="18"/>
                <w:szCs w:val="18"/>
              </w:rPr>
              <w:t xml:space="preserve">Europese Raad. De onderhandelingen continueren in 2026 en mogelijk 2027. </w:t>
            </w:r>
          </w:p>
        </w:tc>
      </w:tr>
      <w:tr w:rsidRPr="00C32E91" w:rsidR="006B6181" w:rsidTr="4029C653" w14:paraId="1405FEDF" w14:textId="77777777">
        <w:tc>
          <w:tcPr>
            <w:tcW w:w="2547" w:type="dxa"/>
          </w:tcPr>
          <w:p w:rsidRPr="00C32E91" w:rsidR="006B6181" w:rsidP="00114650" w:rsidRDefault="00C32E91" w14:paraId="01E0FC51" w14:textId="3D8DDCE3">
            <w:pPr>
              <w:rPr>
                <w:rFonts w:ascii="Verdana" w:hAnsi="Verdana" w:cstheme="minorBidi"/>
                <w:sz w:val="18"/>
                <w:szCs w:val="18"/>
              </w:rPr>
            </w:pPr>
            <w:bookmarkStart w:name="_Hlk220925802" w:id="5"/>
            <w:r w:rsidRPr="00C32E91">
              <w:rPr>
                <w:rFonts w:ascii="Verdana" w:hAnsi="Verdana" w:cstheme="minorBidi"/>
                <w:sz w:val="18"/>
                <w:szCs w:val="18"/>
              </w:rPr>
              <w:t xml:space="preserve">Maatregelen ter bescherming </w:t>
            </w:r>
            <w:r w:rsidRPr="00C32E91" w:rsidR="00675FFB">
              <w:rPr>
                <w:rFonts w:ascii="Verdana" w:hAnsi="Verdana" w:cstheme="minorBidi"/>
                <w:sz w:val="18"/>
                <w:szCs w:val="18"/>
              </w:rPr>
              <w:t>EU-staalsector</w:t>
            </w:r>
            <w:r w:rsidRPr="00C32E91">
              <w:rPr>
                <w:rFonts w:ascii="Verdana" w:hAnsi="Verdana" w:cstheme="minorBidi"/>
                <w:sz w:val="18"/>
                <w:szCs w:val="18"/>
              </w:rPr>
              <w:t xml:space="preserve"> tegen wereldwijde overc</w:t>
            </w:r>
            <w:r>
              <w:rPr>
                <w:rFonts w:ascii="Verdana" w:hAnsi="Verdana" w:cstheme="minorBidi"/>
                <w:sz w:val="18"/>
                <w:szCs w:val="18"/>
              </w:rPr>
              <w:t xml:space="preserve">apaciteit </w:t>
            </w:r>
            <w:bookmarkEnd w:id="5"/>
          </w:p>
        </w:tc>
        <w:tc>
          <w:tcPr>
            <w:tcW w:w="1984" w:type="dxa"/>
          </w:tcPr>
          <w:p w:rsidRPr="00253193" w:rsidR="006B6181" w:rsidRDefault="00C32E91" w14:paraId="2F3C648D" w14:textId="6EE70A31">
            <w:pPr>
              <w:shd w:val="clear" w:color="auto" w:fill="FFFFFF" w:themeFill="background1"/>
              <w:outlineLvl w:val="0"/>
              <w:rPr>
                <w:rFonts w:ascii="Verdana" w:hAnsi="Verdana" w:cstheme="minorBidi"/>
                <w:sz w:val="18"/>
                <w:szCs w:val="18"/>
              </w:rPr>
            </w:pPr>
            <w:r w:rsidRPr="795B51B4">
              <w:rPr>
                <w:rFonts w:ascii="Verdana" w:hAnsi="Verdana" w:cstheme="minorBidi"/>
                <w:sz w:val="18"/>
                <w:szCs w:val="18"/>
              </w:rPr>
              <w:t>COM(2025)726, COM(2025)727, BNC-fiche (2025), Kamerstuk 22112, nr. 4213</w:t>
            </w:r>
          </w:p>
        </w:tc>
        <w:tc>
          <w:tcPr>
            <w:tcW w:w="3828" w:type="dxa"/>
          </w:tcPr>
          <w:p w:rsidRPr="00253193" w:rsidR="006B6181" w:rsidRDefault="00C32E91" w14:paraId="3AEA46BF" w14:textId="2833DDFD">
            <w:pPr>
              <w:rPr>
                <w:rFonts w:ascii="Verdana" w:hAnsi="Verdana" w:cstheme="minorBidi"/>
                <w:sz w:val="18"/>
                <w:szCs w:val="18"/>
              </w:rPr>
            </w:pPr>
            <w:r w:rsidRPr="4029C653">
              <w:rPr>
                <w:rFonts w:ascii="Verdana" w:hAnsi="Verdana" w:cstheme="minorBidi"/>
                <w:sz w:val="18"/>
                <w:szCs w:val="18"/>
              </w:rPr>
              <w:t xml:space="preserve">De voorgestelde maatregelen zien op de bescherming van de </w:t>
            </w:r>
            <w:r w:rsidRPr="4029C653" w:rsidR="00BA18EC">
              <w:rPr>
                <w:rFonts w:ascii="Verdana" w:hAnsi="Verdana" w:cstheme="minorBidi"/>
                <w:sz w:val="18"/>
                <w:szCs w:val="18"/>
              </w:rPr>
              <w:t>EU-staalsector</w:t>
            </w:r>
            <w:r w:rsidRPr="4029C653">
              <w:rPr>
                <w:rFonts w:ascii="Verdana" w:hAnsi="Verdana" w:cstheme="minorBidi"/>
                <w:sz w:val="18"/>
                <w:szCs w:val="18"/>
              </w:rPr>
              <w:t xml:space="preserve"> tegen de negatieve effecten van wereldwijde overcapaciteit van staal,</w:t>
            </w:r>
            <w:r w:rsidRPr="4029C653" w:rsidR="00696BF4">
              <w:rPr>
                <w:rFonts w:ascii="Verdana" w:hAnsi="Verdana" w:cstheme="minorBidi"/>
                <w:sz w:val="18"/>
                <w:szCs w:val="18"/>
              </w:rPr>
              <w:t xml:space="preserve"> primair door middel van een tariefcontingent. De maatregelen dienen ter</w:t>
            </w:r>
            <w:r w:rsidRPr="4029C653">
              <w:rPr>
                <w:rFonts w:ascii="Verdana" w:hAnsi="Verdana" w:cstheme="minorBidi"/>
                <w:sz w:val="18"/>
                <w:szCs w:val="18"/>
              </w:rPr>
              <w:t xml:space="preserve"> vervanging van de </w:t>
            </w:r>
            <w:r w:rsidRPr="4029C653" w:rsidR="00696BF4">
              <w:rPr>
                <w:rFonts w:ascii="Verdana" w:hAnsi="Verdana" w:cstheme="minorBidi"/>
                <w:sz w:val="18"/>
                <w:szCs w:val="18"/>
              </w:rPr>
              <w:t xml:space="preserve">nu </w:t>
            </w:r>
            <w:r w:rsidRPr="4029C653">
              <w:rPr>
                <w:rFonts w:ascii="Verdana" w:hAnsi="Verdana" w:cstheme="minorBidi"/>
                <w:sz w:val="18"/>
                <w:szCs w:val="18"/>
              </w:rPr>
              <w:t xml:space="preserve">geldende vrijwaringsmaatregelen die per </w:t>
            </w:r>
            <w:r w:rsidRPr="4029C653" w:rsidR="00696BF4">
              <w:rPr>
                <w:rFonts w:ascii="Verdana" w:hAnsi="Verdana" w:cstheme="minorBidi"/>
                <w:sz w:val="18"/>
                <w:szCs w:val="18"/>
              </w:rPr>
              <w:t>30 juni</w:t>
            </w:r>
            <w:r w:rsidRPr="4029C653">
              <w:rPr>
                <w:rFonts w:ascii="Verdana" w:hAnsi="Verdana" w:cstheme="minorBidi"/>
                <w:sz w:val="18"/>
                <w:szCs w:val="18"/>
              </w:rPr>
              <w:t xml:space="preserve"> 2026 aflopen.</w:t>
            </w:r>
          </w:p>
        </w:tc>
        <w:tc>
          <w:tcPr>
            <w:tcW w:w="4591" w:type="dxa"/>
            <w:shd w:val="clear" w:color="auto" w:fill="auto"/>
          </w:tcPr>
          <w:p w:rsidRPr="00C32E91" w:rsidR="006B6181" w:rsidP="00114650" w:rsidRDefault="00696BF4" w14:paraId="48A8EFD8" w14:textId="244E1F18">
            <w:pPr>
              <w:rPr>
                <w:rFonts w:ascii="Verdana" w:hAnsi="Verdana" w:cstheme="minorBidi"/>
                <w:sz w:val="18"/>
                <w:szCs w:val="18"/>
              </w:rPr>
            </w:pPr>
            <w:r>
              <w:rPr>
                <w:rFonts w:ascii="Verdana" w:hAnsi="Verdana" w:cstheme="minorBidi"/>
                <w:sz w:val="18"/>
                <w:szCs w:val="18"/>
              </w:rPr>
              <w:t xml:space="preserve">Op 12 december jl. heeft de Raad een Raadspositie vastgesteld. Het Europees Parlement zal naar verwachting </w:t>
            </w:r>
            <w:r w:rsidR="001F0C3D">
              <w:rPr>
                <w:rFonts w:ascii="Verdana" w:hAnsi="Verdana" w:cstheme="minorBidi"/>
                <w:sz w:val="18"/>
                <w:szCs w:val="18"/>
              </w:rPr>
              <w:t xml:space="preserve">begin februari de eigen positie vaststellen, waarna de </w:t>
            </w:r>
            <w:proofErr w:type="spellStart"/>
            <w:r w:rsidR="001F0C3D">
              <w:rPr>
                <w:rFonts w:ascii="Verdana" w:hAnsi="Verdana" w:cstheme="minorBidi"/>
                <w:sz w:val="18"/>
                <w:szCs w:val="18"/>
              </w:rPr>
              <w:t>triloogonderhandelingen</w:t>
            </w:r>
            <w:proofErr w:type="spellEnd"/>
            <w:r w:rsidR="001F0C3D">
              <w:rPr>
                <w:rFonts w:ascii="Verdana" w:hAnsi="Verdana" w:cstheme="minorBidi"/>
                <w:sz w:val="18"/>
                <w:szCs w:val="18"/>
              </w:rPr>
              <w:t xml:space="preserve"> zullen starten.</w:t>
            </w:r>
          </w:p>
        </w:tc>
      </w:tr>
      <w:tr w:rsidRPr="00E7403C" w:rsidR="00433F78" w:rsidTr="4029C653" w14:paraId="1A97F313" w14:textId="77777777">
        <w:tc>
          <w:tcPr>
            <w:tcW w:w="2547" w:type="dxa"/>
          </w:tcPr>
          <w:p w:rsidRPr="00C32E91" w:rsidR="00433F78" w:rsidP="00114650" w:rsidRDefault="00433F78" w14:paraId="0DF241F9" w14:textId="11E22A51">
            <w:pPr>
              <w:rPr>
                <w:rFonts w:ascii="Verdana" w:hAnsi="Verdana" w:cstheme="minorBidi"/>
                <w:sz w:val="18"/>
                <w:szCs w:val="18"/>
              </w:rPr>
            </w:pPr>
            <w:bookmarkStart w:name="_Hlk220925953" w:id="6"/>
            <w:r>
              <w:rPr>
                <w:rFonts w:ascii="Verdana" w:hAnsi="Verdana" w:cstheme="minorBidi"/>
                <w:sz w:val="18"/>
                <w:szCs w:val="18"/>
              </w:rPr>
              <w:t xml:space="preserve">EU-verordeningen inzake tariefverlaging op producten uit de Verenigde Staten </w:t>
            </w:r>
            <w:bookmarkEnd w:id="6"/>
          </w:p>
        </w:tc>
        <w:tc>
          <w:tcPr>
            <w:tcW w:w="1984" w:type="dxa"/>
          </w:tcPr>
          <w:p w:rsidRPr="00433F78" w:rsidR="00433F78" w:rsidRDefault="00433F78" w14:paraId="21D9B6AA" w14:textId="28524BD0">
            <w:pPr>
              <w:shd w:val="clear" w:color="auto" w:fill="FFFFFF" w:themeFill="background1"/>
              <w:outlineLvl w:val="0"/>
              <w:rPr>
                <w:rFonts w:ascii="Verdana" w:hAnsi="Verdana" w:cstheme="minorBidi"/>
                <w:sz w:val="18"/>
                <w:szCs w:val="18"/>
                <w:lang w:val="pt-PT"/>
              </w:rPr>
            </w:pPr>
            <w:r w:rsidRPr="00433F78">
              <w:rPr>
                <w:rFonts w:ascii="Verdana" w:hAnsi="Verdana" w:cstheme="minorBidi"/>
                <w:sz w:val="18"/>
                <w:szCs w:val="18"/>
                <w:lang w:val="pt-PT"/>
              </w:rPr>
              <w:t xml:space="preserve">COM(2025)471, </w:t>
            </w:r>
            <w:r w:rsidRPr="00433F78">
              <w:rPr>
                <w:lang w:val="pt-PT"/>
              </w:rPr>
              <w:t xml:space="preserve"> </w:t>
            </w:r>
            <w:r w:rsidRPr="00433F78">
              <w:rPr>
                <w:rFonts w:ascii="Verdana" w:hAnsi="Verdana" w:cstheme="minorBidi"/>
                <w:sz w:val="18"/>
                <w:szCs w:val="18"/>
                <w:lang w:val="pt-PT"/>
              </w:rPr>
              <w:t>COM(2025)472, BNC-fiche (2025), K</w:t>
            </w:r>
            <w:r>
              <w:rPr>
                <w:rFonts w:ascii="Verdana" w:hAnsi="Verdana" w:cstheme="minorBidi"/>
                <w:sz w:val="18"/>
                <w:szCs w:val="18"/>
                <w:lang w:val="pt-PT"/>
              </w:rPr>
              <w:t xml:space="preserve">amerstuk </w:t>
            </w:r>
            <w:r w:rsidRPr="00433F78">
              <w:rPr>
                <w:rFonts w:ascii="Verdana" w:hAnsi="Verdana" w:cstheme="minorBidi"/>
                <w:sz w:val="18"/>
                <w:szCs w:val="18"/>
                <w:lang w:val="pt-PT"/>
              </w:rPr>
              <w:t>21501</w:t>
            </w:r>
            <w:r>
              <w:rPr>
                <w:rFonts w:ascii="Verdana" w:hAnsi="Verdana" w:cstheme="minorBidi"/>
                <w:sz w:val="18"/>
                <w:szCs w:val="18"/>
                <w:lang w:val="pt-PT"/>
              </w:rPr>
              <w:t xml:space="preserve">, nr. </w:t>
            </w:r>
            <w:r w:rsidRPr="00433F78">
              <w:rPr>
                <w:rFonts w:ascii="Verdana" w:hAnsi="Verdana" w:cstheme="minorBidi"/>
                <w:sz w:val="18"/>
                <w:szCs w:val="18"/>
                <w:lang w:val="pt-PT"/>
              </w:rPr>
              <w:t>3221</w:t>
            </w:r>
          </w:p>
        </w:tc>
        <w:tc>
          <w:tcPr>
            <w:tcW w:w="3828" w:type="dxa"/>
          </w:tcPr>
          <w:p w:rsidRPr="00E7403C" w:rsidR="00433F78" w:rsidRDefault="00E7403C" w14:paraId="38415CFE" w14:textId="3C2EFAE4">
            <w:pPr>
              <w:rPr>
                <w:rFonts w:ascii="Verdana" w:hAnsi="Verdana" w:cstheme="minorBidi"/>
                <w:sz w:val="18"/>
                <w:szCs w:val="18"/>
              </w:rPr>
            </w:pPr>
            <w:r w:rsidRPr="00E7403C">
              <w:rPr>
                <w:rFonts w:ascii="Verdana" w:hAnsi="Verdana" w:cstheme="minorBidi"/>
                <w:sz w:val="18"/>
                <w:szCs w:val="18"/>
              </w:rPr>
              <w:t xml:space="preserve">De voorgestelde </w:t>
            </w:r>
            <w:r w:rsidR="009311B2">
              <w:rPr>
                <w:rFonts w:ascii="Verdana" w:hAnsi="Verdana" w:cstheme="minorBidi"/>
                <w:sz w:val="18"/>
                <w:szCs w:val="18"/>
              </w:rPr>
              <w:t xml:space="preserve">verordeningen </w:t>
            </w:r>
            <w:r w:rsidRPr="00E7403C">
              <w:rPr>
                <w:rFonts w:ascii="Verdana" w:hAnsi="Verdana" w:cstheme="minorBidi"/>
                <w:sz w:val="18"/>
                <w:szCs w:val="18"/>
              </w:rPr>
              <w:t>zien o</w:t>
            </w:r>
            <w:r>
              <w:rPr>
                <w:rFonts w:ascii="Verdana" w:hAnsi="Verdana" w:cstheme="minorBidi"/>
                <w:sz w:val="18"/>
                <w:szCs w:val="18"/>
              </w:rPr>
              <w:t xml:space="preserve">p het </w:t>
            </w:r>
            <w:r w:rsidR="009311B2">
              <w:rPr>
                <w:rFonts w:ascii="Verdana" w:hAnsi="Verdana" w:cstheme="minorBidi"/>
                <w:sz w:val="18"/>
                <w:szCs w:val="18"/>
              </w:rPr>
              <w:t>verlagen van invoerheffingen op industriële- en bepaalde agrarische-, en visserijproducten afkomstig uit de Verenigde Staten</w:t>
            </w:r>
          </w:p>
        </w:tc>
        <w:tc>
          <w:tcPr>
            <w:tcW w:w="4591" w:type="dxa"/>
            <w:shd w:val="clear" w:color="auto" w:fill="auto"/>
          </w:tcPr>
          <w:p w:rsidRPr="00E7403C" w:rsidR="00433F78" w:rsidP="00114650" w:rsidRDefault="009311B2" w14:paraId="3E994FD2" w14:textId="524BD57A">
            <w:pPr>
              <w:rPr>
                <w:rFonts w:ascii="Verdana" w:hAnsi="Verdana" w:cstheme="minorBidi"/>
                <w:sz w:val="18"/>
                <w:szCs w:val="18"/>
              </w:rPr>
            </w:pPr>
            <w:bookmarkStart w:name="_Hlk220925980" w:id="7"/>
            <w:r>
              <w:rPr>
                <w:rFonts w:ascii="Verdana" w:hAnsi="Verdana" w:cstheme="minorBidi"/>
                <w:sz w:val="18"/>
                <w:szCs w:val="18"/>
              </w:rPr>
              <w:t xml:space="preserve">Op 28 november 2025 heeft de Raad een </w:t>
            </w:r>
            <w:r w:rsidR="000C023E">
              <w:rPr>
                <w:rFonts w:ascii="Verdana" w:hAnsi="Verdana" w:cstheme="minorBidi"/>
                <w:sz w:val="18"/>
                <w:szCs w:val="18"/>
              </w:rPr>
              <w:t>R</w:t>
            </w:r>
            <w:r>
              <w:rPr>
                <w:rFonts w:ascii="Verdana" w:hAnsi="Verdana" w:cstheme="minorBidi"/>
                <w:sz w:val="18"/>
                <w:szCs w:val="18"/>
              </w:rPr>
              <w:t>aadspositie vastgesteld</w:t>
            </w:r>
            <w:r w:rsidR="00F32719">
              <w:rPr>
                <w:rFonts w:ascii="Verdana" w:hAnsi="Verdana" w:cstheme="minorBidi"/>
                <w:sz w:val="18"/>
                <w:szCs w:val="18"/>
              </w:rPr>
              <w:t xml:space="preserve">, waarmee </w:t>
            </w:r>
            <w:r w:rsidR="00057CB1">
              <w:rPr>
                <w:rFonts w:ascii="Verdana" w:hAnsi="Verdana" w:cstheme="minorBidi"/>
                <w:sz w:val="18"/>
                <w:szCs w:val="18"/>
              </w:rPr>
              <w:t>zij</w:t>
            </w:r>
            <w:r w:rsidR="00F32719">
              <w:rPr>
                <w:rFonts w:ascii="Verdana" w:hAnsi="Verdana" w:cstheme="minorBidi"/>
                <w:sz w:val="18"/>
                <w:szCs w:val="18"/>
              </w:rPr>
              <w:t xml:space="preserve"> akkoord ging met het verlagen van de importheffingen aan EU-zijde</w:t>
            </w:r>
            <w:r>
              <w:rPr>
                <w:rFonts w:ascii="Verdana" w:hAnsi="Verdana" w:cstheme="minorBidi"/>
                <w:sz w:val="18"/>
                <w:szCs w:val="18"/>
              </w:rPr>
              <w:t>. Het Europees Parlement heeft nog geen positie ingenomen</w:t>
            </w:r>
            <w:bookmarkEnd w:id="7"/>
            <w:r>
              <w:rPr>
                <w:rFonts w:ascii="Verdana" w:hAnsi="Verdana" w:cstheme="minorBidi"/>
                <w:sz w:val="18"/>
                <w:szCs w:val="18"/>
              </w:rPr>
              <w:t xml:space="preserve">. Na plenaire stemming in het Europees Parlement zal naar verwachting nog een triloog plaatsvinden alvorens een gezamenlijke positie kan worden bereikt tussen de Europese Commissie, de Raad en het Parlement. </w:t>
            </w:r>
          </w:p>
        </w:tc>
      </w:tr>
      <w:bookmarkEnd w:id="3"/>
    </w:tbl>
    <w:p w:rsidRPr="00E7403C" w:rsidR="007626BB" w:rsidP="0008734C" w:rsidRDefault="007626BB" w14:paraId="46BEA0B7" w14:textId="77777777">
      <w:pPr>
        <w:spacing w:line="240" w:lineRule="auto"/>
        <w:rPr>
          <w:rFonts w:ascii="Verdana" w:hAnsi="Verdana"/>
          <w:b/>
          <w:bCs/>
          <w:sz w:val="18"/>
          <w:szCs w:val="18"/>
        </w:rPr>
      </w:pPr>
    </w:p>
    <w:sectPr w:rsidRPr="00E7403C" w:rsidR="007626BB" w:rsidSect="00A6199C">
      <w:footerReference w:type="default" r:id="rId12"/>
      <w:pgSz w:w="15840" w:h="12240" w:orient="landscape" w:code="1"/>
      <w:pgMar w:top="1440" w:right="1440" w:bottom="1440" w:left="144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EB89" w14:textId="77777777" w:rsidR="00EF7D73" w:rsidRDefault="00EF7D73" w:rsidP="00AC25EB">
      <w:pPr>
        <w:spacing w:after="0" w:line="240" w:lineRule="auto"/>
      </w:pPr>
      <w:r>
        <w:separator/>
      </w:r>
    </w:p>
  </w:endnote>
  <w:endnote w:type="continuationSeparator" w:id="0">
    <w:p w14:paraId="2452F15E" w14:textId="77777777" w:rsidR="00EF7D73" w:rsidRDefault="00EF7D73" w:rsidP="00AC25EB">
      <w:pPr>
        <w:spacing w:after="0" w:line="240" w:lineRule="auto"/>
      </w:pPr>
      <w:r>
        <w:continuationSeparator/>
      </w:r>
    </w:p>
  </w:endnote>
  <w:endnote w:type="continuationNotice" w:id="1">
    <w:p w14:paraId="012EC25B" w14:textId="77777777" w:rsidR="00EF7D73" w:rsidRDefault="00EF7D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821621"/>
      <w:docPartObj>
        <w:docPartGallery w:val="Page Numbers (Bottom of Page)"/>
        <w:docPartUnique/>
      </w:docPartObj>
    </w:sdtPr>
    <w:sdtContent>
      <w:p w14:paraId="5D32B0E5" w14:textId="6784EE97" w:rsidR="004C7596" w:rsidRDefault="004C7596">
        <w:pPr>
          <w:pStyle w:val="Footer"/>
          <w:jc w:val="center"/>
        </w:pPr>
        <w:r>
          <w:fldChar w:fldCharType="begin"/>
        </w:r>
        <w:r>
          <w:instrText>PAGE   \* MERGEFORMAT</w:instrText>
        </w:r>
        <w:r>
          <w:fldChar w:fldCharType="separate"/>
        </w:r>
        <w:r>
          <w:t>2</w:t>
        </w:r>
        <w:r>
          <w:fldChar w:fldCharType="end"/>
        </w:r>
      </w:p>
    </w:sdtContent>
  </w:sdt>
  <w:p w14:paraId="0CB6D8CA" w14:textId="77777777" w:rsidR="004C7596" w:rsidRDefault="004C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F328" w14:textId="77777777" w:rsidR="00EF7D73" w:rsidRDefault="00EF7D73" w:rsidP="00AC25EB">
      <w:pPr>
        <w:spacing w:after="0" w:line="240" w:lineRule="auto"/>
      </w:pPr>
      <w:r>
        <w:separator/>
      </w:r>
    </w:p>
  </w:footnote>
  <w:footnote w:type="continuationSeparator" w:id="0">
    <w:p w14:paraId="49BE94BC" w14:textId="77777777" w:rsidR="00EF7D73" w:rsidRDefault="00EF7D73" w:rsidP="00AC25EB">
      <w:pPr>
        <w:spacing w:after="0" w:line="240" w:lineRule="auto"/>
      </w:pPr>
      <w:r>
        <w:continuationSeparator/>
      </w:r>
    </w:p>
  </w:footnote>
  <w:footnote w:type="continuationNotice" w:id="1">
    <w:p w14:paraId="152B193E" w14:textId="77777777" w:rsidR="00EF7D73" w:rsidRDefault="00EF7D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F39"/>
    <w:multiLevelType w:val="hybridMultilevel"/>
    <w:tmpl w:val="1E388CD0"/>
    <w:lvl w:ilvl="0" w:tplc="04130001">
      <w:numFmt w:val="bullet"/>
      <w:lvlText w:val=""/>
      <w:lvlJc w:val="left"/>
      <w:pPr>
        <w:ind w:left="360" w:hanging="360"/>
      </w:pPr>
      <w:rPr>
        <w:rFonts w:ascii="Symbol" w:eastAsia="Times New Roman" w:hAnsi="Symbol" w:cs="Times New Roman" w:hint="default"/>
        <w:i w:val="0"/>
      </w:rPr>
    </w:lvl>
    <w:lvl w:ilvl="1" w:tplc="04130003">
      <w:start w:val="1"/>
      <w:numFmt w:val="bullet"/>
      <w:lvlText w:val="o"/>
      <w:lvlJc w:val="left"/>
      <w:pPr>
        <w:ind w:left="785" w:hanging="360"/>
      </w:pPr>
      <w:rPr>
        <w:rFonts w:ascii="Courier New" w:hAnsi="Courier New" w:cs="Courier New" w:hint="default"/>
      </w:rPr>
    </w:lvl>
    <w:lvl w:ilvl="2" w:tplc="77F69F14">
      <w:start w:val="31"/>
      <w:numFmt w:val="bullet"/>
      <w:lvlText w:val="-"/>
      <w:lvlJc w:val="left"/>
      <w:pPr>
        <w:ind w:left="1800" w:hanging="36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1869F6"/>
    <w:multiLevelType w:val="hybridMultilevel"/>
    <w:tmpl w:val="717652FA"/>
    <w:lvl w:ilvl="0" w:tplc="F18E7E0E">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913B72"/>
    <w:multiLevelType w:val="hybridMultilevel"/>
    <w:tmpl w:val="6FC677E0"/>
    <w:lvl w:ilvl="0" w:tplc="8C26FE0A">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C4448C8"/>
    <w:multiLevelType w:val="hybridMultilevel"/>
    <w:tmpl w:val="BDA4D4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8F33118"/>
    <w:multiLevelType w:val="hybridMultilevel"/>
    <w:tmpl w:val="4A307B66"/>
    <w:lvl w:ilvl="0" w:tplc="60DEBD30">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3009B7"/>
    <w:multiLevelType w:val="hybridMultilevel"/>
    <w:tmpl w:val="6DFA6C66"/>
    <w:lvl w:ilvl="0" w:tplc="2FC648E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2F46FF5"/>
    <w:multiLevelType w:val="hybridMultilevel"/>
    <w:tmpl w:val="8A72D2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3CC5C82"/>
    <w:multiLevelType w:val="hybridMultilevel"/>
    <w:tmpl w:val="DA64AFC2"/>
    <w:lvl w:ilvl="0" w:tplc="2C8C7EC6">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182DB9"/>
    <w:multiLevelType w:val="hybridMultilevel"/>
    <w:tmpl w:val="DBFCE0B8"/>
    <w:lvl w:ilvl="0" w:tplc="64327084">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281327"/>
    <w:multiLevelType w:val="hybridMultilevel"/>
    <w:tmpl w:val="2C0E5E40"/>
    <w:lvl w:ilvl="0" w:tplc="1E7E0EC0">
      <w:numFmt w:val="bullet"/>
      <w:lvlText w:val="-"/>
      <w:lvlJc w:val="left"/>
      <w:pPr>
        <w:ind w:left="720" w:hanging="360"/>
      </w:pPr>
      <w:rPr>
        <w:rFonts w:ascii="Calibri" w:eastAsia="DengXi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37225849">
    <w:abstractNumId w:val="3"/>
  </w:num>
  <w:num w:numId="2" w16cid:durableId="1112288525">
    <w:abstractNumId w:val="9"/>
  </w:num>
  <w:num w:numId="3" w16cid:durableId="765267099">
    <w:abstractNumId w:val="9"/>
  </w:num>
  <w:num w:numId="4" w16cid:durableId="236594845">
    <w:abstractNumId w:val="0"/>
  </w:num>
  <w:num w:numId="5" w16cid:durableId="1207060857">
    <w:abstractNumId w:val="5"/>
  </w:num>
  <w:num w:numId="6" w16cid:durableId="1620333905">
    <w:abstractNumId w:val="6"/>
  </w:num>
  <w:num w:numId="7" w16cid:durableId="1639452865">
    <w:abstractNumId w:val="1"/>
  </w:num>
  <w:num w:numId="8" w16cid:durableId="327560441">
    <w:abstractNumId w:val="7"/>
  </w:num>
  <w:num w:numId="9" w16cid:durableId="304431990">
    <w:abstractNumId w:val="2"/>
  </w:num>
  <w:num w:numId="10" w16cid:durableId="961692543">
    <w:abstractNumId w:val="4"/>
  </w:num>
  <w:num w:numId="11" w16cid:durableId="554029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38"/>
    <w:rsid w:val="0000704C"/>
    <w:rsid w:val="00014BFE"/>
    <w:rsid w:val="000227E9"/>
    <w:rsid w:val="00036121"/>
    <w:rsid w:val="0004096F"/>
    <w:rsid w:val="00040A74"/>
    <w:rsid w:val="00043435"/>
    <w:rsid w:val="00057CB1"/>
    <w:rsid w:val="00067EEA"/>
    <w:rsid w:val="00081148"/>
    <w:rsid w:val="00084428"/>
    <w:rsid w:val="00084654"/>
    <w:rsid w:val="0008734C"/>
    <w:rsid w:val="00091272"/>
    <w:rsid w:val="00097657"/>
    <w:rsid w:val="00097887"/>
    <w:rsid w:val="000A58B2"/>
    <w:rsid w:val="000B288A"/>
    <w:rsid w:val="000B60A8"/>
    <w:rsid w:val="000B6666"/>
    <w:rsid w:val="000C023E"/>
    <w:rsid w:val="000C0ACC"/>
    <w:rsid w:val="000C5D84"/>
    <w:rsid w:val="000C7DB4"/>
    <w:rsid w:val="000E509F"/>
    <w:rsid w:val="000E5EE1"/>
    <w:rsid w:val="000F05AD"/>
    <w:rsid w:val="000F4E40"/>
    <w:rsid w:val="000F6032"/>
    <w:rsid w:val="000F7AF6"/>
    <w:rsid w:val="00103764"/>
    <w:rsid w:val="00112A4C"/>
    <w:rsid w:val="0011329F"/>
    <w:rsid w:val="00114301"/>
    <w:rsid w:val="00114650"/>
    <w:rsid w:val="00125D5B"/>
    <w:rsid w:val="00147E08"/>
    <w:rsid w:val="00152171"/>
    <w:rsid w:val="0015305D"/>
    <w:rsid w:val="00164394"/>
    <w:rsid w:val="0016647E"/>
    <w:rsid w:val="00172E06"/>
    <w:rsid w:val="00181CF3"/>
    <w:rsid w:val="00184AEF"/>
    <w:rsid w:val="0018550F"/>
    <w:rsid w:val="00187D40"/>
    <w:rsid w:val="00192882"/>
    <w:rsid w:val="001939DE"/>
    <w:rsid w:val="001A7F73"/>
    <w:rsid w:val="001B3245"/>
    <w:rsid w:val="001C1B0C"/>
    <w:rsid w:val="001C253F"/>
    <w:rsid w:val="001C357E"/>
    <w:rsid w:val="001C3D8E"/>
    <w:rsid w:val="001D04D3"/>
    <w:rsid w:val="001D3D85"/>
    <w:rsid w:val="001E19B3"/>
    <w:rsid w:val="001E3286"/>
    <w:rsid w:val="001E3415"/>
    <w:rsid w:val="001E67D0"/>
    <w:rsid w:val="001E6FEB"/>
    <w:rsid w:val="001EC29D"/>
    <w:rsid w:val="001F0C3D"/>
    <w:rsid w:val="001F0F48"/>
    <w:rsid w:val="001F16A1"/>
    <w:rsid w:val="001F1DFE"/>
    <w:rsid w:val="001F2EB1"/>
    <w:rsid w:val="001F5649"/>
    <w:rsid w:val="001F60D2"/>
    <w:rsid w:val="001F6398"/>
    <w:rsid w:val="00202381"/>
    <w:rsid w:val="00204D65"/>
    <w:rsid w:val="00207771"/>
    <w:rsid w:val="002137BE"/>
    <w:rsid w:val="0021468B"/>
    <w:rsid w:val="002155AF"/>
    <w:rsid w:val="00215C9E"/>
    <w:rsid w:val="00220812"/>
    <w:rsid w:val="00220DAF"/>
    <w:rsid w:val="00221A13"/>
    <w:rsid w:val="00221B09"/>
    <w:rsid w:val="0022215E"/>
    <w:rsid w:val="00226B21"/>
    <w:rsid w:val="00226D2F"/>
    <w:rsid w:val="00230488"/>
    <w:rsid w:val="00240CFD"/>
    <w:rsid w:val="002444E2"/>
    <w:rsid w:val="00244EE7"/>
    <w:rsid w:val="00250559"/>
    <w:rsid w:val="00252421"/>
    <w:rsid w:val="00253193"/>
    <w:rsid w:val="00254BC3"/>
    <w:rsid w:val="00254CE8"/>
    <w:rsid w:val="00257820"/>
    <w:rsid w:val="0026400C"/>
    <w:rsid w:val="00266AA8"/>
    <w:rsid w:val="00270357"/>
    <w:rsid w:val="002713DA"/>
    <w:rsid w:val="002723F9"/>
    <w:rsid w:val="00274549"/>
    <w:rsid w:val="002745A3"/>
    <w:rsid w:val="0028648D"/>
    <w:rsid w:val="0028686F"/>
    <w:rsid w:val="0029394B"/>
    <w:rsid w:val="00295D4F"/>
    <w:rsid w:val="002A10B2"/>
    <w:rsid w:val="002A4EC3"/>
    <w:rsid w:val="002B3D3E"/>
    <w:rsid w:val="002C3C2D"/>
    <w:rsid w:val="002C49A3"/>
    <w:rsid w:val="002D1158"/>
    <w:rsid w:val="002D19FC"/>
    <w:rsid w:val="002D5561"/>
    <w:rsid w:val="002D7F68"/>
    <w:rsid w:val="002F1491"/>
    <w:rsid w:val="002F47C4"/>
    <w:rsid w:val="002F4938"/>
    <w:rsid w:val="002F578B"/>
    <w:rsid w:val="00301756"/>
    <w:rsid w:val="00303420"/>
    <w:rsid w:val="003135F4"/>
    <w:rsid w:val="00320F29"/>
    <w:rsid w:val="00323BB9"/>
    <w:rsid w:val="0033174E"/>
    <w:rsid w:val="003358B3"/>
    <w:rsid w:val="00336517"/>
    <w:rsid w:val="003366EB"/>
    <w:rsid w:val="00340EA8"/>
    <w:rsid w:val="0034350E"/>
    <w:rsid w:val="003535B7"/>
    <w:rsid w:val="00353770"/>
    <w:rsid w:val="00360CAF"/>
    <w:rsid w:val="00372B06"/>
    <w:rsid w:val="00374209"/>
    <w:rsid w:val="00374FF2"/>
    <w:rsid w:val="0038136B"/>
    <w:rsid w:val="003838E7"/>
    <w:rsid w:val="00386F3F"/>
    <w:rsid w:val="003A2068"/>
    <w:rsid w:val="003A767C"/>
    <w:rsid w:val="003B135A"/>
    <w:rsid w:val="003B6596"/>
    <w:rsid w:val="003C2C77"/>
    <w:rsid w:val="003C3094"/>
    <w:rsid w:val="003D35A6"/>
    <w:rsid w:val="003D46E0"/>
    <w:rsid w:val="003E06B5"/>
    <w:rsid w:val="003E7748"/>
    <w:rsid w:val="003F0987"/>
    <w:rsid w:val="003F4086"/>
    <w:rsid w:val="004027EF"/>
    <w:rsid w:val="00404A3F"/>
    <w:rsid w:val="00410F79"/>
    <w:rsid w:val="004113CE"/>
    <w:rsid w:val="00412C4A"/>
    <w:rsid w:val="00413A94"/>
    <w:rsid w:val="004206CF"/>
    <w:rsid w:val="00424F09"/>
    <w:rsid w:val="0042798F"/>
    <w:rsid w:val="00430E41"/>
    <w:rsid w:val="00433F78"/>
    <w:rsid w:val="00434068"/>
    <w:rsid w:val="0043525F"/>
    <w:rsid w:val="004421BB"/>
    <w:rsid w:val="004424F4"/>
    <w:rsid w:val="0044355E"/>
    <w:rsid w:val="004532B9"/>
    <w:rsid w:val="00453D0F"/>
    <w:rsid w:val="0045427C"/>
    <w:rsid w:val="004571E4"/>
    <w:rsid w:val="00457F6C"/>
    <w:rsid w:val="00470DBD"/>
    <w:rsid w:val="004733CB"/>
    <w:rsid w:val="00474312"/>
    <w:rsid w:val="004A67B3"/>
    <w:rsid w:val="004B6DB1"/>
    <w:rsid w:val="004C7596"/>
    <w:rsid w:val="004D4339"/>
    <w:rsid w:val="004D7B56"/>
    <w:rsid w:val="004E5ABD"/>
    <w:rsid w:val="004E73C0"/>
    <w:rsid w:val="004F1642"/>
    <w:rsid w:val="004F3643"/>
    <w:rsid w:val="004F4BA9"/>
    <w:rsid w:val="005020AE"/>
    <w:rsid w:val="005161A7"/>
    <w:rsid w:val="005223B2"/>
    <w:rsid w:val="00524701"/>
    <w:rsid w:val="00531089"/>
    <w:rsid w:val="00533C56"/>
    <w:rsid w:val="00533F7D"/>
    <w:rsid w:val="0054141B"/>
    <w:rsid w:val="005417DC"/>
    <w:rsid w:val="00541EA6"/>
    <w:rsid w:val="00547102"/>
    <w:rsid w:val="00554D1E"/>
    <w:rsid w:val="0056050D"/>
    <w:rsid w:val="0056089F"/>
    <w:rsid w:val="00561E0A"/>
    <w:rsid w:val="0056361E"/>
    <w:rsid w:val="00563FCA"/>
    <w:rsid w:val="00567BB0"/>
    <w:rsid w:val="00570B56"/>
    <w:rsid w:val="00571891"/>
    <w:rsid w:val="00582FCF"/>
    <w:rsid w:val="005842B3"/>
    <w:rsid w:val="0058746E"/>
    <w:rsid w:val="00587E0D"/>
    <w:rsid w:val="00594700"/>
    <w:rsid w:val="00595836"/>
    <w:rsid w:val="005A2685"/>
    <w:rsid w:val="005A7560"/>
    <w:rsid w:val="005B3834"/>
    <w:rsid w:val="005B4DEB"/>
    <w:rsid w:val="005E591B"/>
    <w:rsid w:val="005E5BE7"/>
    <w:rsid w:val="005F101B"/>
    <w:rsid w:val="005F4752"/>
    <w:rsid w:val="00600B13"/>
    <w:rsid w:val="00614064"/>
    <w:rsid w:val="0062222B"/>
    <w:rsid w:val="00627F39"/>
    <w:rsid w:val="00633FFD"/>
    <w:rsid w:val="00636313"/>
    <w:rsid w:val="006410BB"/>
    <w:rsid w:val="00643FED"/>
    <w:rsid w:val="00652001"/>
    <w:rsid w:val="0065546D"/>
    <w:rsid w:val="00655F2E"/>
    <w:rsid w:val="006569B4"/>
    <w:rsid w:val="006663D1"/>
    <w:rsid w:val="0067033A"/>
    <w:rsid w:val="00670861"/>
    <w:rsid w:val="00675FFB"/>
    <w:rsid w:val="00676D66"/>
    <w:rsid w:val="00677C39"/>
    <w:rsid w:val="00677C5C"/>
    <w:rsid w:val="00681A7D"/>
    <w:rsid w:val="00681A80"/>
    <w:rsid w:val="006842C7"/>
    <w:rsid w:val="00694B4D"/>
    <w:rsid w:val="00696BF4"/>
    <w:rsid w:val="00697544"/>
    <w:rsid w:val="006A1D22"/>
    <w:rsid w:val="006A6E24"/>
    <w:rsid w:val="006B027F"/>
    <w:rsid w:val="006B6181"/>
    <w:rsid w:val="006B6A5F"/>
    <w:rsid w:val="006C2AAB"/>
    <w:rsid w:val="006C6AAC"/>
    <w:rsid w:val="006D1283"/>
    <w:rsid w:val="006D1B86"/>
    <w:rsid w:val="006D2241"/>
    <w:rsid w:val="006D295D"/>
    <w:rsid w:val="006D3017"/>
    <w:rsid w:val="006D776F"/>
    <w:rsid w:val="006D7F9A"/>
    <w:rsid w:val="006E0C9A"/>
    <w:rsid w:val="006E3336"/>
    <w:rsid w:val="006E4490"/>
    <w:rsid w:val="006E5245"/>
    <w:rsid w:val="006E5595"/>
    <w:rsid w:val="006F0AA8"/>
    <w:rsid w:val="006F646A"/>
    <w:rsid w:val="00701439"/>
    <w:rsid w:val="00705DDC"/>
    <w:rsid w:val="007112C9"/>
    <w:rsid w:val="0072459F"/>
    <w:rsid w:val="00724965"/>
    <w:rsid w:val="0072527C"/>
    <w:rsid w:val="00736C43"/>
    <w:rsid w:val="00751C95"/>
    <w:rsid w:val="00754E23"/>
    <w:rsid w:val="00755D91"/>
    <w:rsid w:val="007562D1"/>
    <w:rsid w:val="007626BB"/>
    <w:rsid w:val="00762B9E"/>
    <w:rsid w:val="00772E90"/>
    <w:rsid w:val="00777CFC"/>
    <w:rsid w:val="00780EF8"/>
    <w:rsid w:val="0078176B"/>
    <w:rsid w:val="00783309"/>
    <w:rsid w:val="00785220"/>
    <w:rsid w:val="007917F3"/>
    <w:rsid w:val="00793D75"/>
    <w:rsid w:val="00794901"/>
    <w:rsid w:val="007A3C8E"/>
    <w:rsid w:val="007B2482"/>
    <w:rsid w:val="007B428E"/>
    <w:rsid w:val="007C0227"/>
    <w:rsid w:val="007D4F71"/>
    <w:rsid w:val="007E2DE3"/>
    <w:rsid w:val="007E471B"/>
    <w:rsid w:val="007E5404"/>
    <w:rsid w:val="007E66AF"/>
    <w:rsid w:val="007E6DD2"/>
    <w:rsid w:val="007F0FF9"/>
    <w:rsid w:val="007F412E"/>
    <w:rsid w:val="008038EC"/>
    <w:rsid w:val="0080499B"/>
    <w:rsid w:val="00814BE0"/>
    <w:rsid w:val="00822EFA"/>
    <w:rsid w:val="0082424B"/>
    <w:rsid w:val="0084621D"/>
    <w:rsid w:val="00847D1C"/>
    <w:rsid w:val="0085462C"/>
    <w:rsid w:val="00855F98"/>
    <w:rsid w:val="00860EA0"/>
    <w:rsid w:val="00864A77"/>
    <w:rsid w:val="00865CD3"/>
    <w:rsid w:val="00873E2F"/>
    <w:rsid w:val="00875EBC"/>
    <w:rsid w:val="00881117"/>
    <w:rsid w:val="00884947"/>
    <w:rsid w:val="00894EE4"/>
    <w:rsid w:val="008958FC"/>
    <w:rsid w:val="008B5FEE"/>
    <w:rsid w:val="008C2C05"/>
    <w:rsid w:val="008C53AF"/>
    <w:rsid w:val="008C7F6A"/>
    <w:rsid w:val="008D114B"/>
    <w:rsid w:val="008D3D4E"/>
    <w:rsid w:val="008E2040"/>
    <w:rsid w:val="008F38D7"/>
    <w:rsid w:val="008F5972"/>
    <w:rsid w:val="009006C0"/>
    <w:rsid w:val="00902825"/>
    <w:rsid w:val="00903788"/>
    <w:rsid w:val="00912FA9"/>
    <w:rsid w:val="0091558E"/>
    <w:rsid w:val="00917528"/>
    <w:rsid w:val="00917ECB"/>
    <w:rsid w:val="009213E8"/>
    <w:rsid w:val="00925575"/>
    <w:rsid w:val="00925C9F"/>
    <w:rsid w:val="009311B2"/>
    <w:rsid w:val="00937426"/>
    <w:rsid w:val="0094351C"/>
    <w:rsid w:val="00943930"/>
    <w:rsid w:val="00954010"/>
    <w:rsid w:val="00966FA5"/>
    <w:rsid w:val="00976990"/>
    <w:rsid w:val="00977A22"/>
    <w:rsid w:val="00982661"/>
    <w:rsid w:val="00987C31"/>
    <w:rsid w:val="00990B81"/>
    <w:rsid w:val="00994300"/>
    <w:rsid w:val="009A397F"/>
    <w:rsid w:val="009B1C97"/>
    <w:rsid w:val="009B5443"/>
    <w:rsid w:val="009B750B"/>
    <w:rsid w:val="009C2838"/>
    <w:rsid w:val="009C7DFE"/>
    <w:rsid w:val="009D5EF4"/>
    <w:rsid w:val="009D7F56"/>
    <w:rsid w:val="009E18DF"/>
    <w:rsid w:val="009E1F4F"/>
    <w:rsid w:val="009E7360"/>
    <w:rsid w:val="009F6C7A"/>
    <w:rsid w:val="009F6E16"/>
    <w:rsid w:val="009F74BA"/>
    <w:rsid w:val="00A0151C"/>
    <w:rsid w:val="00A06104"/>
    <w:rsid w:val="00A13C0C"/>
    <w:rsid w:val="00A1573C"/>
    <w:rsid w:val="00A15AD0"/>
    <w:rsid w:val="00A223EB"/>
    <w:rsid w:val="00A27D87"/>
    <w:rsid w:val="00A31CC3"/>
    <w:rsid w:val="00A342BC"/>
    <w:rsid w:val="00A374CA"/>
    <w:rsid w:val="00A41BFF"/>
    <w:rsid w:val="00A44C12"/>
    <w:rsid w:val="00A4551E"/>
    <w:rsid w:val="00A46B0F"/>
    <w:rsid w:val="00A47E64"/>
    <w:rsid w:val="00A6199C"/>
    <w:rsid w:val="00A6214D"/>
    <w:rsid w:val="00A661BD"/>
    <w:rsid w:val="00A676C4"/>
    <w:rsid w:val="00A731F5"/>
    <w:rsid w:val="00A77160"/>
    <w:rsid w:val="00A84DE2"/>
    <w:rsid w:val="00A8521C"/>
    <w:rsid w:val="00A95D20"/>
    <w:rsid w:val="00AA026C"/>
    <w:rsid w:val="00AB153F"/>
    <w:rsid w:val="00AB4E76"/>
    <w:rsid w:val="00AC25EB"/>
    <w:rsid w:val="00AC390B"/>
    <w:rsid w:val="00AC6D16"/>
    <w:rsid w:val="00AD0EEE"/>
    <w:rsid w:val="00AE0F77"/>
    <w:rsid w:val="00AE2A98"/>
    <w:rsid w:val="00AE70D8"/>
    <w:rsid w:val="00AF2ECB"/>
    <w:rsid w:val="00AF5427"/>
    <w:rsid w:val="00B0595E"/>
    <w:rsid w:val="00B06E9A"/>
    <w:rsid w:val="00B13D44"/>
    <w:rsid w:val="00B259C8"/>
    <w:rsid w:val="00B361DE"/>
    <w:rsid w:val="00B365E5"/>
    <w:rsid w:val="00B37425"/>
    <w:rsid w:val="00B420FE"/>
    <w:rsid w:val="00B42413"/>
    <w:rsid w:val="00B44155"/>
    <w:rsid w:val="00B45DF6"/>
    <w:rsid w:val="00B47877"/>
    <w:rsid w:val="00B5077A"/>
    <w:rsid w:val="00B7473D"/>
    <w:rsid w:val="00B74882"/>
    <w:rsid w:val="00B92E8E"/>
    <w:rsid w:val="00B94E9E"/>
    <w:rsid w:val="00BA00CA"/>
    <w:rsid w:val="00BA18EC"/>
    <w:rsid w:val="00BA1B3E"/>
    <w:rsid w:val="00BA626D"/>
    <w:rsid w:val="00BA7348"/>
    <w:rsid w:val="00BB21DC"/>
    <w:rsid w:val="00BB40D2"/>
    <w:rsid w:val="00BB42C6"/>
    <w:rsid w:val="00BC004E"/>
    <w:rsid w:val="00BC290C"/>
    <w:rsid w:val="00BC6276"/>
    <w:rsid w:val="00BD011B"/>
    <w:rsid w:val="00BD3D6D"/>
    <w:rsid w:val="00BD66BC"/>
    <w:rsid w:val="00BD7324"/>
    <w:rsid w:val="00BF0BAE"/>
    <w:rsid w:val="00BF131B"/>
    <w:rsid w:val="00BF5ABA"/>
    <w:rsid w:val="00BF6E0E"/>
    <w:rsid w:val="00BF7BEC"/>
    <w:rsid w:val="00C04F0D"/>
    <w:rsid w:val="00C122B6"/>
    <w:rsid w:val="00C21457"/>
    <w:rsid w:val="00C24DE9"/>
    <w:rsid w:val="00C265CB"/>
    <w:rsid w:val="00C32E91"/>
    <w:rsid w:val="00C341F9"/>
    <w:rsid w:val="00C51F1E"/>
    <w:rsid w:val="00C538B1"/>
    <w:rsid w:val="00C56F00"/>
    <w:rsid w:val="00C61064"/>
    <w:rsid w:val="00C61445"/>
    <w:rsid w:val="00C62DCE"/>
    <w:rsid w:val="00C64517"/>
    <w:rsid w:val="00C65CFB"/>
    <w:rsid w:val="00C7338B"/>
    <w:rsid w:val="00C77332"/>
    <w:rsid w:val="00C81D6B"/>
    <w:rsid w:val="00C85C38"/>
    <w:rsid w:val="00C863DA"/>
    <w:rsid w:val="00C92E92"/>
    <w:rsid w:val="00C94036"/>
    <w:rsid w:val="00C97EF8"/>
    <w:rsid w:val="00CA1974"/>
    <w:rsid w:val="00CB0EC5"/>
    <w:rsid w:val="00CB6CC8"/>
    <w:rsid w:val="00CB7468"/>
    <w:rsid w:val="00CC6888"/>
    <w:rsid w:val="00CC6C20"/>
    <w:rsid w:val="00CD1C71"/>
    <w:rsid w:val="00CD3319"/>
    <w:rsid w:val="00CE0CA3"/>
    <w:rsid w:val="00CE3924"/>
    <w:rsid w:val="00CE3F7B"/>
    <w:rsid w:val="00CE613C"/>
    <w:rsid w:val="00CF10C3"/>
    <w:rsid w:val="00CF2BAE"/>
    <w:rsid w:val="00D01897"/>
    <w:rsid w:val="00D05568"/>
    <w:rsid w:val="00D10CB6"/>
    <w:rsid w:val="00D1697F"/>
    <w:rsid w:val="00D228B3"/>
    <w:rsid w:val="00D2296B"/>
    <w:rsid w:val="00D253E4"/>
    <w:rsid w:val="00D2717F"/>
    <w:rsid w:val="00D27F78"/>
    <w:rsid w:val="00D36E02"/>
    <w:rsid w:val="00D453EC"/>
    <w:rsid w:val="00D4753B"/>
    <w:rsid w:val="00D47B5B"/>
    <w:rsid w:val="00D60DFA"/>
    <w:rsid w:val="00D64BC8"/>
    <w:rsid w:val="00D66822"/>
    <w:rsid w:val="00D70F26"/>
    <w:rsid w:val="00D73B8C"/>
    <w:rsid w:val="00D74DBE"/>
    <w:rsid w:val="00D80450"/>
    <w:rsid w:val="00D85645"/>
    <w:rsid w:val="00D86072"/>
    <w:rsid w:val="00D92103"/>
    <w:rsid w:val="00D92CF5"/>
    <w:rsid w:val="00D975D6"/>
    <w:rsid w:val="00D97B63"/>
    <w:rsid w:val="00DA0272"/>
    <w:rsid w:val="00DB1B65"/>
    <w:rsid w:val="00DB4ACA"/>
    <w:rsid w:val="00DC03C8"/>
    <w:rsid w:val="00DC06F7"/>
    <w:rsid w:val="00DC442F"/>
    <w:rsid w:val="00DD1E71"/>
    <w:rsid w:val="00DD3B48"/>
    <w:rsid w:val="00DD5284"/>
    <w:rsid w:val="00DD5968"/>
    <w:rsid w:val="00DE0FE6"/>
    <w:rsid w:val="00DF1DD6"/>
    <w:rsid w:val="00DF2924"/>
    <w:rsid w:val="00E10FD9"/>
    <w:rsid w:val="00E3437B"/>
    <w:rsid w:val="00E42A78"/>
    <w:rsid w:val="00E51284"/>
    <w:rsid w:val="00E57E47"/>
    <w:rsid w:val="00E629E6"/>
    <w:rsid w:val="00E719DC"/>
    <w:rsid w:val="00E7403C"/>
    <w:rsid w:val="00E75E24"/>
    <w:rsid w:val="00E76CBA"/>
    <w:rsid w:val="00E81F11"/>
    <w:rsid w:val="00E910D3"/>
    <w:rsid w:val="00E95384"/>
    <w:rsid w:val="00EA05F0"/>
    <w:rsid w:val="00EA1C7B"/>
    <w:rsid w:val="00EC13A8"/>
    <w:rsid w:val="00EC3210"/>
    <w:rsid w:val="00ED0DCC"/>
    <w:rsid w:val="00EE198C"/>
    <w:rsid w:val="00EE2745"/>
    <w:rsid w:val="00EE2FD5"/>
    <w:rsid w:val="00EE385E"/>
    <w:rsid w:val="00EF0170"/>
    <w:rsid w:val="00EF3BC4"/>
    <w:rsid w:val="00EF3D0A"/>
    <w:rsid w:val="00EF7D73"/>
    <w:rsid w:val="00F06624"/>
    <w:rsid w:val="00F12374"/>
    <w:rsid w:val="00F145AE"/>
    <w:rsid w:val="00F15555"/>
    <w:rsid w:val="00F17F2E"/>
    <w:rsid w:val="00F21EF0"/>
    <w:rsid w:val="00F2227D"/>
    <w:rsid w:val="00F2357F"/>
    <w:rsid w:val="00F32719"/>
    <w:rsid w:val="00F45DA4"/>
    <w:rsid w:val="00F52554"/>
    <w:rsid w:val="00F7233C"/>
    <w:rsid w:val="00F732F1"/>
    <w:rsid w:val="00F74C95"/>
    <w:rsid w:val="00F9223A"/>
    <w:rsid w:val="00F9694F"/>
    <w:rsid w:val="00FA1677"/>
    <w:rsid w:val="00FA45ED"/>
    <w:rsid w:val="00FA4AFC"/>
    <w:rsid w:val="00FB03B6"/>
    <w:rsid w:val="00FB2D94"/>
    <w:rsid w:val="00FB4906"/>
    <w:rsid w:val="00FB7804"/>
    <w:rsid w:val="00FC5107"/>
    <w:rsid w:val="00FC6D6C"/>
    <w:rsid w:val="00FD4829"/>
    <w:rsid w:val="00FE049F"/>
    <w:rsid w:val="00FE1CE8"/>
    <w:rsid w:val="00FE733A"/>
    <w:rsid w:val="00FF2DF0"/>
    <w:rsid w:val="00FF3693"/>
    <w:rsid w:val="00FF5597"/>
    <w:rsid w:val="16111C7E"/>
    <w:rsid w:val="161F098E"/>
    <w:rsid w:val="21CC8AC8"/>
    <w:rsid w:val="30CDB650"/>
    <w:rsid w:val="4029C653"/>
    <w:rsid w:val="795B51B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DE840"/>
  <w14:defaultImageDpi w14:val="0"/>
  <w15:docId w15:val="{CA475D71-A827-4287-986F-200F361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7102"/>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C97E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7102"/>
    <w:rPr>
      <w:rFonts w:ascii="Times New Roman" w:hAnsi="Times New Roman" w:cs="Times New Roman"/>
      <w:b/>
      <w:bCs/>
      <w:kern w:val="36"/>
      <w:sz w:val="48"/>
      <w:szCs w:val="48"/>
    </w:rPr>
  </w:style>
  <w:style w:type="table" w:styleId="TableGrid">
    <w:name w:val="Table Grid"/>
    <w:basedOn w:val="TableNormal"/>
    <w:uiPriority w:val="39"/>
    <w:rsid w:val="009C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FCA"/>
    <w:rPr>
      <w:sz w:val="16"/>
      <w:szCs w:val="16"/>
    </w:rPr>
  </w:style>
  <w:style w:type="paragraph" w:styleId="CommentText">
    <w:name w:val="annotation text"/>
    <w:basedOn w:val="Normal"/>
    <w:link w:val="CommentTextChar"/>
    <w:uiPriority w:val="99"/>
    <w:unhideWhenUsed/>
    <w:rsid w:val="00563FCA"/>
    <w:pPr>
      <w:spacing w:line="240" w:lineRule="auto"/>
    </w:pPr>
    <w:rPr>
      <w:sz w:val="20"/>
      <w:szCs w:val="20"/>
    </w:rPr>
  </w:style>
  <w:style w:type="character" w:customStyle="1" w:styleId="CommentTextChar">
    <w:name w:val="Comment Text Char"/>
    <w:basedOn w:val="DefaultParagraphFont"/>
    <w:link w:val="CommentText"/>
    <w:uiPriority w:val="99"/>
    <w:rsid w:val="00563FCA"/>
    <w:rPr>
      <w:sz w:val="20"/>
      <w:szCs w:val="20"/>
    </w:rPr>
  </w:style>
  <w:style w:type="paragraph" w:styleId="CommentSubject">
    <w:name w:val="annotation subject"/>
    <w:basedOn w:val="CommentText"/>
    <w:next w:val="CommentText"/>
    <w:link w:val="CommentSubjectChar"/>
    <w:uiPriority w:val="99"/>
    <w:semiHidden/>
    <w:unhideWhenUsed/>
    <w:rsid w:val="00563FCA"/>
    <w:rPr>
      <w:b/>
      <w:bCs/>
    </w:rPr>
  </w:style>
  <w:style w:type="character" w:customStyle="1" w:styleId="CommentSubjectChar">
    <w:name w:val="Comment Subject Char"/>
    <w:basedOn w:val="CommentTextChar"/>
    <w:link w:val="CommentSubject"/>
    <w:uiPriority w:val="99"/>
    <w:semiHidden/>
    <w:rsid w:val="00563FCA"/>
    <w:rPr>
      <w:b/>
      <w:bCs/>
      <w:sz w:val="20"/>
      <w:szCs w:val="20"/>
    </w:rPr>
  </w:style>
  <w:style w:type="paragraph" w:styleId="Revision">
    <w:name w:val="Revision"/>
    <w:hidden/>
    <w:uiPriority w:val="99"/>
    <w:semiHidden/>
    <w:rsid w:val="00CB0EC5"/>
    <w:pPr>
      <w:spacing w:after="0" w:line="240" w:lineRule="auto"/>
    </w:pPr>
  </w:style>
  <w:style w:type="paragraph" w:styleId="FootnoteText">
    <w:name w:val="footnote text"/>
    <w:basedOn w:val="Normal"/>
    <w:link w:val="FootnoteTextChar"/>
    <w:uiPriority w:val="99"/>
    <w:semiHidden/>
    <w:unhideWhenUsed/>
    <w:rsid w:val="00AC25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5EB"/>
    <w:rPr>
      <w:sz w:val="20"/>
      <w:szCs w:val="20"/>
    </w:rPr>
  </w:style>
  <w:style w:type="character" w:styleId="FootnoteReference">
    <w:name w:val="footnote reference"/>
    <w:basedOn w:val="DefaultParagraphFont"/>
    <w:uiPriority w:val="99"/>
    <w:semiHidden/>
    <w:unhideWhenUsed/>
    <w:rsid w:val="00AC25EB"/>
    <w:rPr>
      <w:vertAlign w:val="superscript"/>
    </w:rPr>
  </w:style>
  <w:style w:type="character" w:styleId="Hyperlink">
    <w:name w:val="Hyperlink"/>
    <w:basedOn w:val="DefaultParagraphFont"/>
    <w:uiPriority w:val="99"/>
    <w:unhideWhenUsed/>
    <w:rsid w:val="00187D40"/>
    <w:rPr>
      <w:color w:val="0563C1"/>
      <w:u w:val="single"/>
    </w:rPr>
  </w:style>
  <w:style w:type="paragraph" w:styleId="Header">
    <w:name w:val="header"/>
    <w:basedOn w:val="Normal"/>
    <w:link w:val="HeaderChar"/>
    <w:uiPriority w:val="99"/>
    <w:unhideWhenUsed/>
    <w:rsid w:val="004C7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596"/>
  </w:style>
  <w:style w:type="paragraph" w:styleId="Footer">
    <w:name w:val="footer"/>
    <w:basedOn w:val="Normal"/>
    <w:link w:val="FooterChar"/>
    <w:uiPriority w:val="99"/>
    <w:unhideWhenUsed/>
    <w:rsid w:val="004C7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596"/>
  </w:style>
  <w:style w:type="character" w:customStyle="1" w:styleId="cf01">
    <w:name w:val="cf01"/>
    <w:basedOn w:val="DefaultParagraphFont"/>
    <w:rsid w:val="00B0595E"/>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C97EF8"/>
    <w:rPr>
      <w:rFonts w:asciiTheme="majorHAnsi" w:eastAsiaTheme="majorEastAsia" w:hAnsiTheme="majorHAnsi" w:cstheme="majorBidi"/>
      <w:color w:val="1F3763" w:themeColor="accent1" w:themeShade="7F"/>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2155AF"/>
    <w:pPr>
      <w:spacing w:after="0" w:line="240" w:lineRule="atLeast"/>
      <w:ind w:left="720"/>
      <w:contextualSpacing/>
    </w:pPr>
    <w:rPr>
      <w:rFonts w:ascii="Verdana" w:eastAsia="Times New Roman" w:hAnsi="Verdana"/>
      <w:sz w:val="18"/>
      <w:szCs w:val="24"/>
    </w:rPr>
  </w:style>
  <w:style w:type="character" w:styleId="Emphasis">
    <w:name w:val="Emphasis"/>
    <w:basedOn w:val="DefaultParagraphFont"/>
    <w:qFormat/>
    <w:rsid w:val="002155AF"/>
    <w:rPr>
      <w:rFonts w:ascii="Verdana" w:hAnsi="Verdana"/>
      <w:i w:val="0"/>
      <w:iCs/>
      <w:sz w:val="18"/>
    </w:rPr>
  </w:style>
  <w:style w:type="character" w:styleId="UnresolvedMention">
    <w:name w:val="Unresolved Mention"/>
    <w:basedOn w:val="DefaultParagraphFont"/>
    <w:uiPriority w:val="99"/>
    <w:semiHidden/>
    <w:unhideWhenUsed/>
    <w:rsid w:val="006A1D22"/>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F145AE"/>
    <w:rPr>
      <w:rFonts w:ascii="Verdana" w:eastAsia="Times New Roman"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2788">
      <w:bodyDiv w:val="1"/>
      <w:marLeft w:val="0"/>
      <w:marRight w:val="0"/>
      <w:marTop w:val="0"/>
      <w:marBottom w:val="0"/>
      <w:divBdr>
        <w:top w:val="none" w:sz="0" w:space="0" w:color="auto"/>
        <w:left w:val="none" w:sz="0" w:space="0" w:color="auto"/>
        <w:bottom w:val="none" w:sz="0" w:space="0" w:color="auto"/>
        <w:right w:val="none" w:sz="0" w:space="0" w:color="auto"/>
      </w:divBdr>
    </w:div>
    <w:div w:id="104270198">
      <w:bodyDiv w:val="1"/>
      <w:marLeft w:val="0"/>
      <w:marRight w:val="0"/>
      <w:marTop w:val="0"/>
      <w:marBottom w:val="0"/>
      <w:divBdr>
        <w:top w:val="none" w:sz="0" w:space="0" w:color="auto"/>
        <w:left w:val="none" w:sz="0" w:space="0" w:color="auto"/>
        <w:bottom w:val="none" w:sz="0" w:space="0" w:color="auto"/>
        <w:right w:val="none" w:sz="0" w:space="0" w:color="auto"/>
      </w:divBdr>
    </w:div>
    <w:div w:id="139544468">
      <w:bodyDiv w:val="1"/>
      <w:marLeft w:val="0"/>
      <w:marRight w:val="0"/>
      <w:marTop w:val="0"/>
      <w:marBottom w:val="0"/>
      <w:divBdr>
        <w:top w:val="none" w:sz="0" w:space="0" w:color="auto"/>
        <w:left w:val="none" w:sz="0" w:space="0" w:color="auto"/>
        <w:bottom w:val="none" w:sz="0" w:space="0" w:color="auto"/>
        <w:right w:val="none" w:sz="0" w:space="0" w:color="auto"/>
      </w:divBdr>
    </w:div>
    <w:div w:id="297106241">
      <w:bodyDiv w:val="1"/>
      <w:marLeft w:val="0"/>
      <w:marRight w:val="0"/>
      <w:marTop w:val="0"/>
      <w:marBottom w:val="0"/>
      <w:divBdr>
        <w:top w:val="none" w:sz="0" w:space="0" w:color="auto"/>
        <w:left w:val="none" w:sz="0" w:space="0" w:color="auto"/>
        <w:bottom w:val="none" w:sz="0" w:space="0" w:color="auto"/>
        <w:right w:val="none" w:sz="0" w:space="0" w:color="auto"/>
      </w:divBdr>
    </w:div>
    <w:div w:id="310644576">
      <w:bodyDiv w:val="1"/>
      <w:marLeft w:val="0"/>
      <w:marRight w:val="0"/>
      <w:marTop w:val="0"/>
      <w:marBottom w:val="0"/>
      <w:divBdr>
        <w:top w:val="none" w:sz="0" w:space="0" w:color="auto"/>
        <w:left w:val="none" w:sz="0" w:space="0" w:color="auto"/>
        <w:bottom w:val="none" w:sz="0" w:space="0" w:color="auto"/>
        <w:right w:val="none" w:sz="0" w:space="0" w:color="auto"/>
      </w:divBdr>
    </w:div>
    <w:div w:id="328797489">
      <w:bodyDiv w:val="1"/>
      <w:marLeft w:val="0"/>
      <w:marRight w:val="0"/>
      <w:marTop w:val="0"/>
      <w:marBottom w:val="0"/>
      <w:divBdr>
        <w:top w:val="none" w:sz="0" w:space="0" w:color="auto"/>
        <w:left w:val="none" w:sz="0" w:space="0" w:color="auto"/>
        <w:bottom w:val="none" w:sz="0" w:space="0" w:color="auto"/>
        <w:right w:val="none" w:sz="0" w:space="0" w:color="auto"/>
      </w:divBdr>
    </w:div>
    <w:div w:id="414253847">
      <w:bodyDiv w:val="1"/>
      <w:marLeft w:val="0"/>
      <w:marRight w:val="0"/>
      <w:marTop w:val="0"/>
      <w:marBottom w:val="0"/>
      <w:divBdr>
        <w:top w:val="none" w:sz="0" w:space="0" w:color="auto"/>
        <w:left w:val="none" w:sz="0" w:space="0" w:color="auto"/>
        <w:bottom w:val="none" w:sz="0" w:space="0" w:color="auto"/>
        <w:right w:val="none" w:sz="0" w:space="0" w:color="auto"/>
      </w:divBdr>
    </w:div>
    <w:div w:id="522062565">
      <w:bodyDiv w:val="1"/>
      <w:marLeft w:val="0"/>
      <w:marRight w:val="0"/>
      <w:marTop w:val="0"/>
      <w:marBottom w:val="0"/>
      <w:divBdr>
        <w:top w:val="none" w:sz="0" w:space="0" w:color="auto"/>
        <w:left w:val="none" w:sz="0" w:space="0" w:color="auto"/>
        <w:bottom w:val="none" w:sz="0" w:space="0" w:color="auto"/>
        <w:right w:val="none" w:sz="0" w:space="0" w:color="auto"/>
      </w:divBdr>
    </w:div>
    <w:div w:id="537670465">
      <w:bodyDiv w:val="1"/>
      <w:marLeft w:val="0"/>
      <w:marRight w:val="0"/>
      <w:marTop w:val="0"/>
      <w:marBottom w:val="0"/>
      <w:divBdr>
        <w:top w:val="none" w:sz="0" w:space="0" w:color="auto"/>
        <w:left w:val="none" w:sz="0" w:space="0" w:color="auto"/>
        <w:bottom w:val="none" w:sz="0" w:space="0" w:color="auto"/>
        <w:right w:val="none" w:sz="0" w:space="0" w:color="auto"/>
      </w:divBdr>
    </w:div>
    <w:div w:id="567885515">
      <w:bodyDiv w:val="1"/>
      <w:marLeft w:val="0"/>
      <w:marRight w:val="0"/>
      <w:marTop w:val="0"/>
      <w:marBottom w:val="0"/>
      <w:divBdr>
        <w:top w:val="none" w:sz="0" w:space="0" w:color="auto"/>
        <w:left w:val="none" w:sz="0" w:space="0" w:color="auto"/>
        <w:bottom w:val="none" w:sz="0" w:space="0" w:color="auto"/>
        <w:right w:val="none" w:sz="0" w:space="0" w:color="auto"/>
      </w:divBdr>
    </w:div>
    <w:div w:id="580600409">
      <w:bodyDiv w:val="1"/>
      <w:marLeft w:val="0"/>
      <w:marRight w:val="0"/>
      <w:marTop w:val="0"/>
      <w:marBottom w:val="0"/>
      <w:divBdr>
        <w:top w:val="none" w:sz="0" w:space="0" w:color="auto"/>
        <w:left w:val="none" w:sz="0" w:space="0" w:color="auto"/>
        <w:bottom w:val="none" w:sz="0" w:space="0" w:color="auto"/>
        <w:right w:val="none" w:sz="0" w:space="0" w:color="auto"/>
      </w:divBdr>
    </w:div>
    <w:div w:id="653603751">
      <w:marLeft w:val="0"/>
      <w:marRight w:val="0"/>
      <w:marTop w:val="0"/>
      <w:marBottom w:val="0"/>
      <w:divBdr>
        <w:top w:val="none" w:sz="0" w:space="0" w:color="auto"/>
        <w:left w:val="none" w:sz="0" w:space="0" w:color="auto"/>
        <w:bottom w:val="none" w:sz="0" w:space="0" w:color="auto"/>
        <w:right w:val="none" w:sz="0" w:space="0" w:color="auto"/>
      </w:divBdr>
    </w:div>
    <w:div w:id="718238968">
      <w:bodyDiv w:val="1"/>
      <w:marLeft w:val="0"/>
      <w:marRight w:val="0"/>
      <w:marTop w:val="0"/>
      <w:marBottom w:val="0"/>
      <w:divBdr>
        <w:top w:val="none" w:sz="0" w:space="0" w:color="auto"/>
        <w:left w:val="none" w:sz="0" w:space="0" w:color="auto"/>
        <w:bottom w:val="none" w:sz="0" w:space="0" w:color="auto"/>
        <w:right w:val="none" w:sz="0" w:space="0" w:color="auto"/>
      </w:divBdr>
    </w:div>
    <w:div w:id="881677034">
      <w:bodyDiv w:val="1"/>
      <w:marLeft w:val="0"/>
      <w:marRight w:val="0"/>
      <w:marTop w:val="0"/>
      <w:marBottom w:val="0"/>
      <w:divBdr>
        <w:top w:val="none" w:sz="0" w:space="0" w:color="auto"/>
        <w:left w:val="none" w:sz="0" w:space="0" w:color="auto"/>
        <w:bottom w:val="none" w:sz="0" w:space="0" w:color="auto"/>
        <w:right w:val="none" w:sz="0" w:space="0" w:color="auto"/>
      </w:divBdr>
    </w:div>
    <w:div w:id="908271469">
      <w:bodyDiv w:val="1"/>
      <w:marLeft w:val="0"/>
      <w:marRight w:val="0"/>
      <w:marTop w:val="0"/>
      <w:marBottom w:val="0"/>
      <w:divBdr>
        <w:top w:val="none" w:sz="0" w:space="0" w:color="auto"/>
        <w:left w:val="none" w:sz="0" w:space="0" w:color="auto"/>
        <w:bottom w:val="none" w:sz="0" w:space="0" w:color="auto"/>
        <w:right w:val="none" w:sz="0" w:space="0" w:color="auto"/>
      </w:divBdr>
    </w:div>
    <w:div w:id="1017119793">
      <w:bodyDiv w:val="1"/>
      <w:marLeft w:val="0"/>
      <w:marRight w:val="0"/>
      <w:marTop w:val="0"/>
      <w:marBottom w:val="0"/>
      <w:divBdr>
        <w:top w:val="none" w:sz="0" w:space="0" w:color="auto"/>
        <w:left w:val="none" w:sz="0" w:space="0" w:color="auto"/>
        <w:bottom w:val="none" w:sz="0" w:space="0" w:color="auto"/>
        <w:right w:val="none" w:sz="0" w:space="0" w:color="auto"/>
      </w:divBdr>
    </w:div>
    <w:div w:id="1235749085">
      <w:bodyDiv w:val="1"/>
      <w:marLeft w:val="0"/>
      <w:marRight w:val="0"/>
      <w:marTop w:val="0"/>
      <w:marBottom w:val="0"/>
      <w:divBdr>
        <w:top w:val="none" w:sz="0" w:space="0" w:color="auto"/>
        <w:left w:val="none" w:sz="0" w:space="0" w:color="auto"/>
        <w:bottom w:val="none" w:sz="0" w:space="0" w:color="auto"/>
        <w:right w:val="none" w:sz="0" w:space="0" w:color="auto"/>
      </w:divBdr>
    </w:div>
    <w:div w:id="1333221069">
      <w:bodyDiv w:val="1"/>
      <w:marLeft w:val="0"/>
      <w:marRight w:val="0"/>
      <w:marTop w:val="0"/>
      <w:marBottom w:val="0"/>
      <w:divBdr>
        <w:top w:val="none" w:sz="0" w:space="0" w:color="auto"/>
        <w:left w:val="none" w:sz="0" w:space="0" w:color="auto"/>
        <w:bottom w:val="none" w:sz="0" w:space="0" w:color="auto"/>
        <w:right w:val="none" w:sz="0" w:space="0" w:color="auto"/>
      </w:divBdr>
    </w:div>
    <w:div w:id="1354771876">
      <w:bodyDiv w:val="1"/>
      <w:marLeft w:val="0"/>
      <w:marRight w:val="0"/>
      <w:marTop w:val="0"/>
      <w:marBottom w:val="0"/>
      <w:divBdr>
        <w:top w:val="none" w:sz="0" w:space="0" w:color="auto"/>
        <w:left w:val="none" w:sz="0" w:space="0" w:color="auto"/>
        <w:bottom w:val="none" w:sz="0" w:space="0" w:color="auto"/>
        <w:right w:val="none" w:sz="0" w:space="0" w:color="auto"/>
      </w:divBdr>
    </w:div>
    <w:div w:id="1355496192">
      <w:bodyDiv w:val="1"/>
      <w:marLeft w:val="0"/>
      <w:marRight w:val="0"/>
      <w:marTop w:val="0"/>
      <w:marBottom w:val="0"/>
      <w:divBdr>
        <w:top w:val="none" w:sz="0" w:space="0" w:color="auto"/>
        <w:left w:val="none" w:sz="0" w:space="0" w:color="auto"/>
        <w:bottom w:val="none" w:sz="0" w:space="0" w:color="auto"/>
        <w:right w:val="none" w:sz="0" w:space="0" w:color="auto"/>
      </w:divBdr>
    </w:div>
    <w:div w:id="1485778077">
      <w:bodyDiv w:val="1"/>
      <w:marLeft w:val="0"/>
      <w:marRight w:val="0"/>
      <w:marTop w:val="0"/>
      <w:marBottom w:val="0"/>
      <w:divBdr>
        <w:top w:val="none" w:sz="0" w:space="0" w:color="auto"/>
        <w:left w:val="none" w:sz="0" w:space="0" w:color="auto"/>
        <w:bottom w:val="none" w:sz="0" w:space="0" w:color="auto"/>
        <w:right w:val="none" w:sz="0" w:space="0" w:color="auto"/>
      </w:divBdr>
    </w:div>
    <w:div w:id="1521698905">
      <w:bodyDiv w:val="1"/>
      <w:marLeft w:val="0"/>
      <w:marRight w:val="0"/>
      <w:marTop w:val="0"/>
      <w:marBottom w:val="0"/>
      <w:divBdr>
        <w:top w:val="none" w:sz="0" w:space="0" w:color="auto"/>
        <w:left w:val="none" w:sz="0" w:space="0" w:color="auto"/>
        <w:bottom w:val="none" w:sz="0" w:space="0" w:color="auto"/>
        <w:right w:val="none" w:sz="0" w:space="0" w:color="auto"/>
      </w:divBdr>
    </w:div>
    <w:div w:id="1620726138">
      <w:bodyDiv w:val="1"/>
      <w:marLeft w:val="0"/>
      <w:marRight w:val="0"/>
      <w:marTop w:val="0"/>
      <w:marBottom w:val="0"/>
      <w:divBdr>
        <w:top w:val="none" w:sz="0" w:space="0" w:color="auto"/>
        <w:left w:val="none" w:sz="0" w:space="0" w:color="auto"/>
        <w:bottom w:val="none" w:sz="0" w:space="0" w:color="auto"/>
        <w:right w:val="none" w:sz="0" w:space="0" w:color="auto"/>
      </w:divBdr>
    </w:div>
    <w:div w:id="1683505204">
      <w:bodyDiv w:val="1"/>
      <w:marLeft w:val="0"/>
      <w:marRight w:val="0"/>
      <w:marTop w:val="0"/>
      <w:marBottom w:val="0"/>
      <w:divBdr>
        <w:top w:val="none" w:sz="0" w:space="0" w:color="auto"/>
        <w:left w:val="none" w:sz="0" w:space="0" w:color="auto"/>
        <w:bottom w:val="none" w:sz="0" w:space="0" w:color="auto"/>
        <w:right w:val="none" w:sz="0" w:space="0" w:color="auto"/>
      </w:divBdr>
    </w:div>
    <w:div w:id="1825046777">
      <w:bodyDiv w:val="1"/>
      <w:marLeft w:val="0"/>
      <w:marRight w:val="0"/>
      <w:marTop w:val="0"/>
      <w:marBottom w:val="0"/>
      <w:divBdr>
        <w:top w:val="none" w:sz="0" w:space="0" w:color="auto"/>
        <w:left w:val="none" w:sz="0" w:space="0" w:color="auto"/>
        <w:bottom w:val="none" w:sz="0" w:space="0" w:color="auto"/>
        <w:right w:val="none" w:sz="0" w:space="0" w:color="auto"/>
      </w:divBdr>
    </w:div>
    <w:div w:id="1895696583">
      <w:bodyDiv w:val="1"/>
      <w:marLeft w:val="0"/>
      <w:marRight w:val="0"/>
      <w:marTop w:val="0"/>
      <w:marBottom w:val="0"/>
      <w:divBdr>
        <w:top w:val="none" w:sz="0" w:space="0" w:color="auto"/>
        <w:left w:val="none" w:sz="0" w:space="0" w:color="auto"/>
        <w:bottom w:val="none" w:sz="0" w:space="0" w:color="auto"/>
        <w:right w:val="none" w:sz="0" w:space="0" w:color="auto"/>
      </w:divBdr>
    </w:div>
    <w:div w:id="2004122000">
      <w:bodyDiv w:val="1"/>
      <w:marLeft w:val="0"/>
      <w:marRight w:val="0"/>
      <w:marTop w:val="0"/>
      <w:marBottom w:val="0"/>
      <w:divBdr>
        <w:top w:val="none" w:sz="0" w:space="0" w:color="auto"/>
        <w:left w:val="none" w:sz="0" w:space="0" w:color="auto"/>
        <w:bottom w:val="none" w:sz="0" w:space="0" w:color="auto"/>
        <w:right w:val="none" w:sz="0" w:space="0" w:color="auto"/>
      </w:divBdr>
      <w:divsChild>
        <w:div w:id="124857313">
          <w:marLeft w:val="0"/>
          <w:marRight w:val="0"/>
          <w:marTop w:val="0"/>
          <w:marBottom w:val="0"/>
          <w:divBdr>
            <w:top w:val="none" w:sz="0" w:space="0" w:color="auto"/>
            <w:left w:val="none" w:sz="0" w:space="0" w:color="auto"/>
            <w:bottom w:val="none" w:sz="0" w:space="0" w:color="auto"/>
            <w:right w:val="none" w:sz="0" w:space="0" w:color="auto"/>
          </w:divBdr>
        </w:div>
      </w:divsChild>
    </w:div>
    <w:div w:id="211474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875</ap:Words>
  <ap:Characters>4815</ap:Characters>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2026-02-06T08:38:00.0000000Z</lastPrinted>
  <dcterms:created xsi:type="dcterms:W3CDTF">2026-02-06T13:26:00.0000000Z</dcterms:created>
  <dcterms:modified xsi:type="dcterms:W3CDTF">2026-02-06T13:26:00.0000000Z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0x0101009C7CE436063D44E9BE7DC0259EF7C32F006EB9F9836A634AE58B6169785FD3936F0055E506C710F636498F69DB3FF6464C1E</vt:lpwstr>
  </property>
  <property fmtid="{D5CDD505-2E9C-101B-9397-08002B2CF9AE}" pid="3" name="_dlc_DocIdItemGuid">
    <vt:lpwstr>7d18a001-70e2-4d7a-87b5-738a992718b8</vt:lpwstr>
  </property>
  <property fmtid="{D5CDD505-2E9C-101B-9397-08002B2CF9AE}" pid="4" name="_docset_NoMedatataSyncRequired">
    <vt:lpwstr>False</vt:lpwstr>
  </property>
  <property fmtid="{D5CDD505-2E9C-101B-9397-08002B2CF9AE}" pid="5" name="BZ_Country">
    <vt:lpwstr>2;#Not applicable|ec01d90b-9d0f-4785-8785-e1ea615196bf</vt:lpwstr>
  </property>
  <property fmtid="{D5CDD505-2E9C-101B-9397-08002B2CF9AE}" pid="6" name="BZ_Classification">
    <vt:lpwstr>4;#UNCLASSIFIED|d92c6340-bc14-4cb2-a9a6-6deda93c493b;#12;#NO MARKING|879e64ec-6597-483b-94db-f5f70afd7299</vt:lpwstr>
  </property>
  <property fmtid="{D5CDD505-2E9C-101B-9397-08002B2CF9AE}" pid="7" name="BZ_Forum">
    <vt:lpwstr>3;#Not applicable|0049e722-bfb1-4a3f-9d08-af7366a9af40</vt:lpwstr>
  </property>
  <property fmtid="{D5CDD505-2E9C-101B-9397-08002B2CF9AE}" pid="8" name="BZ_Theme">
    <vt:lpwstr>1;#Communication|e493718e-04f1-40ba-b095-af58ae3eb0cb</vt:lpwstr>
  </property>
  <property fmtid="{D5CDD505-2E9C-101B-9397-08002B2CF9AE}" pid="9" name="BZForumOrganisation">
    <vt:lpwstr>2;#Not applicable|0049e722-bfb1-4a3f-9d08-af7366a9af40</vt:lpwstr>
  </property>
  <property fmtid="{D5CDD505-2E9C-101B-9397-08002B2CF9AE}" pid="10" name="BZTheme">
    <vt:lpwstr>150;#Organization and management general|0de1cc90-a8d1-4553-a3b7-516b6498b343</vt:lpwstr>
  </property>
  <property fmtid="{D5CDD505-2E9C-101B-9397-08002B2CF9AE}" pid="11" name="BZCountryState">
    <vt:lpwstr>3;#Not applicable|ec01d90b-9d0f-4785-8785-e1ea615196bf</vt:lpwstr>
  </property>
  <property fmtid="{D5CDD505-2E9C-101B-9397-08002B2CF9AE}" pid="12" name="BZMarking">
    <vt:lpwstr>5;#NO MARKING|0a4eb9ae-69eb-4d9e-b573-43ab99ef8592</vt:lpwstr>
  </property>
  <property fmtid="{D5CDD505-2E9C-101B-9397-08002B2CF9AE}" pid="13" name="BZClassification">
    <vt:lpwstr>4;#UNCLASSIFIED (U)|284e6a62-15ab-4017-be27-a1e965f4e940</vt:lpwstr>
  </property>
  <property fmtid="{D5CDD505-2E9C-101B-9397-08002B2CF9AE}" pid="14" name="gc2efd3bfea04f7f8169be07009f5536">
    <vt:lpwstr/>
  </property>
  <property fmtid="{D5CDD505-2E9C-101B-9397-08002B2CF9AE}" pid="15" name="BZDossierResponsibleDepartment">
    <vt:lpwstr/>
  </property>
  <property fmtid="{D5CDD505-2E9C-101B-9397-08002B2CF9AE}" pid="16" name="BZDossierGovernmentOfficial">
    <vt:lpwstr/>
  </property>
  <property fmtid="{D5CDD505-2E9C-101B-9397-08002B2CF9AE}" pid="17" name="BZDossierProcessLocation">
    <vt:lpwstr/>
  </property>
  <property fmtid="{D5CDD505-2E9C-101B-9397-08002B2CF9AE}" pid="18" name="i42ef48d5fa942a0ad0d60e44f201751">
    <vt:lpwstr/>
  </property>
  <property fmtid="{D5CDD505-2E9C-101B-9397-08002B2CF9AE}" pid="19" name="BZDossierPublishingWOOCategory">
    <vt:lpwstr/>
  </property>
  <property fmtid="{D5CDD505-2E9C-101B-9397-08002B2CF9AE}" pid="20" name="f2fb2a8e39404f1ab554e4e4a49d2918">
    <vt:lpwstr/>
  </property>
  <property fmtid="{D5CDD505-2E9C-101B-9397-08002B2CF9AE}" pid="21" name="f8e003236e1c4ac2ab9051d5d8789bbb">
    <vt:lpwstr/>
  </property>
  <property fmtid="{D5CDD505-2E9C-101B-9397-08002B2CF9AE}" pid="22" name="p29721a54a5c4bbe9786e930fc91e270">
    <vt:lpwstr/>
  </property>
  <property fmtid="{D5CDD505-2E9C-101B-9397-08002B2CF9AE}" pid="23" name="e256f556a7b748329ab47889947c7d40">
    <vt:lpwstr/>
  </property>
  <property fmtid="{D5CDD505-2E9C-101B-9397-08002B2CF9AE}" pid="24" name="ed9282a3f18446ec8c17c7829edf82dd">
    <vt:lpwstr/>
  </property>
  <property fmtid="{D5CDD505-2E9C-101B-9397-08002B2CF9AE}" pid="25" name="BZDossierProcessType">
    <vt:lpwstr/>
  </property>
  <property fmtid="{D5CDD505-2E9C-101B-9397-08002B2CF9AE}" pid="26" name="BZDossierBudgetManager">
    <vt:lpwstr/>
  </property>
  <property fmtid="{D5CDD505-2E9C-101B-9397-08002B2CF9AE}" pid="27" name="BZDossierSendTo">
    <vt:lpwstr/>
  </property>
  <property fmtid="{D5CDD505-2E9C-101B-9397-08002B2CF9AE}" pid="28" name="BZEmailHasAttachment">
    <vt:bool>false</vt:bool>
  </property>
  <property fmtid="{D5CDD505-2E9C-101B-9397-08002B2CF9AE}" pid="29" name="ecm_ItemDeleteBlockHolders">
    <vt:lpwstr/>
  </property>
  <property fmtid="{D5CDD505-2E9C-101B-9397-08002B2CF9AE}" pid="30" name="ecm_RecordRestrictions">
    <vt:lpwstr/>
  </property>
  <property fmtid="{D5CDD505-2E9C-101B-9397-08002B2CF9AE}" pid="31" name="ecm_ItemLockHolders">
    <vt:lpwstr/>
  </property>
  <property fmtid="{D5CDD505-2E9C-101B-9397-08002B2CF9AE}" pid="32" name="BZDossierTemplate">
    <vt:lpwstr>ReguliereKamerbrief</vt:lpwstr>
  </property>
  <property fmtid="{D5CDD505-2E9C-101B-9397-08002B2CF9AE}" pid="33" name="URL">
    <vt:lpwstr>https://247.plaza.buzaservices.nl/subject/PV-RK2025022026/BZ2623836/Bijlage%201%20-%20BZ-Kwartaalrapportage%20Q4%202025.docx, </vt:lpwstr>
  </property>
</Properties>
</file>