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0E7" w:rsidP="00F430E7" w:rsidRDefault="00F430E7" w14:paraId="3A3652EC" w14:textId="6036028A">
      <w:pPr>
        <w:pStyle w:val="Geenafstand"/>
      </w:pPr>
      <w:r>
        <w:t>AH 1051</w:t>
      </w:r>
    </w:p>
    <w:p w:rsidR="00F430E7" w:rsidP="00F430E7" w:rsidRDefault="00F430E7" w14:paraId="5AEC60DE" w14:textId="5DB9EE4E">
      <w:pPr>
        <w:pStyle w:val="Geenafstand"/>
      </w:pPr>
      <w:r>
        <w:t>2026Z00785</w:t>
      </w:r>
    </w:p>
    <w:p w:rsidR="00F430E7" w:rsidP="00F430E7" w:rsidRDefault="00F430E7" w14:paraId="6119271C" w14:textId="77777777">
      <w:pPr>
        <w:pStyle w:val="Geenafstand"/>
      </w:pPr>
    </w:p>
    <w:p w:rsidRPr="00A71055" w:rsidR="00F430E7" w:rsidP="007B1AD8" w:rsidRDefault="00F430E7" w14:paraId="01D6141A" w14:textId="18AD674D">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9 februari 2026)</w:t>
      </w:r>
    </w:p>
    <w:p w:rsidR="00F430E7" w:rsidP="00F430E7" w:rsidRDefault="00F430E7" w14:paraId="052B9006" w14:textId="77909CA3"/>
    <w:p w:rsidRPr="003D0566" w:rsidR="00F430E7" w:rsidP="00F430E7" w:rsidRDefault="00F430E7" w14:paraId="5117E7DF" w14:textId="77777777">
      <w:pPr>
        <w:rPr>
          <w:b/>
          <w:bCs/>
        </w:rPr>
      </w:pPr>
      <w:r w:rsidRPr="003D0566">
        <w:rPr>
          <w:b/>
          <w:bCs/>
        </w:rPr>
        <w:t>Vraag 1</w:t>
      </w:r>
    </w:p>
    <w:p w:rsidRPr="003D0566" w:rsidR="00F430E7" w:rsidP="00F430E7" w:rsidRDefault="00F430E7" w14:paraId="1D27426F" w14:textId="77777777">
      <w:r w:rsidRPr="00411B29">
        <w:rPr>
          <w:b/>
          <w:bCs/>
        </w:rPr>
        <w:t>Bent u bekend met het bericht 'Steeds meer jongeren verslaafd aan online gokken: 'In mbo-klassen steken bijna alle jongens hun hand op”?</w:t>
      </w:r>
      <w:r w:rsidRPr="00411B29">
        <w:rPr>
          <w:rStyle w:val="Voetnootmarkering"/>
          <w:b/>
          <w:bCs/>
        </w:rPr>
        <w:footnoteReference w:id="1"/>
      </w:r>
    </w:p>
    <w:p w:rsidR="00F430E7" w:rsidP="00F430E7" w:rsidRDefault="00F430E7" w14:paraId="062C6FCC" w14:textId="77777777">
      <w:pPr>
        <w:rPr>
          <w:b/>
          <w:bCs/>
        </w:rPr>
      </w:pPr>
    </w:p>
    <w:p w:rsidRPr="00411B29" w:rsidR="00F430E7" w:rsidP="00F430E7" w:rsidRDefault="00F430E7" w14:paraId="71C9A5EB" w14:textId="77777777">
      <w:pPr>
        <w:rPr>
          <w:b/>
          <w:bCs/>
        </w:rPr>
      </w:pPr>
      <w:r>
        <w:rPr>
          <w:b/>
          <w:bCs/>
        </w:rPr>
        <w:t xml:space="preserve">Antwoord op vraag 1 </w:t>
      </w:r>
    </w:p>
    <w:p w:rsidRPr="00411B29" w:rsidR="00F430E7" w:rsidP="00F430E7" w:rsidRDefault="00F430E7" w14:paraId="5FEF2D24" w14:textId="77777777">
      <w:r w:rsidRPr="00411B29">
        <w:t>Ja.</w:t>
      </w:r>
      <w:r w:rsidRPr="00411B29">
        <w:br/>
      </w:r>
    </w:p>
    <w:p w:rsidR="00F430E7" w:rsidP="00F430E7" w:rsidRDefault="00F430E7" w14:paraId="75A3B92F" w14:textId="77777777">
      <w:pPr>
        <w:rPr>
          <w:b/>
          <w:bCs/>
        </w:rPr>
      </w:pPr>
      <w:r>
        <w:rPr>
          <w:b/>
          <w:bCs/>
        </w:rPr>
        <w:t>Vraag 2</w:t>
      </w:r>
    </w:p>
    <w:p w:rsidR="00F430E7" w:rsidP="00F430E7" w:rsidRDefault="00F430E7" w14:paraId="25042AA0" w14:textId="77777777">
      <w:pPr>
        <w:rPr>
          <w:b/>
          <w:bCs/>
        </w:rPr>
      </w:pPr>
      <w:r w:rsidRPr="00411B29">
        <w:rPr>
          <w:b/>
          <w:bCs/>
        </w:rPr>
        <w:t>Kunt u reflecteren op de trend dat steeds meer jongeren, waaronder minderjarigen, verslaafd zijn aan online gokken in het licht van de legalisering van online gokken in 2021?  </w:t>
      </w:r>
    </w:p>
    <w:p w:rsidR="00F430E7" w:rsidP="00F430E7" w:rsidRDefault="00F430E7" w14:paraId="2BE3FAFE" w14:textId="77777777">
      <w:pPr>
        <w:rPr>
          <w:b/>
          <w:bCs/>
        </w:rPr>
      </w:pPr>
    </w:p>
    <w:p w:rsidRPr="00411B29" w:rsidR="00F430E7" w:rsidP="00F430E7" w:rsidRDefault="00F430E7" w14:paraId="6420A4F5" w14:textId="77777777">
      <w:pPr>
        <w:rPr>
          <w:b/>
          <w:bCs/>
        </w:rPr>
      </w:pPr>
      <w:r>
        <w:rPr>
          <w:b/>
          <w:bCs/>
        </w:rPr>
        <w:t>Antwoord op vraag 2</w:t>
      </w:r>
    </w:p>
    <w:p w:rsidRPr="00FD442B" w:rsidR="00F430E7" w:rsidP="00F430E7" w:rsidRDefault="00F430E7" w14:paraId="53653E2B" w14:textId="77777777">
      <w:pPr>
        <w:pStyle w:val="Geenafstand"/>
        <w:rPr>
          <w:rFonts w:ascii="Verdana" w:hAnsi="Verdana"/>
          <w:sz w:val="18"/>
          <w:szCs w:val="18"/>
        </w:rPr>
      </w:pPr>
      <w:r w:rsidRPr="00411B29">
        <w:rPr>
          <w:rFonts w:ascii="Verdana" w:hAnsi="Verdana"/>
          <w:sz w:val="18"/>
          <w:szCs w:val="18"/>
        </w:rPr>
        <w:t xml:space="preserve">Er zijn geen precieze cijfers over het aantal jongeren dat verslaafd is geraakt aan online gokken sinds 2021. In 2024 was 18% van het aantal mensen dat in </w:t>
      </w:r>
      <w:r w:rsidRPr="00FD442B">
        <w:rPr>
          <w:rFonts w:ascii="Verdana" w:hAnsi="Verdana"/>
          <w:sz w:val="18"/>
          <w:szCs w:val="18"/>
        </w:rPr>
        <w:t>behandeling is voor gokverslaving jonger dan 25 jaar.</w:t>
      </w:r>
      <w:r w:rsidRPr="00FD442B">
        <w:rPr>
          <w:rStyle w:val="Voetnootmarkering"/>
          <w:rFonts w:ascii="Verdana" w:hAnsi="Verdana"/>
          <w:sz w:val="18"/>
          <w:szCs w:val="18"/>
        </w:rPr>
        <w:footnoteReference w:id="2"/>
      </w:r>
      <w:r w:rsidRPr="00FD442B">
        <w:rPr>
          <w:rFonts w:ascii="Verdana" w:hAnsi="Verdana"/>
          <w:sz w:val="18"/>
          <w:szCs w:val="18"/>
        </w:rPr>
        <w:t xml:space="preserve"> Dat vind ik zorgelijk. Jongeren, in het bijzonder minderjarigen, behoren tot een kwetsbare groep die extra gevoelig is voor de verleidingen van gokken. Daarom is mijn beleidsinzet er in het bijzonder op gericht om jongeren beter te beschermen tegen de risico’s van gokken. </w:t>
      </w:r>
    </w:p>
    <w:p w:rsidRPr="00FD442B" w:rsidR="00F430E7" w:rsidP="00F430E7" w:rsidRDefault="00F430E7" w14:paraId="6E0ED86D" w14:textId="77777777">
      <w:pPr>
        <w:pStyle w:val="Geenafstand"/>
        <w:rPr>
          <w:rFonts w:ascii="Verdana" w:hAnsi="Verdana"/>
          <w:sz w:val="18"/>
          <w:szCs w:val="18"/>
        </w:rPr>
      </w:pPr>
    </w:p>
    <w:p w:rsidR="00F430E7" w:rsidP="00F430E7" w:rsidRDefault="00F430E7" w14:paraId="4A91C183" w14:textId="77777777">
      <w:pPr>
        <w:rPr>
          <w:b/>
          <w:bCs/>
        </w:rPr>
      </w:pPr>
      <w:r>
        <w:rPr>
          <w:b/>
          <w:bCs/>
        </w:rPr>
        <w:t>Vraag 3</w:t>
      </w:r>
    </w:p>
    <w:p w:rsidRPr="00FD442B" w:rsidR="00F430E7" w:rsidP="00F430E7" w:rsidRDefault="00F430E7" w14:paraId="54B9986E" w14:textId="77777777">
      <w:pPr>
        <w:rPr>
          <w:b/>
          <w:bCs/>
        </w:rPr>
      </w:pPr>
      <w:r w:rsidRPr="00FD442B">
        <w:rPr>
          <w:b/>
          <w:bCs/>
        </w:rPr>
        <w:t>Bent u het ermee eens dat legalisatie van online gokken eraan heeft bijgedragen dat gokken onder (minderjarige) jongeren genormaliseerd is en er sprake is van een aanzuigende werking? Zo nee, waarom niet?</w:t>
      </w:r>
    </w:p>
    <w:p w:rsidR="00F430E7" w:rsidP="00F430E7" w:rsidRDefault="00F430E7" w14:paraId="6F1985A1" w14:textId="77777777">
      <w:pPr>
        <w:rPr>
          <w:b/>
          <w:bCs/>
        </w:rPr>
      </w:pPr>
    </w:p>
    <w:p w:rsidRPr="00FD442B" w:rsidR="00F430E7" w:rsidP="00F430E7" w:rsidRDefault="00F430E7" w14:paraId="4128713E" w14:textId="77777777">
      <w:pPr>
        <w:rPr>
          <w:b/>
          <w:bCs/>
        </w:rPr>
      </w:pPr>
      <w:r>
        <w:rPr>
          <w:b/>
          <w:bCs/>
        </w:rPr>
        <w:lastRenderedPageBreak/>
        <w:t xml:space="preserve">Antwoord op vraag 3 </w:t>
      </w:r>
    </w:p>
    <w:p w:rsidR="00F430E7" w:rsidP="00F430E7" w:rsidRDefault="00F430E7" w14:paraId="478D25D3" w14:textId="77777777">
      <w:r w:rsidRPr="00FD442B">
        <w:t>Het is niet uitgesloten dat de legalisering, naast andere factoren zoals toegankelijkheid van online diensten, heeft bijgedragen aan de normalisering van online gokken. Het is bekend dat er in de afgelopen jaren meer jongeren, waaronder minderjarigen, online zijn gaan gokken.</w:t>
      </w:r>
      <w:r w:rsidRPr="00FD442B">
        <w:rPr>
          <w:rStyle w:val="Voetnootmarkering"/>
        </w:rPr>
        <w:footnoteReference w:id="3"/>
      </w:r>
      <w:r w:rsidRPr="00FD442B">
        <w:t xml:space="preserve"> Om dit tegen te gaan zetten de Kansspelautoriteit (</w:t>
      </w:r>
      <w:proofErr w:type="spellStart"/>
      <w:r w:rsidRPr="00FD442B">
        <w:t>Ksa</w:t>
      </w:r>
      <w:proofErr w:type="spellEnd"/>
      <w:r w:rsidRPr="00FD442B">
        <w:t>) en ik in op voorlichting over de risico’s van online gokken en het tegengaan van normalisering van deelname aan risicovolle kansspelen.</w:t>
      </w:r>
    </w:p>
    <w:p w:rsidR="00F430E7" w:rsidP="00F430E7" w:rsidRDefault="00F430E7" w14:paraId="0CF0E260" w14:textId="77777777"/>
    <w:p w:rsidR="00F430E7" w:rsidP="00F430E7" w:rsidRDefault="00F430E7" w14:paraId="102944BC" w14:textId="77777777">
      <w:pPr>
        <w:rPr>
          <w:b/>
          <w:bCs/>
        </w:rPr>
      </w:pPr>
      <w:r>
        <w:rPr>
          <w:b/>
          <w:bCs/>
        </w:rPr>
        <w:t>Vraag 4</w:t>
      </w:r>
    </w:p>
    <w:p w:rsidR="00F430E7" w:rsidP="00F430E7" w:rsidRDefault="00F430E7" w14:paraId="1A3E9B31" w14:textId="77777777">
      <w:pPr>
        <w:rPr>
          <w:b/>
          <w:bCs/>
        </w:rPr>
      </w:pPr>
      <w:r w:rsidRPr="00411B29">
        <w:rPr>
          <w:b/>
          <w:bCs/>
        </w:rPr>
        <w:t xml:space="preserve">Op welke manier kan volgens u een cultuurverandering ingezet worden voor jonge jongens om het inzetten van geld op voetbalwedstrijden te </w:t>
      </w:r>
      <w:proofErr w:type="spellStart"/>
      <w:r w:rsidRPr="00411B29">
        <w:rPr>
          <w:b/>
          <w:bCs/>
        </w:rPr>
        <w:t>denormaliseren</w:t>
      </w:r>
      <w:proofErr w:type="spellEnd"/>
      <w:r w:rsidRPr="00411B29">
        <w:rPr>
          <w:b/>
          <w:bCs/>
        </w:rPr>
        <w:t>?  </w:t>
      </w:r>
    </w:p>
    <w:p w:rsidRPr="00E86689" w:rsidR="00F430E7" w:rsidP="00F430E7" w:rsidRDefault="00F430E7" w14:paraId="6ED477CC" w14:textId="77777777">
      <w:pPr>
        <w:rPr>
          <w:b/>
          <w:bCs/>
        </w:rPr>
      </w:pPr>
      <w:r>
        <w:rPr>
          <w:b/>
          <w:bCs/>
        </w:rPr>
        <w:t>Antwoord op vraag 4</w:t>
      </w:r>
    </w:p>
    <w:p w:rsidRPr="00FD442B" w:rsidR="00F430E7" w:rsidP="00F430E7" w:rsidRDefault="00F430E7" w14:paraId="6804B482" w14:textId="77777777">
      <w:proofErr w:type="spellStart"/>
      <w:r>
        <w:t>Denormalisatie</w:t>
      </w:r>
      <w:proofErr w:type="spellEnd"/>
      <w:r>
        <w:t xml:space="preserve"> is een complex proces waarbij onder andere de sociale omgeving een belangrijke rol speelt.</w:t>
      </w:r>
      <w:r>
        <w:rPr>
          <w:rStyle w:val="Voetnootmarkering"/>
        </w:rPr>
        <w:footnoteReference w:id="4"/>
      </w:r>
      <w:r>
        <w:t xml:space="preserve"> Bewustwordingsactiviteiten kunnen eraan bijdragen </w:t>
      </w:r>
      <w:r w:rsidRPr="00FD442B">
        <w:t xml:space="preserve">om jongeren en hun omgeving bewust te maken van de risico’s van sportweddenschappen en hen te laten nadenken of deelname aan deze kansspelen verstandig is. Met dit doel heeft de </w:t>
      </w:r>
      <w:proofErr w:type="spellStart"/>
      <w:r w:rsidRPr="00FD442B">
        <w:t>Ksa</w:t>
      </w:r>
      <w:proofErr w:type="spellEnd"/>
      <w:r w:rsidRPr="00FD442B">
        <w:t xml:space="preserve"> bijvoorbeeld al een campagne opgezet vanuit het Verslavingspreventiefonds rondom de sportzomer in 2024. In 2026 zet de </w:t>
      </w:r>
      <w:proofErr w:type="spellStart"/>
      <w:r w:rsidRPr="00FD442B">
        <w:t>Ksa</w:t>
      </w:r>
      <w:proofErr w:type="spellEnd"/>
      <w:r w:rsidRPr="00FD442B">
        <w:t xml:space="preserve"> via het Verslavingspreventiefonds opnieuw in op bewustwordingscampagnes. Ook worden bestaande campagnes, bijvoorbeeld de campagne om aandacht te vragen voor de </w:t>
      </w:r>
      <w:proofErr w:type="spellStart"/>
      <w:r w:rsidRPr="00FD442B">
        <w:t>Gokstop</w:t>
      </w:r>
      <w:proofErr w:type="spellEnd"/>
      <w:r w:rsidRPr="00FD442B">
        <w:t xml:space="preserve">, verder uitgebreid. Daarnaast heeft de </w:t>
      </w:r>
      <w:proofErr w:type="spellStart"/>
      <w:r w:rsidRPr="00FD442B">
        <w:t>Ksa</w:t>
      </w:r>
      <w:proofErr w:type="spellEnd"/>
      <w:r w:rsidRPr="00FD442B">
        <w:t xml:space="preserve"> in september 2025 het consumentenplatform </w:t>
      </w:r>
      <w:proofErr w:type="spellStart"/>
      <w:r w:rsidRPr="00FD442B">
        <w:t>OpenOverGokken</w:t>
      </w:r>
      <w:proofErr w:type="spellEnd"/>
      <w:r w:rsidRPr="00FD442B">
        <w:t xml:space="preserve"> gelanceerd, een platform waar verschillende doelgroepen terechtkunnen voor informatie over gokken én voor informatie over hulp bij problemen door gokken. Begin van dit jaar is de publiekscampagne van </w:t>
      </w:r>
      <w:proofErr w:type="spellStart"/>
      <w:r w:rsidRPr="00FD442B">
        <w:t>OperOverGokken</w:t>
      </w:r>
      <w:proofErr w:type="spellEnd"/>
      <w:r w:rsidRPr="00FD442B">
        <w:t xml:space="preserve"> begonnen. Deze activiteiten maken ook onderdeel uit van de </w:t>
      </w:r>
      <w:proofErr w:type="spellStart"/>
      <w:r w:rsidRPr="00FD442B">
        <w:t>meerjarenagenda</w:t>
      </w:r>
      <w:proofErr w:type="spellEnd"/>
      <w:r w:rsidRPr="00FD442B">
        <w:t xml:space="preserve"> bescherming tegen gokschade die op dit moment in ontwikkeling is. Preventie ten aanzien van minderjarigen en jongvolwassenen vind ik daarbij van bijzonder groot belang. Voetbalclub Roda JC heeft, in samenwerking met de </w:t>
      </w:r>
      <w:proofErr w:type="spellStart"/>
      <w:r w:rsidRPr="00FD442B">
        <w:t>Ksa</w:t>
      </w:r>
      <w:proofErr w:type="spellEnd"/>
      <w:r w:rsidRPr="00FD442B">
        <w:t xml:space="preserve">, het initiatief genomen voor de campagne ‘Wat kost je winst’?. De club vraagt daarmee aandacht voor het feit dat jongeren het steeds normaler vinden deel te nemen aan sportweddenschappen en de </w:t>
      </w:r>
      <w:r w:rsidRPr="00FD442B">
        <w:lastRenderedPageBreak/>
        <w:t>gevolgen daarvan. Eenmalig speelden de spelers met ‘min-rugnummers’.</w:t>
      </w:r>
      <w:r w:rsidRPr="00FD442B">
        <w:rPr>
          <w:rStyle w:val="Voetnootmarkering"/>
        </w:rPr>
        <w:footnoteReference w:id="5"/>
      </w:r>
      <w:r w:rsidRPr="00FD442B">
        <w:t xml:space="preserve"> Ik juich dit initiatief van harte toe. </w:t>
      </w:r>
    </w:p>
    <w:p w:rsidRPr="00FD442B" w:rsidR="00F430E7" w:rsidP="00F430E7" w:rsidRDefault="00F430E7" w14:paraId="178DD28B" w14:textId="77777777"/>
    <w:p w:rsidR="00F430E7" w:rsidP="00F430E7" w:rsidRDefault="00F430E7" w14:paraId="36D2E6E1" w14:textId="77777777">
      <w:pPr>
        <w:rPr>
          <w:b/>
          <w:bCs/>
        </w:rPr>
      </w:pPr>
      <w:r>
        <w:rPr>
          <w:b/>
          <w:bCs/>
        </w:rPr>
        <w:t xml:space="preserve">Vraag 5 </w:t>
      </w:r>
    </w:p>
    <w:p w:rsidRPr="00FD442B" w:rsidR="00F430E7" w:rsidP="00F430E7" w:rsidRDefault="00F430E7" w14:paraId="53F00B0C" w14:textId="77777777">
      <w:pPr>
        <w:rPr>
          <w:b/>
          <w:bCs/>
        </w:rPr>
      </w:pPr>
      <w:r w:rsidRPr="00FD442B">
        <w:rPr>
          <w:b/>
          <w:bCs/>
        </w:rPr>
        <w:t xml:space="preserve">Bent u het ermee eens dat de KNVB ook een verantwoordelijkheid heeft om de zorgelijke cijfers van </w:t>
      </w:r>
      <w:proofErr w:type="spellStart"/>
      <w:r w:rsidRPr="00FD442B">
        <w:rPr>
          <w:b/>
          <w:bCs/>
        </w:rPr>
        <w:t>voetbalgerelateerde</w:t>
      </w:r>
      <w:proofErr w:type="spellEnd"/>
      <w:r w:rsidRPr="00FD442B">
        <w:rPr>
          <w:b/>
          <w:bCs/>
        </w:rPr>
        <w:t xml:space="preserve"> gokverslavingen onder jonge jongens te mitigeren? Zo nee, waarom niet?</w:t>
      </w:r>
    </w:p>
    <w:p w:rsidRPr="00FD442B" w:rsidR="00F430E7" w:rsidP="00F430E7" w:rsidRDefault="00F430E7" w14:paraId="3AE4A5E0" w14:textId="77777777">
      <w:pPr>
        <w:rPr>
          <w:b/>
          <w:bCs/>
        </w:rPr>
      </w:pPr>
    </w:p>
    <w:p w:rsidR="00F430E7" w:rsidP="00F430E7" w:rsidRDefault="00F430E7" w14:paraId="70BC4608" w14:textId="77777777">
      <w:pPr>
        <w:rPr>
          <w:b/>
          <w:bCs/>
        </w:rPr>
      </w:pPr>
      <w:r>
        <w:rPr>
          <w:b/>
          <w:bCs/>
        </w:rPr>
        <w:t xml:space="preserve">Vraag 6 </w:t>
      </w:r>
    </w:p>
    <w:p w:rsidRPr="00FD442B" w:rsidR="00F430E7" w:rsidP="00F430E7" w:rsidRDefault="00F430E7" w14:paraId="01D7A1F0" w14:textId="77777777">
      <w:pPr>
        <w:rPr>
          <w:b/>
          <w:bCs/>
        </w:rPr>
      </w:pPr>
      <w:r w:rsidRPr="00FD442B">
        <w:rPr>
          <w:b/>
          <w:bCs/>
        </w:rPr>
        <w:t>Bent u het ermee eens dat de keuzes van de KNVB om het gokbedrijf “Eurojackpot” uit te kiezen als nieuwe hoofdsponsor en de naamgeving van het KNVB bekertoernooi als “Eurojackpot-KNVB beker” uiterst ongelukkig zijn? Bent u bereid daarover het gesprek met de KNVB aan te gaan?  </w:t>
      </w:r>
    </w:p>
    <w:p w:rsidR="00F430E7" w:rsidP="00F430E7" w:rsidRDefault="00F430E7" w14:paraId="486C1F92" w14:textId="77777777"/>
    <w:p w:rsidRPr="00FD442B" w:rsidR="00F430E7" w:rsidP="00F430E7" w:rsidRDefault="00F430E7" w14:paraId="77040465" w14:textId="77777777">
      <w:pPr>
        <w:rPr>
          <w:b/>
          <w:bCs/>
        </w:rPr>
      </w:pPr>
      <w:r w:rsidRPr="003D0566">
        <w:rPr>
          <w:b/>
          <w:bCs/>
        </w:rPr>
        <w:t>Antwoord op vragen 5 en 6</w:t>
      </w:r>
      <w:r>
        <w:t xml:space="preserve"> </w:t>
      </w:r>
      <w:r w:rsidRPr="00FD442B">
        <w:br/>
        <w:t>Hoewel de KNVB geen formele verantwoordelijkheid heeft in het voorkomen en tegengaan van gokverslaving onder jonge jongens kan zij hier als maatschappelijke organisatie wel een rol in spelen, bijvoorbeeld in de keuze om al dan niet een overeenkomst aan te gaan met een kansspelaanbieder. In dat kader merk ik op dat sportsponsoring door loterijen toegestaan is. Tegelijkertijd betekent het feit dat iets volgens de wet mag, niet dat die wettelijke ruimte moet</w:t>
      </w:r>
      <w:r w:rsidRPr="00FD442B">
        <w:br/>
        <w:t>worden benut. Zoals mijn voorganger heeft aangegeven in antwoorden op eerdere Kamervragen zie ik geen aanleiding om hier een gesprek met de KNVB over te voeren.</w:t>
      </w:r>
      <w:r w:rsidRPr="00FD442B">
        <w:rPr>
          <w:rStyle w:val="Voetnootmarkering"/>
        </w:rPr>
        <w:footnoteReference w:id="6"/>
      </w:r>
    </w:p>
    <w:p w:rsidRPr="00FD442B" w:rsidR="00F430E7" w:rsidP="00F430E7" w:rsidRDefault="00F430E7" w14:paraId="70299E29" w14:textId="77777777"/>
    <w:p w:rsidR="00F430E7" w:rsidP="00F430E7" w:rsidRDefault="00F430E7" w14:paraId="07A57453" w14:textId="77777777">
      <w:pPr>
        <w:rPr>
          <w:b/>
          <w:bCs/>
        </w:rPr>
      </w:pPr>
    </w:p>
    <w:p w:rsidR="00F430E7" w:rsidP="00F430E7" w:rsidRDefault="00F430E7" w14:paraId="716C3724" w14:textId="77777777">
      <w:pPr>
        <w:rPr>
          <w:b/>
          <w:bCs/>
        </w:rPr>
      </w:pPr>
    </w:p>
    <w:p w:rsidR="00F430E7" w:rsidP="00F430E7" w:rsidRDefault="00F430E7" w14:paraId="5F8C599C" w14:textId="77777777">
      <w:pPr>
        <w:rPr>
          <w:b/>
          <w:bCs/>
        </w:rPr>
      </w:pPr>
      <w:r>
        <w:rPr>
          <w:b/>
          <w:bCs/>
        </w:rPr>
        <w:t>Vraag 7</w:t>
      </w:r>
    </w:p>
    <w:p w:rsidRPr="00FD442B" w:rsidR="00F430E7" w:rsidP="00F430E7" w:rsidRDefault="00F430E7" w14:paraId="2656A77D" w14:textId="77777777">
      <w:pPr>
        <w:rPr>
          <w:b/>
          <w:bCs/>
        </w:rPr>
      </w:pPr>
      <w:r w:rsidRPr="00FD442B">
        <w:rPr>
          <w:b/>
          <w:bCs/>
        </w:rPr>
        <w:t xml:space="preserve">Bent u het ermee eens dat een totaalverbod op online gokreclames kan helpen in het </w:t>
      </w:r>
      <w:proofErr w:type="spellStart"/>
      <w:r w:rsidRPr="00FD442B">
        <w:rPr>
          <w:b/>
          <w:bCs/>
        </w:rPr>
        <w:t>denormaliseren</w:t>
      </w:r>
      <w:proofErr w:type="spellEnd"/>
      <w:r w:rsidRPr="00FD442B">
        <w:rPr>
          <w:b/>
          <w:bCs/>
        </w:rPr>
        <w:t xml:space="preserve"> van online gokken, vooral voor jongvolwassenen?  </w:t>
      </w:r>
    </w:p>
    <w:p w:rsidR="00F430E7" w:rsidP="00F430E7" w:rsidRDefault="00F430E7" w14:paraId="65643CE0" w14:textId="77777777">
      <w:pPr>
        <w:rPr>
          <w:b/>
          <w:bCs/>
        </w:rPr>
      </w:pPr>
    </w:p>
    <w:p w:rsidRPr="00FD442B" w:rsidR="00F430E7" w:rsidP="00F430E7" w:rsidRDefault="00F430E7" w14:paraId="51804EBE" w14:textId="77777777">
      <w:pPr>
        <w:rPr>
          <w:b/>
          <w:bCs/>
        </w:rPr>
      </w:pPr>
      <w:r>
        <w:rPr>
          <w:b/>
          <w:bCs/>
        </w:rPr>
        <w:t xml:space="preserve">Antwoord op vraag 7 </w:t>
      </w:r>
    </w:p>
    <w:p w:rsidRPr="00FD442B" w:rsidR="00F430E7" w:rsidP="00F430E7" w:rsidRDefault="00F430E7" w14:paraId="4259A20B" w14:textId="77777777">
      <w:r w:rsidRPr="00FD442B">
        <w:t xml:space="preserve">Zoals ik in het antwoord op vraag 4 heb aangegeven is normalisatie van online gokken een complex proces waarbij de sociale omgeving een belangrijke factor is. Reclame speelt ook een rol. Als het gaat om reclame in de online omgeving moet daarnaast in aanmerking worden genomen dat deze op dit moment voor een groot deel bestaat uit reclame voor illegaal aanbod. Dan gaat het om reclame via </w:t>
      </w:r>
      <w:proofErr w:type="spellStart"/>
      <w:r w:rsidRPr="00FD442B">
        <w:t>social</w:t>
      </w:r>
      <w:proofErr w:type="spellEnd"/>
      <w:r w:rsidRPr="00FD442B">
        <w:t xml:space="preserve"> media zoals Facebook of </w:t>
      </w:r>
      <w:proofErr w:type="spellStart"/>
      <w:r w:rsidRPr="00FD442B">
        <w:t>TikTok</w:t>
      </w:r>
      <w:proofErr w:type="spellEnd"/>
      <w:r w:rsidRPr="00FD442B">
        <w:t xml:space="preserve"> onder andere door </w:t>
      </w:r>
      <w:proofErr w:type="spellStart"/>
      <w:r w:rsidRPr="00FD442B">
        <w:t>influencers</w:t>
      </w:r>
      <w:proofErr w:type="spellEnd"/>
      <w:r w:rsidRPr="00FD442B">
        <w:t xml:space="preserve">. Het bestrijden van dat soort ongewenste reclames wordt niet geraakt door de maatregelen in het reguleren van de reclame voor het legale aanbod. Hiervoor is meer inzet op handhaving van illegaal aanbod nodig. Bij de afweging hoe verstrekkend een reclameverbod voor vergunde online kansspelen moet zijn moet hiermee rekening worden gehouden. </w:t>
      </w:r>
    </w:p>
    <w:p w:rsidRPr="00FD442B" w:rsidR="00F430E7" w:rsidP="00F430E7" w:rsidRDefault="00F430E7" w14:paraId="03AA63BB" w14:textId="77777777"/>
    <w:p w:rsidR="00F430E7" w:rsidP="00F430E7" w:rsidRDefault="00F430E7" w14:paraId="3AC0A758" w14:textId="77777777">
      <w:pPr>
        <w:rPr>
          <w:b/>
          <w:bCs/>
        </w:rPr>
      </w:pPr>
      <w:r>
        <w:rPr>
          <w:b/>
          <w:bCs/>
        </w:rPr>
        <w:t>Vraag 8</w:t>
      </w:r>
    </w:p>
    <w:p w:rsidRPr="00FD442B" w:rsidR="00F430E7" w:rsidP="00F430E7" w:rsidRDefault="00F430E7" w14:paraId="0BE0AD78" w14:textId="77777777">
      <w:pPr>
        <w:rPr>
          <w:b/>
          <w:bCs/>
        </w:rPr>
      </w:pPr>
      <w:r w:rsidRPr="00FD442B">
        <w:rPr>
          <w:b/>
          <w:bCs/>
        </w:rPr>
        <w:t xml:space="preserve">Hoe wordt op dit moment opgetreden tegen </w:t>
      </w:r>
      <w:proofErr w:type="spellStart"/>
      <w:r w:rsidRPr="00FD442B">
        <w:rPr>
          <w:b/>
          <w:bCs/>
        </w:rPr>
        <w:t>influencers</w:t>
      </w:r>
      <w:proofErr w:type="spellEnd"/>
      <w:r w:rsidRPr="00FD442B">
        <w:rPr>
          <w:b/>
          <w:bCs/>
        </w:rPr>
        <w:t xml:space="preserve"> die reclame maken voor online goksites?  </w:t>
      </w:r>
    </w:p>
    <w:p w:rsidR="00F430E7" w:rsidP="00F430E7" w:rsidRDefault="00F430E7" w14:paraId="456B878C" w14:textId="77777777">
      <w:pPr>
        <w:rPr>
          <w:b/>
          <w:bCs/>
        </w:rPr>
      </w:pPr>
    </w:p>
    <w:p w:rsidRPr="00FD442B" w:rsidR="00F430E7" w:rsidP="00F430E7" w:rsidRDefault="00F430E7" w14:paraId="493BCD1E" w14:textId="77777777">
      <w:pPr>
        <w:rPr>
          <w:b/>
          <w:bCs/>
        </w:rPr>
      </w:pPr>
      <w:r>
        <w:rPr>
          <w:b/>
          <w:bCs/>
        </w:rPr>
        <w:t xml:space="preserve">Antwoord op vraag 8 </w:t>
      </w:r>
    </w:p>
    <w:p w:rsidRPr="00FD442B" w:rsidR="00F430E7" w:rsidP="00F430E7" w:rsidRDefault="00F430E7" w14:paraId="1638C7C6" w14:textId="77777777">
      <w:r w:rsidRPr="00FD442B">
        <w:t xml:space="preserve">De inzet van rolmodellen, zoals </w:t>
      </w:r>
      <w:proofErr w:type="spellStart"/>
      <w:r w:rsidRPr="00FD442B">
        <w:t>influencers</w:t>
      </w:r>
      <w:proofErr w:type="spellEnd"/>
      <w:r w:rsidRPr="00FD442B">
        <w:t xml:space="preserve">, bij reclame voor vergunde online kansspelen is verboden. De </w:t>
      </w:r>
      <w:proofErr w:type="spellStart"/>
      <w:r w:rsidRPr="00FD442B">
        <w:t>Ksa</w:t>
      </w:r>
      <w:proofErr w:type="spellEnd"/>
      <w:r w:rsidRPr="00FD442B">
        <w:t xml:space="preserve"> heeft in dat kader recentelijk een aanbieder aangesproken.</w:t>
      </w:r>
      <w:r w:rsidRPr="00FD442B">
        <w:rPr>
          <w:rStyle w:val="Voetnootmarkering"/>
        </w:rPr>
        <w:footnoteReference w:id="7"/>
      </w:r>
      <w:r w:rsidRPr="00FD442B">
        <w:t xml:space="preserve"> Reclame door </w:t>
      </w:r>
      <w:proofErr w:type="spellStart"/>
      <w:r w:rsidRPr="00FD442B">
        <w:t>influencers</w:t>
      </w:r>
      <w:proofErr w:type="spellEnd"/>
      <w:r w:rsidRPr="00FD442B">
        <w:t xml:space="preserve"> voor illegaal aanbod is uiteraard ook verboden. De </w:t>
      </w:r>
      <w:proofErr w:type="spellStart"/>
      <w:r w:rsidRPr="00FD442B">
        <w:t>Ksa</w:t>
      </w:r>
      <w:proofErr w:type="spellEnd"/>
      <w:r w:rsidRPr="00FD442B">
        <w:t xml:space="preserve"> houdt toezicht en treedt op tegen overtredingen. De </w:t>
      </w:r>
      <w:proofErr w:type="spellStart"/>
      <w:r w:rsidRPr="00FD442B">
        <w:t>Ksa</w:t>
      </w:r>
      <w:proofErr w:type="spellEnd"/>
      <w:r w:rsidRPr="00FD442B">
        <w:t xml:space="preserve"> heeft eerder </w:t>
      </w:r>
      <w:proofErr w:type="spellStart"/>
      <w:r w:rsidRPr="00FD442B">
        <w:t>influencers</w:t>
      </w:r>
      <w:proofErr w:type="spellEnd"/>
      <w:r w:rsidRPr="00FD442B">
        <w:t xml:space="preserve"> die reclame maakten voor een illegale kansspelaanbieder een last onder dwangsom opgelegd.</w:t>
      </w:r>
      <w:r w:rsidRPr="00FD442B">
        <w:rPr>
          <w:rStyle w:val="Voetnootmarkering"/>
        </w:rPr>
        <w:footnoteReference w:id="8"/>
      </w:r>
      <w:r w:rsidRPr="00FD442B">
        <w:t xml:space="preserve"> In de toezichtagenda 2026 geeft de </w:t>
      </w:r>
      <w:proofErr w:type="spellStart"/>
      <w:r w:rsidRPr="00FD442B">
        <w:t>Ksa</w:t>
      </w:r>
      <w:proofErr w:type="spellEnd"/>
      <w:r w:rsidRPr="00FD442B">
        <w:t xml:space="preserve"> aan dat zij zich komend jaar extra richt op toezicht op reclame en dat zij extra capaciteit inzet op het frustreren van illegale infrastructuur, in samenwerking met onder andere sociale mediabedrijven.</w:t>
      </w:r>
    </w:p>
    <w:p w:rsidRPr="00FD442B" w:rsidR="00F430E7" w:rsidP="00F430E7" w:rsidRDefault="00F430E7" w14:paraId="1B54C289" w14:textId="77777777">
      <w:pPr>
        <w:rPr>
          <w:b/>
          <w:bCs/>
        </w:rPr>
      </w:pPr>
    </w:p>
    <w:p w:rsidR="00F430E7" w:rsidP="00F430E7" w:rsidRDefault="00F430E7" w14:paraId="1DB7BFD0" w14:textId="77777777">
      <w:pPr>
        <w:rPr>
          <w:b/>
          <w:bCs/>
        </w:rPr>
      </w:pPr>
      <w:r>
        <w:rPr>
          <w:b/>
          <w:bCs/>
        </w:rPr>
        <w:t>Vraag 9</w:t>
      </w:r>
    </w:p>
    <w:p w:rsidRPr="00FD442B" w:rsidR="00F430E7" w:rsidP="00F430E7" w:rsidRDefault="00F430E7" w14:paraId="2D465153" w14:textId="77777777">
      <w:pPr>
        <w:rPr>
          <w:b/>
          <w:bCs/>
        </w:rPr>
      </w:pPr>
      <w:r w:rsidRPr="00FD442B">
        <w:rPr>
          <w:b/>
          <w:bCs/>
        </w:rPr>
        <w:t>Bent u bereid om in gesprek te gaan met de Kansspelautoriteit om hardere sancties in te voeren voor aanbieders die leeftijdsverificatie omzeilen of niet kunnen garanderen, zoals het direct offline halen van de site en het intrekken van de vergunning?  </w:t>
      </w:r>
    </w:p>
    <w:p w:rsidR="00F430E7" w:rsidP="00F430E7" w:rsidRDefault="00F430E7" w14:paraId="7DAAB0EB" w14:textId="77777777">
      <w:pPr>
        <w:rPr>
          <w:b/>
          <w:bCs/>
        </w:rPr>
      </w:pPr>
    </w:p>
    <w:p w:rsidRPr="00FD442B" w:rsidR="00F430E7" w:rsidP="00F430E7" w:rsidRDefault="00F430E7" w14:paraId="18522A6C" w14:textId="77777777">
      <w:pPr>
        <w:rPr>
          <w:b/>
          <w:bCs/>
        </w:rPr>
      </w:pPr>
      <w:r>
        <w:rPr>
          <w:b/>
          <w:bCs/>
        </w:rPr>
        <w:t>Antwoord op vraag 9</w:t>
      </w:r>
    </w:p>
    <w:p w:rsidRPr="00FD442B" w:rsidR="00F430E7" w:rsidP="00F430E7" w:rsidRDefault="00F430E7" w14:paraId="23323F3D" w14:textId="77777777">
      <w:r w:rsidRPr="00FD442B">
        <w:t xml:space="preserve">De </w:t>
      </w:r>
      <w:proofErr w:type="spellStart"/>
      <w:r w:rsidRPr="00FD442B">
        <w:t>Ksa</w:t>
      </w:r>
      <w:proofErr w:type="spellEnd"/>
      <w:r w:rsidRPr="00FD442B">
        <w:t xml:space="preserve"> treedt op in het geval dat een vergunde kansspelaanbieder niet voldoet aan de strenge eisen voor leeftijdsverificatie. In gevallen dat de leeftijdsverificatie omzeild wordt bij legale aanbieders gebeurt dit echter vaak via accounts van volwassen kennissen, familie en vrienden. Bij het illegale aanbod kan de leeftijdsverificatie volledig ontbreken of niet voldoende worden gedaan. Daarom vind ik het belangrijk om juist ook in te zetten de aanpak van illegaal aanbod en op </w:t>
      </w:r>
      <w:proofErr w:type="spellStart"/>
      <w:r w:rsidRPr="00FD442B">
        <w:t>denormalisatie</w:t>
      </w:r>
      <w:proofErr w:type="spellEnd"/>
      <w:r w:rsidRPr="00FD442B">
        <w:t xml:space="preserve"> van online gokken bij minderjarigen, zodat zij überhaupt niet online willen gaan gokken.</w:t>
      </w:r>
    </w:p>
    <w:p w:rsidRPr="00FD442B" w:rsidR="00F430E7" w:rsidP="00F430E7" w:rsidRDefault="00F430E7" w14:paraId="59B0BE02" w14:textId="77777777"/>
    <w:p w:rsidR="00F430E7" w:rsidP="00F430E7" w:rsidRDefault="00F430E7" w14:paraId="6C762B11" w14:textId="77777777">
      <w:pPr>
        <w:rPr>
          <w:b/>
          <w:bCs/>
        </w:rPr>
      </w:pPr>
    </w:p>
    <w:p w:rsidR="00F430E7" w:rsidP="00F430E7" w:rsidRDefault="00F430E7" w14:paraId="0C5F0AF0" w14:textId="77777777">
      <w:pPr>
        <w:rPr>
          <w:b/>
          <w:bCs/>
        </w:rPr>
      </w:pPr>
      <w:r>
        <w:rPr>
          <w:b/>
          <w:bCs/>
        </w:rPr>
        <w:t xml:space="preserve">Vraag 10 </w:t>
      </w:r>
    </w:p>
    <w:p w:rsidR="00F430E7" w:rsidP="00F430E7" w:rsidRDefault="00F430E7" w14:paraId="3533520F" w14:textId="77777777">
      <w:pPr>
        <w:rPr>
          <w:b/>
          <w:bCs/>
        </w:rPr>
      </w:pPr>
      <w:r w:rsidRPr="00FD442B">
        <w:rPr>
          <w:b/>
          <w:bCs/>
        </w:rPr>
        <w:t>Hoeveel mensen kampen</w:t>
      </w:r>
      <w:r w:rsidRPr="00411B29">
        <w:rPr>
          <w:b/>
          <w:bCs/>
        </w:rPr>
        <w:t xml:space="preserve"> naar </w:t>
      </w:r>
      <w:r>
        <w:rPr>
          <w:b/>
          <w:bCs/>
        </w:rPr>
        <w:t>s</w:t>
      </w:r>
      <w:r w:rsidRPr="00411B29">
        <w:rPr>
          <w:b/>
          <w:bCs/>
        </w:rPr>
        <w:t>chatting op dit moment met een online gokverslaving sinds 2021?  </w:t>
      </w:r>
    </w:p>
    <w:p w:rsidRPr="00411B29" w:rsidR="00F430E7" w:rsidP="00F430E7" w:rsidRDefault="00F430E7" w14:paraId="0CDFDE1F" w14:textId="77777777">
      <w:pPr>
        <w:rPr>
          <w:b/>
          <w:bCs/>
        </w:rPr>
      </w:pPr>
    </w:p>
    <w:p w:rsidR="00F430E7" w:rsidP="00F430E7" w:rsidRDefault="00F430E7" w14:paraId="0359087B" w14:textId="77777777">
      <w:pPr>
        <w:rPr>
          <w:b/>
          <w:bCs/>
        </w:rPr>
      </w:pPr>
      <w:r>
        <w:rPr>
          <w:b/>
          <w:bCs/>
        </w:rPr>
        <w:t>Vraag 11</w:t>
      </w:r>
    </w:p>
    <w:p w:rsidR="00F430E7" w:rsidP="00F430E7" w:rsidRDefault="00F430E7" w14:paraId="09A71986" w14:textId="77777777">
      <w:pPr>
        <w:rPr>
          <w:b/>
          <w:bCs/>
        </w:rPr>
      </w:pPr>
      <w:r w:rsidRPr="00411B29">
        <w:rPr>
          <w:b/>
          <w:bCs/>
        </w:rPr>
        <w:t>Wat is volgens u de reden dat sinds 2021 de verslavingscijfers van online gokken zijn gestegen?  </w:t>
      </w:r>
    </w:p>
    <w:p w:rsidR="00F430E7" w:rsidP="00F430E7" w:rsidRDefault="00F430E7" w14:paraId="6A8ADE0D" w14:textId="77777777">
      <w:pPr>
        <w:rPr>
          <w:b/>
          <w:bCs/>
        </w:rPr>
      </w:pPr>
    </w:p>
    <w:p w:rsidRPr="00411B29" w:rsidR="00F430E7" w:rsidP="00F430E7" w:rsidRDefault="00F430E7" w14:paraId="6C7597A6" w14:textId="77777777">
      <w:pPr>
        <w:rPr>
          <w:b/>
          <w:bCs/>
        </w:rPr>
      </w:pPr>
      <w:r>
        <w:rPr>
          <w:b/>
          <w:bCs/>
        </w:rPr>
        <w:t>Antwoord op vragen 10 en 11</w:t>
      </w:r>
    </w:p>
    <w:p w:rsidR="00F430E7" w:rsidP="00F430E7" w:rsidRDefault="00F430E7" w14:paraId="7647AFF7" w14:textId="77777777">
      <w:r>
        <w:t>Cijfers over het aantal mensen dat kampt met specifiek een online gokverslaving zijn er niet. Het aantal mensen in behandeling voor gokverslaving is opgenomen in de Kerncijfers verslavingszorg 2015-2024.</w:t>
      </w:r>
      <w:r>
        <w:rPr>
          <w:rStyle w:val="Voetnootmarkering"/>
        </w:rPr>
        <w:footnoteReference w:id="9"/>
      </w:r>
      <w:r>
        <w:t xml:space="preserve"> </w:t>
      </w:r>
      <w:r w:rsidRPr="001E2ACF">
        <w:t xml:space="preserve">Na een daling tussen 2018 en 2022 neemt sinds 2023 het aandeel en het aantal personen in de verslavingszorg met als primaire problematiek gokken toe. </w:t>
      </w:r>
      <w:r>
        <w:t xml:space="preserve">In 2024 waren 2700 personen in behandeling voor gokproblematiek. Dat deze cijfers zijn gestegen kan verschillende oorzaken hebben. Het is bekend dat het aantal spelers sinds 2021 is toegenomen. Sinds 2021 is er ook meer aandacht voor gokproblematiek en hulp en ondersteuning daarbij. </w:t>
      </w:r>
    </w:p>
    <w:p w:rsidR="00F430E7" w:rsidP="00F430E7" w:rsidRDefault="00F430E7" w14:paraId="37368FE4" w14:textId="77777777"/>
    <w:p w:rsidR="00F430E7" w:rsidP="00F430E7" w:rsidRDefault="00F430E7" w14:paraId="433AECBA" w14:textId="77777777">
      <w:pPr>
        <w:rPr>
          <w:b/>
          <w:bCs/>
        </w:rPr>
      </w:pPr>
      <w:r>
        <w:rPr>
          <w:b/>
          <w:bCs/>
        </w:rPr>
        <w:t>Vraag 12</w:t>
      </w:r>
    </w:p>
    <w:p w:rsidR="00F430E7" w:rsidP="00F430E7" w:rsidRDefault="00F430E7" w14:paraId="46987FAD" w14:textId="77777777">
      <w:pPr>
        <w:rPr>
          <w:b/>
          <w:bCs/>
        </w:rPr>
      </w:pPr>
      <w:r w:rsidRPr="00411B29">
        <w:rPr>
          <w:b/>
          <w:bCs/>
        </w:rPr>
        <w:lastRenderedPageBreak/>
        <w:t>Op welke manier kunt u ervoor zorgen dat jongeren met problematisch online gokgedrag zich sneller melden bij hulporganisaties? </w:t>
      </w:r>
    </w:p>
    <w:p w:rsidRPr="00411B29" w:rsidR="00F430E7" w:rsidP="00F430E7" w:rsidRDefault="00F430E7" w14:paraId="6366DD19" w14:textId="77777777">
      <w:pPr>
        <w:rPr>
          <w:b/>
          <w:bCs/>
        </w:rPr>
      </w:pPr>
    </w:p>
    <w:p w:rsidR="00F430E7" w:rsidP="00F430E7" w:rsidRDefault="00F430E7" w14:paraId="7C3CEC55" w14:textId="77777777">
      <w:pPr>
        <w:rPr>
          <w:b/>
          <w:bCs/>
        </w:rPr>
      </w:pPr>
      <w:r>
        <w:rPr>
          <w:b/>
          <w:bCs/>
        </w:rPr>
        <w:t xml:space="preserve">Vraag 13 </w:t>
      </w:r>
    </w:p>
    <w:p w:rsidR="00F430E7" w:rsidP="00F430E7" w:rsidRDefault="00F430E7" w14:paraId="48437A6E" w14:textId="77777777">
      <w:pPr>
        <w:rPr>
          <w:b/>
          <w:bCs/>
        </w:rPr>
      </w:pPr>
      <w:r w:rsidRPr="00411B29">
        <w:rPr>
          <w:b/>
          <w:bCs/>
        </w:rPr>
        <w:t>Bent u bereid om meer preventieve maatregelen te nemen om jongeren de gevaren van online gokken te laten inzien en ervoor te zorgen dat online gokken niet wordt genormaliseerd onder jongeren? Zo ja, welke concrete maatregelen gaat u nemen?  </w:t>
      </w:r>
    </w:p>
    <w:p w:rsidR="00F430E7" w:rsidP="00F430E7" w:rsidRDefault="00F430E7" w14:paraId="5FBCAA0C" w14:textId="77777777">
      <w:pPr>
        <w:rPr>
          <w:b/>
          <w:bCs/>
        </w:rPr>
      </w:pPr>
    </w:p>
    <w:p w:rsidRPr="00411B29" w:rsidR="00F430E7" w:rsidP="00F430E7" w:rsidRDefault="00F430E7" w14:paraId="63D47143" w14:textId="77777777">
      <w:pPr>
        <w:rPr>
          <w:b/>
          <w:bCs/>
        </w:rPr>
      </w:pPr>
      <w:r>
        <w:rPr>
          <w:b/>
          <w:bCs/>
        </w:rPr>
        <w:t>Antwoord op vragen 12 en 13</w:t>
      </w:r>
    </w:p>
    <w:p w:rsidR="00F430E7" w:rsidP="00F430E7" w:rsidRDefault="00F430E7" w14:paraId="680A0E8C" w14:textId="77777777">
      <w:r>
        <w:t xml:space="preserve">De inzet op bescherming tegen de risico’s van gokken is een speerpunt van mijn beleid. In mijn antwoord op vraag 4 ben ik in gegaan op de inzet om jongeren bewuster te maken van de risico’s van gokken en de beschikbare hulp en ondersteuning. </w:t>
      </w:r>
    </w:p>
    <w:p w:rsidR="00F430E7" w:rsidP="00F430E7" w:rsidRDefault="00F430E7" w14:paraId="64DD10AF" w14:textId="77777777"/>
    <w:p w:rsidR="00F430E7" w:rsidP="00F430E7" w:rsidRDefault="00F430E7" w14:paraId="0FD60522" w14:textId="77777777">
      <w:pPr>
        <w:rPr>
          <w:b/>
          <w:bCs/>
        </w:rPr>
      </w:pPr>
      <w:r>
        <w:rPr>
          <w:b/>
          <w:bCs/>
        </w:rPr>
        <w:t>Vraag 14</w:t>
      </w:r>
    </w:p>
    <w:p w:rsidR="00F430E7" w:rsidP="00F430E7" w:rsidRDefault="00F430E7" w14:paraId="208FB0FC" w14:textId="77777777">
      <w:pPr>
        <w:rPr>
          <w:b/>
          <w:bCs/>
        </w:rPr>
      </w:pPr>
      <w:r w:rsidRPr="00411B29">
        <w:rPr>
          <w:b/>
          <w:bCs/>
        </w:rPr>
        <w:t>Bent u van mening dat het versterken van preventieprogramma’s voor online gokken op scholen hierin effectief kan zijn? </w:t>
      </w:r>
    </w:p>
    <w:p w:rsidR="00F430E7" w:rsidP="00F430E7" w:rsidRDefault="00F430E7" w14:paraId="43857FE6" w14:textId="77777777">
      <w:pPr>
        <w:rPr>
          <w:b/>
          <w:bCs/>
        </w:rPr>
      </w:pPr>
    </w:p>
    <w:p w:rsidRPr="00411B29" w:rsidR="00F430E7" w:rsidP="00F430E7" w:rsidRDefault="00F430E7" w14:paraId="738877EA" w14:textId="77777777">
      <w:pPr>
        <w:rPr>
          <w:b/>
          <w:bCs/>
        </w:rPr>
      </w:pPr>
      <w:r>
        <w:rPr>
          <w:b/>
          <w:bCs/>
        </w:rPr>
        <w:t xml:space="preserve">Antwoord op vraag 14 </w:t>
      </w:r>
    </w:p>
    <w:p w:rsidRPr="00FD442B" w:rsidR="00F430E7" w:rsidP="00F430E7" w:rsidRDefault="00F430E7" w14:paraId="556D3249" w14:textId="77777777">
      <w:r w:rsidRPr="00FD442B">
        <w:t xml:space="preserve">Ik vind dat preventieprogramma’s voor online gokken op scholen effectief kunnen zijn. Tegelijkertijd is wel van belang dat dit met zorgvuldigheid wordt vormgegeven om jongeren niet op ideeën te brengen of af te schrikken om hulp te zoeken. Daarom moet naast de jongere zelf ook de omgeving van de jongere worden betrokken bij preventieprogramma’s. Via het Verslavingspreventiefonds dat de </w:t>
      </w:r>
      <w:proofErr w:type="spellStart"/>
      <w:r w:rsidRPr="00FD442B">
        <w:t>Ksa</w:t>
      </w:r>
      <w:proofErr w:type="spellEnd"/>
      <w:r w:rsidRPr="00FD442B">
        <w:t xml:space="preserve"> beheert wordt reeds het programma Helder op school uitgebreid met het thema gokken. </w:t>
      </w:r>
    </w:p>
    <w:p w:rsidRPr="00FD442B" w:rsidR="00F430E7" w:rsidP="00F430E7" w:rsidRDefault="00F430E7" w14:paraId="592EF21C" w14:textId="77777777">
      <w:pPr>
        <w:rPr>
          <w:b/>
          <w:bCs/>
        </w:rPr>
      </w:pPr>
    </w:p>
    <w:p w:rsidR="00F430E7" w:rsidP="00F430E7" w:rsidRDefault="00F430E7" w14:paraId="790B02F8" w14:textId="77777777">
      <w:pPr>
        <w:rPr>
          <w:b/>
          <w:bCs/>
        </w:rPr>
      </w:pPr>
    </w:p>
    <w:p w:rsidR="00F430E7" w:rsidP="00F430E7" w:rsidRDefault="00F430E7" w14:paraId="367DEC64" w14:textId="77777777">
      <w:pPr>
        <w:rPr>
          <w:b/>
          <w:bCs/>
        </w:rPr>
      </w:pPr>
    </w:p>
    <w:p w:rsidR="00F430E7" w:rsidP="00F430E7" w:rsidRDefault="00F430E7" w14:paraId="17E27B64" w14:textId="77777777">
      <w:pPr>
        <w:rPr>
          <w:b/>
          <w:bCs/>
        </w:rPr>
      </w:pPr>
      <w:r>
        <w:rPr>
          <w:b/>
          <w:bCs/>
        </w:rPr>
        <w:t xml:space="preserve">Vraag 15 </w:t>
      </w:r>
    </w:p>
    <w:p w:rsidRPr="00FD442B" w:rsidR="00F430E7" w:rsidP="00F430E7" w:rsidRDefault="00F430E7" w14:paraId="66A4749B" w14:textId="77777777">
      <w:pPr>
        <w:rPr>
          <w:b/>
          <w:bCs/>
        </w:rPr>
      </w:pPr>
      <w:r w:rsidRPr="00FD442B">
        <w:rPr>
          <w:b/>
          <w:bCs/>
        </w:rPr>
        <w:t>Kunt u deze vragen beantwoorden voor het debat over de begroting van Justitie en Veiligheid? </w:t>
      </w:r>
    </w:p>
    <w:p w:rsidR="00F430E7" w:rsidP="00F430E7" w:rsidRDefault="00F430E7" w14:paraId="4E1A50E0" w14:textId="77777777">
      <w:pPr>
        <w:rPr>
          <w:b/>
          <w:bCs/>
        </w:rPr>
      </w:pPr>
    </w:p>
    <w:p w:rsidRPr="00FD442B" w:rsidR="00F430E7" w:rsidP="00F430E7" w:rsidRDefault="00F430E7" w14:paraId="629D70CC" w14:textId="77777777">
      <w:pPr>
        <w:rPr>
          <w:b/>
          <w:bCs/>
        </w:rPr>
      </w:pPr>
      <w:r>
        <w:rPr>
          <w:b/>
          <w:bCs/>
        </w:rPr>
        <w:t xml:space="preserve">Antwoord op vraag 15 </w:t>
      </w:r>
    </w:p>
    <w:p w:rsidR="00F430E7" w:rsidP="00F430E7" w:rsidRDefault="00F430E7" w14:paraId="4CFD30A1" w14:textId="77777777">
      <w:r w:rsidRPr="00FD442B">
        <w:t>Ik heb deze vragen zo snel als mogelijk beantwoord. Dat is helaas niet gelukt voor de behandeling van de begroting van Justitie en Veiligheid</w:t>
      </w:r>
      <w:r>
        <w:t>.</w:t>
      </w:r>
      <w:r>
        <w:br/>
      </w:r>
    </w:p>
    <w:p w:rsidR="00F430E7" w:rsidP="00F430E7" w:rsidRDefault="00F430E7" w14:paraId="283F6742" w14:textId="77777777">
      <w:r>
        <w:t> </w:t>
      </w:r>
      <w:r>
        <w:br/>
      </w:r>
    </w:p>
    <w:p w:rsidR="00F430E7" w:rsidP="00F430E7" w:rsidRDefault="00F430E7" w14:paraId="23690F7E" w14:textId="77777777">
      <w:r>
        <w:t> </w:t>
      </w:r>
      <w:r>
        <w:br/>
      </w:r>
    </w:p>
    <w:p w:rsidR="00F430E7" w:rsidP="00F430E7" w:rsidRDefault="00F430E7" w14:paraId="10841750" w14:textId="77777777"/>
    <w:p w:rsidR="00F430E7" w:rsidP="00F430E7" w:rsidRDefault="00F430E7" w14:paraId="367F16EE" w14:textId="77777777"/>
    <w:p w:rsidR="002C3023" w:rsidRDefault="002C3023" w14:paraId="449F6B26" w14:textId="77777777"/>
    <w:sectPr w:rsidR="002C3023" w:rsidSect="00F430E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CBF21" w14:textId="77777777" w:rsidR="00F430E7" w:rsidRDefault="00F430E7" w:rsidP="00F430E7">
      <w:pPr>
        <w:spacing w:after="0" w:line="240" w:lineRule="auto"/>
      </w:pPr>
      <w:r>
        <w:separator/>
      </w:r>
    </w:p>
  </w:endnote>
  <w:endnote w:type="continuationSeparator" w:id="0">
    <w:p w14:paraId="31FD7307" w14:textId="77777777" w:rsidR="00F430E7" w:rsidRDefault="00F430E7" w:rsidP="00F4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Klee On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3782" w14:textId="77777777" w:rsidR="00F430E7" w:rsidRPr="00F430E7" w:rsidRDefault="00F430E7" w:rsidP="00F430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A8FE" w14:textId="77777777" w:rsidR="00F430E7" w:rsidRPr="00F430E7" w:rsidRDefault="00F430E7" w:rsidP="00F430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5D48" w14:textId="77777777" w:rsidR="00F430E7" w:rsidRPr="00F430E7" w:rsidRDefault="00F430E7" w:rsidP="00F430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349F" w14:textId="77777777" w:rsidR="00F430E7" w:rsidRDefault="00F430E7" w:rsidP="00F430E7">
      <w:pPr>
        <w:spacing w:after="0" w:line="240" w:lineRule="auto"/>
      </w:pPr>
      <w:r>
        <w:separator/>
      </w:r>
    </w:p>
  </w:footnote>
  <w:footnote w:type="continuationSeparator" w:id="0">
    <w:p w14:paraId="3B763FAE" w14:textId="77777777" w:rsidR="00F430E7" w:rsidRDefault="00F430E7" w:rsidP="00F430E7">
      <w:pPr>
        <w:spacing w:after="0" w:line="240" w:lineRule="auto"/>
      </w:pPr>
      <w:r>
        <w:continuationSeparator/>
      </w:r>
    </w:p>
  </w:footnote>
  <w:footnote w:id="1">
    <w:p w14:paraId="68220BA6" w14:textId="77777777" w:rsidR="00F430E7" w:rsidRPr="00411B29" w:rsidRDefault="00F430E7" w:rsidP="00F430E7">
      <w:pPr>
        <w:pStyle w:val="Voetnoottekst"/>
        <w:rPr>
          <w:rFonts w:ascii="Verdana" w:hAnsi="Verdana"/>
          <w:sz w:val="16"/>
          <w:szCs w:val="16"/>
        </w:rPr>
      </w:pPr>
      <w:r w:rsidRPr="00411B29">
        <w:rPr>
          <w:rStyle w:val="Voetnootmarkering"/>
          <w:rFonts w:ascii="Verdana" w:hAnsi="Verdana"/>
          <w:sz w:val="16"/>
          <w:szCs w:val="16"/>
        </w:rPr>
        <w:footnoteRef/>
      </w:r>
      <w:r w:rsidRPr="00411B29">
        <w:rPr>
          <w:rFonts w:ascii="Verdana" w:hAnsi="Verdana"/>
          <w:sz w:val="16"/>
          <w:szCs w:val="16"/>
        </w:rPr>
        <w:t xml:space="preserve"> Tubantia, 12 januari 2026. Geraadpleegd via https://www.tubantia.nl/enschede/steeds-meer-jongeren-verslaafd-aan-online-gokken-in-mbo-klassen-steken-bijna-alle-jongens-hun-hand-op~a50d5e38/?referrer=https%3A%2F%2Fwww.google.com%2F&amp;cb=c0fbbb5e-07a9-4ad0-b98f-c21c5ecdb7a4&amp;auth_rd=1  </w:t>
      </w:r>
    </w:p>
  </w:footnote>
  <w:footnote w:id="2">
    <w:p w14:paraId="7D25D563" w14:textId="77777777" w:rsidR="00F430E7" w:rsidRPr="00411B29" w:rsidRDefault="00F430E7" w:rsidP="00F430E7">
      <w:pPr>
        <w:pStyle w:val="Voetnoottekst"/>
        <w:rPr>
          <w:rFonts w:ascii="Verdana" w:hAnsi="Verdana"/>
          <w:sz w:val="16"/>
          <w:szCs w:val="16"/>
        </w:rPr>
      </w:pPr>
      <w:r w:rsidRPr="00411B29">
        <w:rPr>
          <w:rStyle w:val="Voetnootmarkering"/>
          <w:rFonts w:ascii="Verdana" w:hAnsi="Verdana"/>
          <w:sz w:val="16"/>
          <w:szCs w:val="16"/>
        </w:rPr>
        <w:footnoteRef/>
      </w:r>
      <w:r w:rsidRPr="00411B29">
        <w:rPr>
          <w:rFonts w:ascii="Verdana" w:hAnsi="Verdana"/>
          <w:sz w:val="16"/>
          <w:szCs w:val="16"/>
        </w:rPr>
        <w:t xml:space="preserve"> Stichting Informatievoorziening Zorg (IVZ) (2025). Kerncijfers verslavingszorg 2015–2024. Geraadpleegd via https://www.ladis.eu/nl/publicaties/kerncijfers</w:t>
      </w:r>
    </w:p>
  </w:footnote>
  <w:footnote w:id="3">
    <w:p w14:paraId="2F78415C" w14:textId="77777777" w:rsidR="00F430E7" w:rsidRPr="00411B29" w:rsidRDefault="00F430E7" w:rsidP="00F430E7">
      <w:pPr>
        <w:pStyle w:val="Voetnoottekst"/>
        <w:rPr>
          <w:rFonts w:ascii="Verdana" w:hAnsi="Verdana"/>
          <w:sz w:val="16"/>
          <w:szCs w:val="16"/>
        </w:rPr>
      </w:pPr>
      <w:r w:rsidRPr="00411B29">
        <w:rPr>
          <w:rStyle w:val="Voetnootmarkering"/>
          <w:rFonts w:ascii="Verdana" w:hAnsi="Verdana"/>
          <w:sz w:val="16"/>
          <w:szCs w:val="16"/>
        </w:rPr>
        <w:footnoteRef/>
      </w:r>
      <w:r w:rsidRPr="00411B29">
        <w:rPr>
          <w:rFonts w:ascii="Verdana" w:hAnsi="Verdana"/>
          <w:sz w:val="16"/>
          <w:szCs w:val="16"/>
        </w:rPr>
        <w:t xml:space="preserve"> Van Miltenburg, C.J.A., &amp; Hollander, D. (2025). Deelname aan kansspelen in Nederland, meting 2025 (2025/102). </w:t>
      </w:r>
      <w:proofErr w:type="spellStart"/>
      <w:r w:rsidRPr="00411B29">
        <w:rPr>
          <w:rFonts w:ascii="Verdana" w:hAnsi="Verdana"/>
          <w:sz w:val="16"/>
          <w:szCs w:val="16"/>
        </w:rPr>
        <w:t>Ipsos</w:t>
      </w:r>
      <w:proofErr w:type="spellEnd"/>
      <w:r w:rsidRPr="00411B29">
        <w:rPr>
          <w:rFonts w:ascii="Verdana" w:hAnsi="Verdana"/>
          <w:sz w:val="16"/>
          <w:szCs w:val="16"/>
        </w:rPr>
        <w:t xml:space="preserve"> I&amp;O in opdracht van het WODC. </w:t>
      </w:r>
    </w:p>
  </w:footnote>
  <w:footnote w:id="4">
    <w:p w14:paraId="33702CC8" w14:textId="77777777" w:rsidR="00F430E7" w:rsidRDefault="00F430E7" w:rsidP="00F430E7">
      <w:pPr>
        <w:pStyle w:val="Voetnoottekst"/>
      </w:pPr>
      <w:r w:rsidRPr="00411B29">
        <w:rPr>
          <w:rStyle w:val="Voetnootmarkering"/>
          <w:rFonts w:ascii="Verdana" w:hAnsi="Verdana"/>
          <w:sz w:val="16"/>
          <w:szCs w:val="16"/>
        </w:rPr>
        <w:footnoteRef/>
      </w:r>
      <w:r w:rsidRPr="00411B29">
        <w:rPr>
          <w:rFonts w:ascii="Verdana" w:hAnsi="Verdana"/>
          <w:sz w:val="16"/>
          <w:szCs w:val="16"/>
        </w:rPr>
        <w:t xml:space="preserve"> TNO (2025). De dynamiek van online kansspelen (P102) Bijsturen in een zelfversterkend systeem</w:t>
      </w:r>
    </w:p>
  </w:footnote>
  <w:footnote w:id="5">
    <w:p w14:paraId="7172BDA2" w14:textId="77777777" w:rsidR="00F430E7" w:rsidRDefault="00F430E7" w:rsidP="00F430E7">
      <w:pPr>
        <w:pStyle w:val="Voetnoottekst"/>
      </w:pPr>
      <w:r>
        <w:rPr>
          <w:rStyle w:val="Voetnootmarkering"/>
        </w:rPr>
        <w:footnoteRef/>
      </w:r>
      <w:r>
        <w:t xml:space="preserve"> </w:t>
      </w:r>
      <w:hyperlink r:id="rId1" w:history="1">
        <w:r w:rsidRPr="000A4591">
          <w:rPr>
            <w:rStyle w:val="Hyperlink"/>
            <w:rFonts w:ascii="Verdana" w:hAnsi="Verdana"/>
            <w:sz w:val="16"/>
            <w:szCs w:val="16"/>
          </w:rPr>
          <w:t xml:space="preserve">Roda JC vraagt met ‘min-rugnummers’ aandacht voor gevolgen </w:t>
        </w:r>
        <w:proofErr w:type="spellStart"/>
        <w:r w:rsidRPr="000A4591">
          <w:rPr>
            <w:rStyle w:val="Hyperlink"/>
            <w:rFonts w:ascii="Verdana" w:hAnsi="Verdana"/>
            <w:sz w:val="16"/>
            <w:szCs w:val="16"/>
          </w:rPr>
          <w:t>sportbetjes</w:t>
        </w:r>
        <w:proofErr w:type="spellEnd"/>
        <w:r w:rsidRPr="000A4591">
          <w:rPr>
            <w:rStyle w:val="Hyperlink"/>
            <w:rFonts w:ascii="Verdana" w:hAnsi="Verdana"/>
            <w:sz w:val="16"/>
            <w:szCs w:val="16"/>
          </w:rPr>
          <w:t xml:space="preserve"> onder jongeren | Kansspelautoriteit</w:t>
        </w:r>
      </w:hyperlink>
    </w:p>
  </w:footnote>
  <w:footnote w:id="6">
    <w:p w14:paraId="59E1ECE8" w14:textId="77777777" w:rsidR="00F430E7" w:rsidRPr="00411B29" w:rsidRDefault="00F430E7" w:rsidP="00F430E7">
      <w:pPr>
        <w:pStyle w:val="Voetnoottekst"/>
        <w:rPr>
          <w:rFonts w:ascii="Verdana" w:hAnsi="Verdana"/>
          <w:sz w:val="16"/>
          <w:szCs w:val="16"/>
        </w:rPr>
      </w:pPr>
      <w:r w:rsidRPr="00411B29">
        <w:rPr>
          <w:rStyle w:val="Voetnootmarkering"/>
          <w:rFonts w:ascii="Verdana" w:hAnsi="Verdana"/>
          <w:sz w:val="16"/>
          <w:szCs w:val="16"/>
        </w:rPr>
        <w:footnoteRef/>
      </w:r>
      <w:r w:rsidRPr="00411B29">
        <w:rPr>
          <w:rFonts w:ascii="Verdana" w:hAnsi="Verdana"/>
          <w:sz w:val="16"/>
          <w:szCs w:val="16"/>
        </w:rPr>
        <w:t xml:space="preserve"> </w:t>
      </w:r>
      <w:r w:rsidRPr="00411B29">
        <w:rPr>
          <w:rFonts w:ascii="Verdana" w:hAnsi="Verdana"/>
          <w:i/>
          <w:iCs/>
          <w:sz w:val="16"/>
          <w:szCs w:val="16"/>
        </w:rPr>
        <w:t>Kamerstukken II</w:t>
      </w:r>
      <w:r w:rsidRPr="00411B29">
        <w:rPr>
          <w:rFonts w:ascii="Verdana" w:hAnsi="Verdana"/>
          <w:sz w:val="16"/>
          <w:szCs w:val="16"/>
        </w:rPr>
        <w:t>, 2024/25, 24557, nr. 2721.</w:t>
      </w:r>
    </w:p>
  </w:footnote>
  <w:footnote w:id="7">
    <w:p w14:paraId="4B4A6044" w14:textId="77777777" w:rsidR="00F430E7" w:rsidRPr="00411B29" w:rsidRDefault="00F430E7" w:rsidP="00F430E7">
      <w:pPr>
        <w:pStyle w:val="Voetnoottekst"/>
        <w:rPr>
          <w:rFonts w:ascii="Verdana" w:hAnsi="Verdana"/>
          <w:sz w:val="16"/>
          <w:szCs w:val="16"/>
        </w:rPr>
      </w:pPr>
      <w:r w:rsidRPr="00411B29">
        <w:rPr>
          <w:rStyle w:val="Voetnootmarkering"/>
          <w:rFonts w:ascii="Verdana" w:hAnsi="Verdana"/>
          <w:sz w:val="16"/>
          <w:szCs w:val="16"/>
        </w:rPr>
        <w:footnoteRef/>
      </w:r>
      <w:r w:rsidRPr="00411B29">
        <w:rPr>
          <w:rFonts w:ascii="Verdana" w:hAnsi="Verdana"/>
          <w:sz w:val="16"/>
          <w:szCs w:val="16"/>
        </w:rPr>
        <w:t xml:space="preserve"> </w:t>
      </w:r>
      <w:hyperlink r:id="rId2" w:history="1">
        <w:proofErr w:type="spellStart"/>
        <w:r w:rsidRPr="00411B29">
          <w:rPr>
            <w:rStyle w:val="Hyperlink"/>
            <w:rFonts w:ascii="Verdana" w:hAnsi="Verdana"/>
            <w:sz w:val="16"/>
            <w:szCs w:val="16"/>
          </w:rPr>
          <w:t>Ksa</w:t>
        </w:r>
        <w:proofErr w:type="spellEnd"/>
        <w:r w:rsidRPr="00411B29">
          <w:rPr>
            <w:rStyle w:val="Hyperlink"/>
            <w:rFonts w:ascii="Verdana" w:hAnsi="Verdana"/>
            <w:sz w:val="16"/>
            <w:szCs w:val="16"/>
          </w:rPr>
          <w:t xml:space="preserve"> spreekt 711 aan op overtreding rolmodellenverbod | Kansspelautoriteit</w:t>
        </w:r>
      </w:hyperlink>
    </w:p>
  </w:footnote>
  <w:footnote w:id="8">
    <w:p w14:paraId="7F5BDE53" w14:textId="77777777" w:rsidR="00F430E7" w:rsidRPr="00411B29" w:rsidRDefault="00F430E7" w:rsidP="00F430E7">
      <w:pPr>
        <w:pStyle w:val="Voetnoottekst"/>
        <w:rPr>
          <w:rFonts w:ascii="Verdana" w:hAnsi="Verdana"/>
          <w:sz w:val="16"/>
          <w:szCs w:val="16"/>
        </w:rPr>
      </w:pPr>
      <w:r w:rsidRPr="00411B29">
        <w:rPr>
          <w:rStyle w:val="Voetnootmarkering"/>
          <w:rFonts w:ascii="Verdana" w:hAnsi="Verdana"/>
          <w:sz w:val="16"/>
          <w:szCs w:val="16"/>
        </w:rPr>
        <w:footnoteRef/>
      </w:r>
      <w:r w:rsidRPr="00411B29">
        <w:rPr>
          <w:rFonts w:ascii="Verdana" w:hAnsi="Verdana"/>
          <w:sz w:val="16"/>
          <w:szCs w:val="16"/>
        </w:rPr>
        <w:t xml:space="preserve"> </w:t>
      </w:r>
      <w:hyperlink r:id="rId3" w:history="1">
        <w:proofErr w:type="spellStart"/>
        <w:r w:rsidRPr="00411B29">
          <w:rPr>
            <w:rStyle w:val="Hyperlink"/>
            <w:rFonts w:ascii="Verdana" w:hAnsi="Verdana"/>
            <w:sz w:val="16"/>
            <w:szCs w:val="16"/>
          </w:rPr>
          <w:t>Ksa</w:t>
        </w:r>
        <w:proofErr w:type="spellEnd"/>
        <w:r w:rsidRPr="00411B29">
          <w:rPr>
            <w:rStyle w:val="Hyperlink"/>
            <w:rFonts w:ascii="Verdana" w:hAnsi="Verdana"/>
            <w:sz w:val="16"/>
            <w:szCs w:val="16"/>
          </w:rPr>
          <w:t xml:space="preserve"> pakt opnieuw </w:t>
        </w:r>
        <w:proofErr w:type="spellStart"/>
        <w:r w:rsidRPr="00411B29">
          <w:rPr>
            <w:rStyle w:val="Hyperlink"/>
            <w:rFonts w:ascii="Verdana" w:hAnsi="Verdana"/>
            <w:sz w:val="16"/>
            <w:szCs w:val="16"/>
          </w:rPr>
          <w:t>gokinfluencers</w:t>
        </w:r>
        <w:proofErr w:type="spellEnd"/>
        <w:r w:rsidRPr="00411B29">
          <w:rPr>
            <w:rStyle w:val="Hyperlink"/>
            <w:rFonts w:ascii="Verdana" w:hAnsi="Verdana"/>
            <w:sz w:val="16"/>
            <w:szCs w:val="16"/>
          </w:rPr>
          <w:t xml:space="preserve"> aan | Kansspelautoriteit</w:t>
        </w:r>
      </w:hyperlink>
    </w:p>
  </w:footnote>
  <w:footnote w:id="9">
    <w:p w14:paraId="026D1D41" w14:textId="77777777" w:rsidR="00F430E7" w:rsidRDefault="00F430E7" w:rsidP="00F430E7">
      <w:pPr>
        <w:pStyle w:val="Voetnoottekst"/>
      </w:pPr>
      <w:r w:rsidRPr="00411B29">
        <w:rPr>
          <w:rStyle w:val="Voetnootmarkering"/>
          <w:rFonts w:ascii="Verdana" w:hAnsi="Verdana"/>
          <w:sz w:val="16"/>
          <w:szCs w:val="16"/>
        </w:rPr>
        <w:footnoteRef/>
      </w:r>
      <w:r w:rsidRPr="00411B29">
        <w:rPr>
          <w:rFonts w:ascii="Verdana" w:hAnsi="Verdana"/>
          <w:sz w:val="16"/>
          <w:szCs w:val="16"/>
        </w:rPr>
        <w:t xml:space="preserve"> Stichting Informatievoorziening Zorg (IVZ) (2025). Kerncijfers verslavingszorg 2015–2024. Geraadpleegd via https://www.ladis.eu/nl/publicaties/kerncijfers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6BCF" w14:textId="77777777" w:rsidR="00F430E7" w:rsidRPr="00F430E7" w:rsidRDefault="00F430E7" w:rsidP="00F430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30DA" w14:textId="77777777" w:rsidR="00F430E7" w:rsidRPr="00F430E7" w:rsidRDefault="00F430E7" w:rsidP="00F430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3D98" w14:textId="77777777" w:rsidR="00F430E7" w:rsidRPr="00F430E7" w:rsidRDefault="00F430E7" w:rsidP="00F430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E7"/>
    <w:rsid w:val="002C3023"/>
    <w:rsid w:val="00CE4DDF"/>
    <w:rsid w:val="00DF7A30"/>
    <w:rsid w:val="00F43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5E58"/>
  <w15:chartTrackingRefBased/>
  <w15:docId w15:val="{9406A2C8-B067-48A4-B438-DEA59896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3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3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30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30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30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30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30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30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30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30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30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30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30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30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30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30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30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30E7"/>
    <w:rPr>
      <w:rFonts w:eastAsiaTheme="majorEastAsia" w:cstheme="majorBidi"/>
      <w:color w:val="272727" w:themeColor="text1" w:themeTint="D8"/>
    </w:rPr>
  </w:style>
  <w:style w:type="paragraph" w:styleId="Titel">
    <w:name w:val="Title"/>
    <w:basedOn w:val="Standaard"/>
    <w:next w:val="Standaard"/>
    <w:link w:val="TitelChar"/>
    <w:uiPriority w:val="10"/>
    <w:qFormat/>
    <w:rsid w:val="00F43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30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30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30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30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30E7"/>
    <w:rPr>
      <w:i/>
      <w:iCs/>
      <w:color w:val="404040" w:themeColor="text1" w:themeTint="BF"/>
    </w:rPr>
  </w:style>
  <w:style w:type="paragraph" w:styleId="Lijstalinea">
    <w:name w:val="List Paragraph"/>
    <w:basedOn w:val="Standaard"/>
    <w:uiPriority w:val="34"/>
    <w:qFormat/>
    <w:rsid w:val="00F430E7"/>
    <w:pPr>
      <w:ind w:left="720"/>
      <w:contextualSpacing/>
    </w:pPr>
  </w:style>
  <w:style w:type="character" w:styleId="Intensievebenadrukking">
    <w:name w:val="Intense Emphasis"/>
    <w:basedOn w:val="Standaardalinea-lettertype"/>
    <w:uiPriority w:val="21"/>
    <w:qFormat/>
    <w:rsid w:val="00F430E7"/>
    <w:rPr>
      <w:i/>
      <w:iCs/>
      <w:color w:val="0F4761" w:themeColor="accent1" w:themeShade="BF"/>
    </w:rPr>
  </w:style>
  <w:style w:type="paragraph" w:styleId="Duidelijkcitaat">
    <w:name w:val="Intense Quote"/>
    <w:basedOn w:val="Standaard"/>
    <w:next w:val="Standaard"/>
    <w:link w:val="DuidelijkcitaatChar"/>
    <w:uiPriority w:val="30"/>
    <w:qFormat/>
    <w:rsid w:val="00F43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30E7"/>
    <w:rPr>
      <w:i/>
      <w:iCs/>
      <w:color w:val="0F4761" w:themeColor="accent1" w:themeShade="BF"/>
    </w:rPr>
  </w:style>
  <w:style w:type="character" w:styleId="Intensieveverwijzing">
    <w:name w:val="Intense Reference"/>
    <w:basedOn w:val="Standaardalinea-lettertype"/>
    <w:uiPriority w:val="32"/>
    <w:qFormat/>
    <w:rsid w:val="00F430E7"/>
    <w:rPr>
      <w:b/>
      <w:bCs/>
      <w:smallCaps/>
      <w:color w:val="0F4761" w:themeColor="accent1" w:themeShade="BF"/>
      <w:spacing w:val="5"/>
    </w:rPr>
  </w:style>
  <w:style w:type="character" w:styleId="Hyperlink">
    <w:name w:val="Hyperlink"/>
    <w:basedOn w:val="Standaardalinea-lettertype"/>
    <w:uiPriority w:val="99"/>
    <w:unhideWhenUsed/>
    <w:rsid w:val="00F430E7"/>
    <w:rPr>
      <w:color w:val="467886" w:themeColor="hyperlink"/>
      <w:u w:val="single"/>
    </w:rPr>
  </w:style>
  <w:style w:type="paragraph" w:customStyle="1" w:styleId="Referentiegegevens">
    <w:name w:val="Referentiegegevens"/>
    <w:basedOn w:val="Standaard"/>
    <w:next w:val="Standaard"/>
    <w:rsid w:val="00F430E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430E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430E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430E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F430E7"/>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F430E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430E7"/>
    <w:rPr>
      <w:kern w:val="0"/>
      <w:sz w:val="20"/>
      <w:szCs w:val="20"/>
      <w14:ligatures w14:val="none"/>
    </w:rPr>
  </w:style>
  <w:style w:type="character" w:styleId="Voetnootmarkering">
    <w:name w:val="footnote reference"/>
    <w:basedOn w:val="Standaardalinea-lettertype"/>
    <w:uiPriority w:val="99"/>
    <w:semiHidden/>
    <w:unhideWhenUsed/>
    <w:rsid w:val="00F430E7"/>
    <w:rPr>
      <w:vertAlign w:val="superscript"/>
    </w:rPr>
  </w:style>
  <w:style w:type="paragraph" w:styleId="Koptekst">
    <w:name w:val="header"/>
    <w:basedOn w:val="Standaard"/>
    <w:link w:val="KoptekstChar"/>
    <w:uiPriority w:val="99"/>
    <w:unhideWhenUsed/>
    <w:rsid w:val="00F430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30E7"/>
  </w:style>
  <w:style w:type="paragraph" w:styleId="Voettekst">
    <w:name w:val="footer"/>
    <w:basedOn w:val="Standaard"/>
    <w:link w:val="VoettekstChar"/>
    <w:uiPriority w:val="99"/>
    <w:unhideWhenUsed/>
    <w:rsid w:val="00F430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kansspelautoriteit.nl/ksa-pakt-opnieuw-gokinfluencers-aan" TargetMode="External"/><Relationship Id="rId2" Type="http://schemas.openxmlformats.org/officeDocument/2006/relationships/hyperlink" Target="https://kansspelautoriteit.nl/ksa-spreekt-711-aan-op-overtreding-rolmodellenverbod" TargetMode="External"/><Relationship Id="rId1" Type="http://schemas.openxmlformats.org/officeDocument/2006/relationships/hyperlink" Target="https://kansspelautoriteit.nl/roda-jc-vraagt-met-min-rugnummers-aandacht-voor-gevolgen-sportbetjes-onder-jong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1483</ap:Words>
  <ap:Characters>8160</ap:Characters>
  <ap:DocSecurity>0</ap:DocSecurity>
  <ap:Lines>68</ap:Lines>
  <ap:Paragraphs>19</ap:Paragraphs>
  <ap:ScaleCrop>false</ap:ScaleCrop>
  <ap:LinksUpToDate>false</ap:LinksUpToDate>
  <ap:CharactersWithSpaces>9624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2026-02-09T12:40:00.0000000Z</dcterms:created>
  <dcterms:modified xsi:type="dcterms:W3CDTF">2026-02-09T12:42:00.0000000Z</dcterms:modified>
  <version/>
  <category/>
</coreProperties>
</file>