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B03" w:rsidP="00B90B03" w:rsidRDefault="00B90B03" w14:paraId="4DAF4E2A" w14:textId="7A5F4BF2">
      <w:pPr>
        <w:pStyle w:val="Geenafstand"/>
      </w:pPr>
      <w:r>
        <w:t>AH 1052</w:t>
      </w:r>
    </w:p>
    <w:p w:rsidR="00B90B03" w:rsidP="00B90B03" w:rsidRDefault="00B90B03" w14:paraId="31C3F643" w14:textId="61067487">
      <w:pPr>
        <w:pStyle w:val="Geenafstand"/>
      </w:pPr>
      <w:r>
        <w:t>2025Z22721</w:t>
      </w:r>
    </w:p>
    <w:p w:rsidR="00B90B03" w:rsidP="00B90B03" w:rsidRDefault="00B90B03" w14:paraId="31C4D7FB" w14:textId="77777777">
      <w:pPr>
        <w:pStyle w:val="Geenafstand"/>
      </w:pPr>
    </w:p>
    <w:p w:rsidRPr="00B90B03" w:rsidR="00B90B03" w:rsidP="007B1AD8" w:rsidRDefault="00B90B03" w14:paraId="3C6122E1" w14:textId="4297BE7C">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Financiën</w:t>
      </w:r>
      <w:r w:rsidRPr="00A71055">
        <w:rPr>
          <w:rFonts w:ascii="Times New Roman" w:hAnsi="Times New Roman"/>
          <w:bCs/>
          <w:sz w:val="24"/>
          <w:szCs w:val="24"/>
        </w:rPr>
        <w:t xml:space="preserve"> (ontvangen</w:t>
      </w:r>
      <w:r>
        <w:rPr>
          <w:rFonts w:ascii="Times New Roman" w:hAnsi="Times New Roman"/>
          <w:bCs/>
          <w:sz w:val="24"/>
          <w:szCs w:val="24"/>
        </w:rPr>
        <w:t xml:space="preserve"> 9 februari 2026)</w:t>
      </w:r>
    </w:p>
    <w:p w:rsidRPr="007B1B93" w:rsidR="00B90B03" w:rsidP="00427BA1" w:rsidRDefault="00B90B03" w14:paraId="2A9FEE49" w14:textId="49EBB7C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892</w:t>
      </w:r>
    </w:p>
    <w:p w:rsidRPr="00487571" w:rsidR="00B90B03" w:rsidP="00B90B03" w:rsidRDefault="00B90B03" w14:paraId="60F93891" w14:textId="173D6D89">
      <w:pPr>
        <w:rPr>
          <w:b/>
          <w:bCs/>
        </w:rPr>
      </w:pPr>
    </w:p>
    <w:p w:rsidRPr="00487571" w:rsidR="00B90B03" w:rsidP="00B90B03" w:rsidRDefault="00B90B03" w14:paraId="5956776D" w14:textId="77777777">
      <w:pPr>
        <w:rPr>
          <w:b/>
          <w:bCs/>
        </w:rPr>
      </w:pPr>
    </w:p>
    <w:p w:rsidRPr="00487571" w:rsidR="00B90B03" w:rsidP="00B90B03" w:rsidRDefault="00B90B03" w14:paraId="65306617" w14:textId="77777777">
      <w:pPr>
        <w:rPr>
          <w:b/>
          <w:bCs/>
        </w:rPr>
      </w:pPr>
      <w:r>
        <w:rPr>
          <w:b/>
          <w:bCs/>
        </w:rPr>
        <w:t xml:space="preserve">Vraag </w:t>
      </w:r>
      <w:r w:rsidRPr="00487571">
        <w:rPr>
          <w:b/>
          <w:bCs/>
        </w:rPr>
        <w:t>1</w:t>
      </w:r>
    </w:p>
    <w:p w:rsidRPr="00487571" w:rsidR="00B90B03" w:rsidP="00B90B03" w:rsidRDefault="00B90B03" w14:paraId="0CC963DD" w14:textId="77777777">
      <w:pPr>
        <w:rPr>
          <w:b/>
          <w:bCs/>
        </w:rPr>
      </w:pPr>
      <w:r w:rsidRPr="00487571">
        <w:rPr>
          <w:b/>
          <w:bCs/>
        </w:rPr>
        <w:t>Heeft u kennisgenomen van het artikel in het FD: 'Misbruik via de plof-bv kinderlijk eenvoudig en niemand krijgt er grip op'? 1)</w:t>
      </w:r>
    </w:p>
    <w:p w:rsidR="00B90B03" w:rsidP="00B90B03" w:rsidRDefault="00B90B03" w14:paraId="2508D128" w14:textId="77777777">
      <w:pPr>
        <w:rPr>
          <w:b/>
          <w:bCs/>
        </w:rPr>
      </w:pPr>
    </w:p>
    <w:p w:rsidR="00B90B03" w:rsidP="00B90B03" w:rsidRDefault="00B90B03" w14:paraId="5E4CA407" w14:textId="77777777">
      <w:pPr>
        <w:rPr>
          <w:b/>
          <w:bCs/>
        </w:rPr>
      </w:pPr>
      <w:r>
        <w:rPr>
          <w:b/>
          <w:bCs/>
        </w:rPr>
        <w:t>Antwoord op vraag 1</w:t>
      </w:r>
    </w:p>
    <w:p w:rsidR="00B90B03" w:rsidP="00B90B03" w:rsidRDefault="00B90B03" w14:paraId="3D3D78BC" w14:textId="77777777">
      <w:pPr>
        <w:rPr>
          <w:b/>
          <w:bCs/>
        </w:rPr>
      </w:pPr>
      <w:r>
        <w:t>Ja, ik heb kennisgenomen van dit artikel.</w:t>
      </w:r>
    </w:p>
    <w:p w:rsidRPr="00487571" w:rsidR="00B90B03" w:rsidP="00B90B03" w:rsidRDefault="00B90B03" w14:paraId="7A4D961E" w14:textId="77777777">
      <w:pPr>
        <w:rPr>
          <w:b/>
          <w:bCs/>
        </w:rPr>
      </w:pPr>
    </w:p>
    <w:p w:rsidRPr="00487571" w:rsidR="00B90B03" w:rsidP="00B90B03" w:rsidRDefault="00B90B03" w14:paraId="0D84E43A" w14:textId="77777777">
      <w:pPr>
        <w:rPr>
          <w:b/>
          <w:bCs/>
        </w:rPr>
      </w:pPr>
      <w:r>
        <w:rPr>
          <w:b/>
          <w:bCs/>
        </w:rPr>
        <w:t xml:space="preserve">Vraag </w:t>
      </w:r>
      <w:r w:rsidRPr="00487571">
        <w:rPr>
          <w:b/>
          <w:bCs/>
        </w:rPr>
        <w:t>2</w:t>
      </w:r>
      <w:r w:rsidRPr="00487571">
        <w:rPr>
          <w:b/>
          <w:bCs/>
        </w:rPr>
        <w:tab/>
      </w:r>
    </w:p>
    <w:p w:rsidR="00B90B03" w:rsidP="00B90B03" w:rsidRDefault="00B90B03" w14:paraId="3E344B21" w14:textId="77777777">
      <w:pPr>
        <w:rPr>
          <w:b/>
          <w:bCs/>
        </w:rPr>
      </w:pPr>
      <w:r w:rsidRPr="00487571">
        <w:rPr>
          <w:b/>
          <w:bCs/>
        </w:rPr>
        <w:t xml:space="preserve">Was het risico dat turboliquidaties gebruikt kunnen worden als verdwijningstruc voor fraudeurs bij introductie van het voorstel voorzien? Zo ja, waarom is dit risico destijds ingeschat als acceptabel? </w:t>
      </w:r>
    </w:p>
    <w:p w:rsidR="00B90B03" w:rsidP="00B90B03" w:rsidRDefault="00B90B03" w14:paraId="77330475" w14:textId="77777777">
      <w:pPr>
        <w:rPr>
          <w:b/>
          <w:bCs/>
        </w:rPr>
      </w:pPr>
    </w:p>
    <w:p w:rsidRPr="00DB13FF" w:rsidR="00B90B03" w:rsidP="00B90B03" w:rsidRDefault="00B90B03" w14:paraId="7B3EE3AD" w14:textId="77777777">
      <w:pPr>
        <w:rPr>
          <w:b/>
          <w:bCs/>
        </w:rPr>
      </w:pPr>
      <w:r>
        <w:rPr>
          <w:b/>
          <w:bCs/>
        </w:rPr>
        <w:t>Antwoord op vraag 2</w:t>
      </w:r>
    </w:p>
    <w:p w:rsidR="00B90B03" w:rsidP="00B90B03" w:rsidRDefault="00B90B03" w14:paraId="36B168B2" w14:textId="77777777">
      <w:r>
        <w:t xml:space="preserve">De wetgever heeft het </w:t>
      </w:r>
      <w:r w:rsidRPr="00644B81">
        <w:t>wenselijk geacht dat lege, inactieve rechtspersonen op eenvoudige wijze konden worden beëindigd</w:t>
      </w:r>
      <w:r>
        <w:t>. De turboliquidatie is ingevoerd om dit mogelijk te maken.</w:t>
      </w:r>
      <w:r>
        <w:rPr>
          <w:rStyle w:val="Voetnootmarkering"/>
        </w:rPr>
        <w:footnoteReference w:id="1"/>
      </w:r>
      <w:r>
        <w:t xml:space="preserve"> In de praktijk heeft de turboliquidatieregeling ruimte geboden aan bonafide ondernemers om betrekkelijk snel en eenvoudig naar de beëindiging van hun onderneming toe te werken, door (voorafgaand aan de ontbinding) alles van waarde te verkopen en </w:t>
      </w:r>
      <w:r w:rsidRPr="00B96AC7">
        <w:t xml:space="preserve">met de opbrengst daarvan de schulden zoveel mogelijk </w:t>
      </w:r>
      <w:r>
        <w:t>af te lossen</w:t>
      </w:r>
      <w:r w:rsidRPr="00B96AC7">
        <w:t xml:space="preserve">. </w:t>
      </w:r>
      <w:r>
        <w:t>Tegelijkertijd heeft de regeling zorgen doen ontstaan over misbruik door kwaadwillenden, met name als er schulden achterblijven.</w:t>
      </w:r>
      <w:r w:rsidRPr="001C63D3">
        <w:rPr>
          <w:vertAlign w:val="superscript"/>
        </w:rPr>
        <w:footnoteReference w:id="2"/>
      </w:r>
      <w:r>
        <w:t xml:space="preserve"> Er zijn minder procedurele waarborgen dan bij een gewone, maar kostbaardere en langere faillissementsprocedure. Dit risico werd dus onderkend </w:t>
      </w:r>
      <w:r>
        <w:lastRenderedPageBreak/>
        <w:t>en er werd ingezien dat de regeling verbetering behoefde,</w:t>
      </w:r>
      <w:r>
        <w:rPr>
          <w:rStyle w:val="Voetnootmarkering"/>
        </w:rPr>
        <w:footnoteReference w:id="3"/>
      </w:r>
      <w:r>
        <w:t xml:space="preserve"> ook al is de aard en omvang van mogelijk misbruik niet precies vast te stellen. Deze verbetering kreeg urgentie t</w:t>
      </w:r>
      <w:r w:rsidRPr="001C63D3">
        <w:t xml:space="preserve">oen de Minister voor Rechtsbescherming in 2022 </w:t>
      </w:r>
      <w:r>
        <w:t xml:space="preserve">in verband met de gevolgen van de COVID-19 pandemie voor het bedrijfsleven een mogelijke toename in bedrijfsbeëindigingen verwachtte. Dit heeft geleid tot de </w:t>
      </w:r>
      <w:r w:rsidRPr="001C63D3">
        <w:t>Tijdelijke wet transparantie turboliquidatie</w:t>
      </w:r>
      <w:r>
        <w:t xml:space="preserve"> met een aantal additionele maatregelen. Zo moet het bestuur van de ontbonden rechtspersoon een financiële verantwoording opstellen en deponeren bij het handelsregister</w:t>
      </w:r>
      <w:r w:rsidRPr="001C63D3">
        <w:t>.</w:t>
      </w:r>
      <w:r>
        <w:t xml:space="preserve"> Hierdoor kunnen schuldeisers beter beoordelen of de regeling correct is toegepast.</w:t>
      </w:r>
      <w:r w:rsidRPr="001C63D3">
        <w:t xml:space="preserve"> </w:t>
      </w:r>
      <w:r>
        <w:t>B</w:t>
      </w:r>
      <w:r w:rsidRPr="001C63D3">
        <w:t xml:space="preserve">estuurders </w:t>
      </w:r>
      <w:r>
        <w:t xml:space="preserve">kunnen verder </w:t>
      </w:r>
      <w:r w:rsidRPr="001C63D3">
        <w:t>een bestuursverbod krijgen</w:t>
      </w:r>
      <w:r>
        <w:t>, onder meer</w:t>
      </w:r>
      <w:r w:rsidRPr="001C63D3">
        <w:t xml:space="preserve"> als zij </w:t>
      </w:r>
      <w:r>
        <w:t xml:space="preserve">niet aan de genoemde verantwoordingsverplichting hebben voldaan of </w:t>
      </w:r>
      <w:r w:rsidRPr="001C63D3">
        <w:t>doelbewust één of meer schuldeisers aanmerkelijk hebben benadeeld</w:t>
      </w:r>
      <w:r>
        <w:t>, bijvoorbeeld door</w:t>
      </w:r>
      <w:r w:rsidRPr="001C63D3">
        <w:t xml:space="preserve"> frauduleus handelen.</w:t>
      </w:r>
      <w:r w:rsidRPr="001C63D3">
        <w:rPr>
          <w:vertAlign w:val="superscript"/>
        </w:rPr>
        <w:footnoteReference w:id="4"/>
      </w:r>
    </w:p>
    <w:p w:rsidR="00B90B03" w:rsidP="00B90B03" w:rsidRDefault="00B90B03" w14:paraId="4F0A5073" w14:textId="77777777">
      <w:pPr>
        <w:rPr>
          <w:b/>
          <w:bCs/>
        </w:rPr>
      </w:pPr>
    </w:p>
    <w:p w:rsidR="00B90B03" w:rsidP="00B90B03" w:rsidRDefault="00B90B03" w14:paraId="59BD392C" w14:textId="77777777">
      <w:pPr>
        <w:rPr>
          <w:b/>
          <w:bCs/>
        </w:rPr>
      </w:pPr>
    </w:p>
    <w:p w:rsidRPr="00487571" w:rsidR="00B90B03" w:rsidP="00B90B03" w:rsidRDefault="00B90B03" w14:paraId="4B472E51" w14:textId="77777777">
      <w:pPr>
        <w:rPr>
          <w:b/>
          <w:bCs/>
        </w:rPr>
      </w:pPr>
      <w:r>
        <w:rPr>
          <w:b/>
          <w:bCs/>
        </w:rPr>
        <w:t xml:space="preserve">Vraag </w:t>
      </w:r>
      <w:r w:rsidRPr="00487571">
        <w:rPr>
          <w:b/>
          <w:bCs/>
        </w:rPr>
        <w:t>3</w:t>
      </w:r>
      <w:r w:rsidRPr="00487571">
        <w:rPr>
          <w:b/>
          <w:bCs/>
        </w:rPr>
        <w:tab/>
      </w:r>
    </w:p>
    <w:p w:rsidRPr="00487571" w:rsidR="00B90B03" w:rsidP="00B90B03" w:rsidRDefault="00B90B03" w14:paraId="04C8B165" w14:textId="77777777">
      <w:pPr>
        <w:rPr>
          <w:b/>
          <w:bCs/>
        </w:rPr>
      </w:pPr>
      <w:r w:rsidRPr="00487571">
        <w:rPr>
          <w:b/>
          <w:bCs/>
        </w:rPr>
        <w:t xml:space="preserve">Deelt u de mening dat er geen volledig beeld is van de omvang van het misbruik van turboliquidaties? Zo ja, waarom? Zo nee, kunt u het volledige beeld delen met de Kamer? </w:t>
      </w:r>
    </w:p>
    <w:p w:rsidR="00B90B03" w:rsidP="00B90B03" w:rsidRDefault="00B90B03" w14:paraId="224A2C9C" w14:textId="77777777">
      <w:pPr>
        <w:rPr>
          <w:b/>
          <w:bCs/>
        </w:rPr>
      </w:pPr>
    </w:p>
    <w:p w:rsidR="00B90B03" w:rsidP="00B90B03" w:rsidRDefault="00B90B03" w14:paraId="129E2A00" w14:textId="77777777">
      <w:pPr>
        <w:rPr>
          <w:b/>
          <w:bCs/>
        </w:rPr>
      </w:pPr>
      <w:r>
        <w:rPr>
          <w:b/>
          <w:bCs/>
        </w:rPr>
        <w:t>Antwoord op vraag 3</w:t>
      </w:r>
    </w:p>
    <w:p w:rsidR="00B90B03" w:rsidP="00B90B03" w:rsidRDefault="00B90B03" w14:paraId="58BE06DC" w14:textId="77777777">
      <w:pPr>
        <w:rPr>
          <w:rFonts w:eastAsia="Calibri" w:cs="Arial"/>
        </w:rPr>
      </w:pPr>
      <w:r w:rsidRPr="001C63D3">
        <w:rPr>
          <w:rFonts w:eastAsia="Calibri" w:cs="Arial"/>
        </w:rPr>
        <w:t xml:space="preserve">Ik deel deze mening. </w:t>
      </w:r>
      <w:r>
        <w:rPr>
          <w:rFonts w:eastAsia="Calibri" w:cs="Arial"/>
        </w:rPr>
        <w:t>U</w:t>
      </w:r>
      <w:r w:rsidRPr="001C63D3">
        <w:rPr>
          <w:rFonts w:eastAsia="Calibri" w:cs="Arial"/>
        </w:rPr>
        <w:t>it de praktijk volgt dat misbruik zich voordoet, maar</w:t>
      </w:r>
      <w:r>
        <w:rPr>
          <w:rFonts w:eastAsia="Calibri" w:cs="Arial"/>
        </w:rPr>
        <w:t xml:space="preserve"> </w:t>
      </w:r>
      <w:r w:rsidRPr="001C63D3">
        <w:rPr>
          <w:rFonts w:eastAsia="Calibri" w:cs="Arial"/>
        </w:rPr>
        <w:t>de omvang hiervan is lastig vast te stellen. De reden hiervoor is dat het</w:t>
      </w:r>
      <w:r>
        <w:rPr>
          <w:rFonts w:eastAsia="Calibri" w:cs="Arial"/>
        </w:rPr>
        <w:t>, vanwege het</w:t>
      </w:r>
      <w:r w:rsidRPr="001C63D3">
        <w:rPr>
          <w:rFonts w:eastAsia="Calibri" w:cs="Arial"/>
        </w:rPr>
        <w:t xml:space="preserve"> beperkt</w:t>
      </w:r>
      <w:r>
        <w:rPr>
          <w:rFonts w:eastAsia="Calibri" w:cs="Arial"/>
        </w:rPr>
        <w:t>e</w:t>
      </w:r>
      <w:r w:rsidRPr="001C63D3">
        <w:rPr>
          <w:rFonts w:eastAsia="Calibri" w:cs="Arial"/>
        </w:rPr>
        <w:t xml:space="preserve"> inzicht in de financiële </w:t>
      </w:r>
      <w:r>
        <w:rPr>
          <w:rFonts w:eastAsia="Calibri" w:cs="Arial"/>
        </w:rPr>
        <w:t>stukken</w:t>
      </w:r>
      <w:r w:rsidRPr="001C63D3">
        <w:rPr>
          <w:rFonts w:eastAsia="Calibri" w:cs="Arial"/>
        </w:rPr>
        <w:t xml:space="preserve"> van een rechtspersoon</w:t>
      </w:r>
      <w:r>
        <w:rPr>
          <w:rFonts w:eastAsia="Calibri" w:cs="Arial"/>
        </w:rPr>
        <w:t>,</w:t>
      </w:r>
      <w:r w:rsidRPr="001C63D3">
        <w:rPr>
          <w:rFonts w:eastAsia="Calibri" w:cs="Arial"/>
        </w:rPr>
        <w:t xml:space="preserve"> achteraf moeilijk is om te bepalen of bestuurders frauduleus hebben gehandeld.</w:t>
      </w:r>
      <w:r>
        <w:t xml:space="preserve"> </w:t>
      </w:r>
    </w:p>
    <w:p w:rsidR="00B90B03" w:rsidP="00B90B03" w:rsidRDefault="00B90B03" w14:paraId="0D19FCFE" w14:textId="77777777">
      <w:pPr>
        <w:rPr>
          <w:rFonts w:eastAsia="Calibri" w:cs="Arial"/>
        </w:rPr>
      </w:pPr>
    </w:p>
    <w:p w:rsidRPr="00487571" w:rsidR="00B90B03" w:rsidP="00B90B03" w:rsidRDefault="00B90B03" w14:paraId="390B524C" w14:textId="77777777">
      <w:pPr>
        <w:rPr>
          <w:b/>
          <w:bCs/>
        </w:rPr>
      </w:pPr>
      <w:r>
        <w:rPr>
          <w:b/>
          <w:bCs/>
        </w:rPr>
        <w:t xml:space="preserve">Vraag </w:t>
      </w:r>
      <w:r w:rsidRPr="00487571">
        <w:rPr>
          <w:b/>
          <w:bCs/>
        </w:rPr>
        <w:t>4</w:t>
      </w:r>
      <w:r w:rsidRPr="00487571">
        <w:rPr>
          <w:b/>
          <w:bCs/>
        </w:rPr>
        <w:tab/>
      </w:r>
    </w:p>
    <w:p w:rsidR="00B90B03" w:rsidP="00B90B03" w:rsidRDefault="00B90B03" w14:paraId="02610607" w14:textId="77777777">
      <w:pPr>
        <w:rPr>
          <w:b/>
          <w:bCs/>
        </w:rPr>
      </w:pPr>
      <w:r w:rsidRPr="00487571">
        <w:rPr>
          <w:b/>
          <w:bCs/>
        </w:rPr>
        <w:t xml:space="preserve">Waarom zijn de negatieve signalen, zoals 1. dat de helft van degenen die gebruik maken van turboliquidaties, jarenlang of nooit een jaarrekening deponeerden, ondanks dat dit verplicht is, 2. dat de helft van de ontbindingen te laat zijn gemeld bij de Kamer van Koophandel of 3. dat de </w:t>
      </w:r>
      <w:r w:rsidRPr="00487571">
        <w:rPr>
          <w:b/>
          <w:bCs/>
        </w:rPr>
        <w:lastRenderedPageBreak/>
        <w:t xml:space="preserve">opheffing gebeurde met terugwerkende kracht, niet eerder boven tafel gekomen? Waarom is er niet eerder op deze signalen geacteerd? </w:t>
      </w:r>
    </w:p>
    <w:p w:rsidR="00B90B03" w:rsidP="00B90B03" w:rsidRDefault="00B90B03" w14:paraId="5F30FAE8" w14:textId="77777777"/>
    <w:p w:rsidR="00B90B03" w:rsidP="00B90B03" w:rsidRDefault="00B90B03" w14:paraId="7516713E" w14:textId="77777777">
      <w:r>
        <w:rPr>
          <w:b/>
          <w:bCs/>
        </w:rPr>
        <w:t>Antwoord op vraag 4</w:t>
      </w:r>
    </w:p>
    <w:p w:rsidR="00B90B03" w:rsidP="00B90B03" w:rsidRDefault="00B90B03" w14:paraId="79035BFE" w14:textId="77777777">
      <w:r>
        <w:t>Zoals aangegeven in het antwoord op vraag 2, waren er in het verleden diverse signalen van misbruik van de turboliquidatieregeling. Om deze reden zijn er met de Tijdelijke wet transparantie turboliquidatie diverse maatregelen doorgevoerd, waaronder</w:t>
      </w:r>
      <w:r w:rsidRPr="00593CE0">
        <w:t xml:space="preserve"> </w:t>
      </w:r>
      <w:r>
        <w:t>de aangescherpte verantwoordingsplicht, de mogelijkheid voor schuldeisers om bij niet-naleving van deze verplichting inzicht te krijgen in de administratie van de ontbonden rechtspersoon en aangescherpte sancties, zoals de mogelijkheid tot oplegging van een civielrechtelijk bestuursverbod bij het niet voldoen aan de deponeringsverplichting.</w:t>
      </w:r>
    </w:p>
    <w:p w:rsidR="00B90B03" w:rsidP="00B90B03" w:rsidRDefault="00B90B03" w14:paraId="10ED24E0" w14:textId="77777777">
      <w:r>
        <w:t xml:space="preserve"> </w:t>
      </w:r>
    </w:p>
    <w:p w:rsidRPr="001C63D3" w:rsidR="00B90B03" w:rsidP="00B90B03" w:rsidRDefault="00B90B03" w14:paraId="74AC53C1" w14:textId="77777777">
      <w:r w:rsidRPr="001C63D3">
        <w:t xml:space="preserve">De Staatssecretaris Rechtsbescherming heeft </w:t>
      </w:r>
      <w:r>
        <w:t>het WODC-</w:t>
      </w:r>
      <w:r w:rsidRPr="001C63D3">
        <w:t>onderzoek</w:t>
      </w:r>
      <w:r>
        <w:t xml:space="preserve"> naar de effecten van deze wet</w:t>
      </w:r>
      <w:r w:rsidRPr="001C63D3">
        <w:t xml:space="preserve"> op 12 augustus 2025 aan uw Kamer aangeboden.</w:t>
      </w:r>
      <w:r w:rsidRPr="001C63D3">
        <w:rPr>
          <w:vertAlign w:val="superscript"/>
        </w:rPr>
        <w:footnoteReference w:id="5"/>
      </w:r>
      <w:r w:rsidRPr="001C63D3">
        <w:t xml:space="preserve"> In deze brief heeft de Staatssecretaris toegelicht welke verbeteringsmogelijkheden de onderzoekers signaleren en dat zij concluderen dat de Tijdelijke wet bij naleving hiervan bijdraagt aan meer transparantie en in mindere mate bijdraagt aan het voorkomen van misbruik. </w:t>
      </w:r>
    </w:p>
    <w:p w:rsidR="00B90B03" w:rsidP="00B90B03" w:rsidRDefault="00B90B03" w14:paraId="1215FDAA" w14:textId="77777777"/>
    <w:p w:rsidRPr="001C63D3" w:rsidR="00B90B03" w:rsidP="00B90B03" w:rsidRDefault="00B90B03" w14:paraId="70B1219F" w14:textId="77777777">
      <w:r w:rsidRPr="001C63D3">
        <w:t>In reactie op het onderzoek is de looptijd van de Tijdelijke wet verlengd tot 15 november 2027. De Staatssecretaris Rechtsbescherming heeft daarnaast een wetgevingstraject aangekondigd om de voorzieningen uit de Tijdelijke wet permanent in te voeren. Bij dit wetgevingstraject worden de bevindingen uit het onderzoeksrapport betrokken en zal worden bezien welke aanpassingen van de regeling wenselijk zijn</w:t>
      </w:r>
      <w:r>
        <w:t>, ook in het licht van het verrichte evaluatieonderzoek</w:t>
      </w:r>
      <w:r w:rsidRPr="001C63D3">
        <w:t xml:space="preserve">. </w:t>
      </w:r>
      <w:r>
        <w:t>Het streven is om i</w:t>
      </w:r>
      <w:r w:rsidRPr="001C63D3">
        <w:t xml:space="preserve">n het </w:t>
      </w:r>
      <w:r>
        <w:t xml:space="preserve">tweede </w:t>
      </w:r>
      <w:r w:rsidRPr="001C63D3">
        <w:t xml:space="preserve">kwartaal van dit jaar een nadere, inhoudelijke beleidsreactie op het onderzoek met uw Kamer </w:t>
      </w:r>
      <w:r>
        <w:t>te delen</w:t>
      </w:r>
      <w:r w:rsidRPr="001C63D3">
        <w:t>.</w:t>
      </w:r>
    </w:p>
    <w:p w:rsidRPr="00487571" w:rsidR="00B90B03" w:rsidP="00B90B03" w:rsidRDefault="00B90B03" w14:paraId="5663B9CF" w14:textId="77777777">
      <w:pPr>
        <w:rPr>
          <w:b/>
          <w:bCs/>
        </w:rPr>
      </w:pPr>
    </w:p>
    <w:p w:rsidRPr="00487571" w:rsidR="00B90B03" w:rsidP="00B90B03" w:rsidRDefault="00B90B03" w14:paraId="4ADC2D83" w14:textId="77777777">
      <w:pPr>
        <w:rPr>
          <w:b/>
          <w:bCs/>
        </w:rPr>
      </w:pPr>
      <w:bookmarkStart w:name="_Hlk220505913" w:id="0"/>
      <w:r>
        <w:rPr>
          <w:b/>
          <w:bCs/>
        </w:rPr>
        <w:t xml:space="preserve">Vraag </w:t>
      </w:r>
      <w:r w:rsidRPr="00487571">
        <w:rPr>
          <w:b/>
          <w:bCs/>
        </w:rPr>
        <w:t>5</w:t>
      </w:r>
      <w:r w:rsidRPr="00487571">
        <w:rPr>
          <w:b/>
          <w:bCs/>
        </w:rPr>
        <w:tab/>
      </w:r>
    </w:p>
    <w:p w:rsidRPr="00487571" w:rsidR="00B90B03" w:rsidP="00B90B03" w:rsidRDefault="00B90B03" w14:paraId="7BCAE955" w14:textId="77777777">
      <w:pPr>
        <w:rPr>
          <w:b/>
          <w:bCs/>
        </w:rPr>
      </w:pPr>
      <w:r w:rsidRPr="00487571">
        <w:rPr>
          <w:b/>
          <w:bCs/>
        </w:rPr>
        <w:t xml:space="preserve">Wat is er nodig om het toezicht op het bij een turboliquidatie verplicht deponeren van extra documenten te intensiveren zodat er inzicht ontstaat over de omvang van het probleem en zodat er gehandhaafd en opgetreden </w:t>
      </w:r>
      <w:r w:rsidRPr="00487571">
        <w:rPr>
          <w:b/>
          <w:bCs/>
        </w:rPr>
        <w:lastRenderedPageBreak/>
        <w:t xml:space="preserve">kan worden, aangezien het eerste bestuursverbod wegens foute turboliquidatie nog uitgedeeld moet worden? </w:t>
      </w:r>
    </w:p>
    <w:p w:rsidR="00B90B03" w:rsidP="00B90B03" w:rsidRDefault="00B90B03" w14:paraId="32664D8D" w14:textId="77777777">
      <w:pPr>
        <w:rPr>
          <w:b/>
          <w:bCs/>
        </w:rPr>
      </w:pPr>
      <w:r w:rsidRPr="00487571">
        <w:rPr>
          <w:b/>
          <w:bCs/>
        </w:rPr>
        <w:t xml:space="preserve"> </w:t>
      </w:r>
    </w:p>
    <w:p w:rsidR="00B90B03" w:rsidP="00B90B03" w:rsidRDefault="00B90B03" w14:paraId="19B9F4D0" w14:textId="77777777">
      <w:pPr>
        <w:rPr>
          <w:b/>
          <w:bCs/>
        </w:rPr>
      </w:pPr>
      <w:r>
        <w:rPr>
          <w:b/>
          <w:bCs/>
        </w:rPr>
        <w:t>Antwoord op vraag 5</w:t>
      </w:r>
    </w:p>
    <w:p w:rsidRPr="001C63D3" w:rsidR="00B90B03" w:rsidP="00B90B03" w:rsidRDefault="00B90B03" w14:paraId="0DF19A32" w14:textId="77777777">
      <w:r>
        <w:t xml:space="preserve">De handhaving van de verantwoordingsplicht </w:t>
      </w:r>
      <w:r w:rsidRPr="00B66DF9">
        <w:t>is de taak van Bureau Economische Handhaving (dat onderdeel was van de Belastingdienst en verder gaat onder de naam DFEI (Dienst financieel-</w:t>
      </w:r>
      <w:r>
        <w:t>E</w:t>
      </w:r>
      <w:r w:rsidRPr="00B66DF9">
        <w:t xml:space="preserve">conomische </w:t>
      </w:r>
      <w:r>
        <w:t>I</w:t>
      </w:r>
      <w:r w:rsidRPr="00B66DF9">
        <w:t>ntegriteit) als onderdeel van het kerndepartement Financiën)</w:t>
      </w:r>
      <w:r>
        <w:t xml:space="preserve">. </w:t>
      </w:r>
      <w:r w:rsidRPr="001C63D3">
        <w:t xml:space="preserve">Zoals in reactie op vraag 4 is aangegeven, zal in het kader van het nieuwe wetgevingstraject worden bezien welke aanpassingen van de regeling wenselijk zijn. Hieronder valt ook </w:t>
      </w:r>
      <w:r>
        <w:t xml:space="preserve">de handhaving van de verantwoordingsplicht. </w:t>
      </w:r>
      <w:r w:rsidRPr="008C60B9">
        <w:t>Voor wat betreft de verlengde duur van de tijdelijke wet zal het huidige budget en de huidige capaciteit in het toezicht moeten voorzien.</w:t>
      </w:r>
      <w:r w:rsidRPr="00D87670">
        <w:t xml:space="preserve"> </w:t>
      </w:r>
    </w:p>
    <w:bookmarkEnd w:id="0"/>
    <w:p w:rsidRPr="00487571" w:rsidR="00B90B03" w:rsidP="00B90B03" w:rsidRDefault="00B90B03" w14:paraId="08B52059" w14:textId="77777777">
      <w:pPr>
        <w:rPr>
          <w:b/>
          <w:bCs/>
        </w:rPr>
      </w:pPr>
    </w:p>
    <w:p w:rsidRPr="00487571" w:rsidR="00B90B03" w:rsidP="00B90B03" w:rsidRDefault="00B90B03" w14:paraId="27A6A1F1" w14:textId="77777777">
      <w:pPr>
        <w:rPr>
          <w:b/>
          <w:bCs/>
        </w:rPr>
      </w:pPr>
      <w:r>
        <w:rPr>
          <w:b/>
          <w:bCs/>
        </w:rPr>
        <w:t xml:space="preserve">Vraag </w:t>
      </w:r>
      <w:r w:rsidRPr="00487571">
        <w:rPr>
          <w:b/>
          <w:bCs/>
        </w:rPr>
        <w:t>6</w:t>
      </w:r>
      <w:r w:rsidRPr="00487571">
        <w:rPr>
          <w:b/>
          <w:bCs/>
        </w:rPr>
        <w:tab/>
      </w:r>
    </w:p>
    <w:p w:rsidRPr="00487571" w:rsidR="00B90B03" w:rsidP="00B90B03" w:rsidRDefault="00B90B03" w14:paraId="3E9F6973" w14:textId="77777777">
      <w:pPr>
        <w:rPr>
          <w:b/>
          <w:bCs/>
        </w:rPr>
      </w:pPr>
      <w:r w:rsidRPr="00487571">
        <w:rPr>
          <w:b/>
          <w:bCs/>
        </w:rPr>
        <w:t xml:space="preserve">Wanneer is het rapport van het in 2019 gelastte onderzoek naar de omvang van het misbruik bij turboliquidaties gereed? Zal dit rapport enkel constateringen of ook oplossingsrichtingen bevatten? </w:t>
      </w:r>
    </w:p>
    <w:p w:rsidR="00B90B03" w:rsidP="00B90B03" w:rsidRDefault="00B90B03" w14:paraId="049D44E3" w14:textId="77777777">
      <w:pPr>
        <w:rPr>
          <w:b/>
          <w:bCs/>
        </w:rPr>
      </w:pPr>
      <w:r w:rsidRPr="00487571">
        <w:rPr>
          <w:b/>
          <w:bCs/>
        </w:rPr>
        <w:t xml:space="preserve"> </w:t>
      </w:r>
    </w:p>
    <w:p w:rsidRPr="00DB13FF" w:rsidR="00B90B03" w:rsidP="00B90B03" w:rsidRDefault="00B90B03" w14:paraId="20685F5B" w14:textId="77777777">
      <w:pPr>
        <w:rPr>
          <w:b/>
          <w:bCs/>
        </w:rPr>
      </w:pPr>
      <w:r>
        <w:rPr>
          <w:b/>
          <w:bCs/>
        </w:rPr>
        <w:t>Antwoord op vraag 6</w:t>
      </w:r>
    </w:p>
    <w:p w:rsidR="00B90B03" w:rsidP="00B90B03" w:rsidRDefault="00B90B03" w14:paraId="5F1EE3F3" w14:textId="77777777">
      <w:pPr>
        <w:rPr>
          <w:b/>
          <w:bCs/>
        </w:rPr>
      </w:pPr>
      <w:r w:rsidRPr="00DB13FF">
        <w:t>Het</w:t>
      </w:r>
      <w:r>
        <w:t xml:space="preserve"> onderzoek is </w:t>
      </w:r>
      <w:r w:rsidRPr="008C60B9">
        <w:t xml:space="preserve">op eigen initiatief door de Belastingdienst uitgevoerd. Het rapport wordt </w:t>
      </w:r>
      <w:r>
        <w:t xml:space="preserve">op korte termijn openbaar gemaakt en </w:t>
      </w:r>
      <w:r w:rsidRPr="008C60B9">
        <w:t xml:space="preserve">door </w:t>
      </w:r>
      <w:r w:rsidRPr="00E66727">
        <w:t>de staatssecretaris van</w:t>
      </w:r>
      <w:r>
        <w:t xml:space="preserve"> Financiën –</w:t>
      </w:r>
      <w:r w:rsidRPr="00E66727">
        <w:t xml:space="preserve"> Fiscaliteit, Belastingdienst en Douane met uw Kamer gedeeld</w:t>
      </w:r>
      <w:r w:rsidRPr="00BD311F">
        <w:t>.</w:t>
      </w:r>
      <w:r w:rsidRPr="00E66727">
        <w:t xml:space="preserve"> Het rapport bevat voornamelijk bevindingen en aanbevelingen uit de (tussen)rapportage, die al in 2025 openbaar gemaakt is.</w:t>
      </w:r>
      <w:r w:rsidRPr="00E66727">
        <w:rPr>
          <w:rStyle w:val="Voetnootmarkering"/>
        </w:rPr>
        <w:footnoteReference w:id="6"/>
      </w:r>
      <w:r w:rsidRPr="00E66727">
        <w:t xml:space="preserve"> </w:t>
      </w:r>
      <w:r>
        <w:t>E</w:t>
      </w:r>
      <w:r w:rsidRPr="00E66727">
        <w:t>en aantal aanbevelingen</w:t>
      </w:r>
      <w:r>
        <w:t xml:space="preserve">, bijvoorbeeld, maar niet uitsluitend, het aanpassen van de opleiding voor nieuwe en huidige medewerkers en het opnemen van signalen in de invorderingssystemen, heeft de Belastingdienst uitgevoerd. Enkele aanbevelingen worden momenteel nog uitgewerkt binnen de Belastingdienst en zullen daarna worden geïmplementeerd.  </w:t>
      </w:r>
    </w:p>
    <w:p w:rsidRPr="00487571" w:rsidR="00B90B03" w:rsidP="00B90B03" w:rsidRDefault="00B90B03" w14:paraId="3F1BBC77" w14:textId="77777777">
      <w:pPr>
        <w:rPr>
          <w:b/>
          <w:bCs/>
        </w:rPr>
      </w:pPr>
    </w:p>
    <w:p w:rsidRPr="00487571" w:rsidR="00B90B03" w:rsidP="00B90B03" w:rsidRDefault="00B90B03" w14:paraId="2619FD3F" w14:textId="77777777">
      <w:pPr>
        <w:rPr>
          <w:b/>
          <w:bCs/>
        </w:rPr>
      </w:pPr>
      <w:r>
        <w:rPr>
          <w:b/>
          <w:bCs/>
        </w:rPr>
        <w:t xml:space="preserve">Vraag </w:t>
      </w:r>
      <w:r w:rsidRPr="00487571">
        <w:rPr>
          <w:b/>
          <w:bCs/>
        </w:rPr>
        <w:t>7</w:t>
      </w:r>
      <w:r w:rsidRPr="00487571">
        <w:rPr>
          <w:b/>
          <w:bCs/>
        </w:rPr>
        <w:tab/>
      </w:r>
    </w:p>
    <w:p w:rsidRPr="00487571" w:rsidR="00B90B03" w:rsidP="00B90B03" w:rsidRDefault="00B90B03" w14:paraId="4E150F76" w14:textId="77777777">
      <w:pPr>
        <w:rPr>
          <w:b/>
          <w:bCs/>
        </w:rPr>
      </w:pPr>
      <w:r w:rsidRPr="00487571">
        <w:rPr>
          <w:b/>
          <w:bCs/>
        </w:rPr>
        <w:lastRenderedPageBreak/>
        <w:t>Hoe kijkt u naar de wetsbepaling die in Duitsland bestaat die ondernemers dwingt om bij betalingsonmacht hun eigen faillissement aan te vragen? Zou een dergelijke wetsbepaling een onderdeel van de oplossing van het probleem kunnen zijn?</w:t>
      </w:r>
    </w:p>
    <w:p w:rsidR="00B90B03" w:rsidP="00B90B03" w:rsidRDefault="00B90B03" w14:paraId="18FEF6D7" w14:textId="77777777">
      <w:pPr>
        <w:rPr>
          <w:b/>
          <w:bCs/>
        </w:rPr>
      </w:pPr>
    </w:p>
    <w:p w:rsidRPr="0021148E" w:rsidR="00B90B03" w:rsidP="00B90B03" w:rsidRDefault="00B90B03" w14:paraId="085048D6" w14:textId="77777777">
      <w:pPr>
        <w:rPr>
          <w:b/>
          <w:bCs/>
        </w:rPr>
      </w:pPr>
      <w:r>
        <w:rPr>
          <w:b/>
          <w:bCs/>
        </w:rPr>
        <w:t>Antwoord op vraag 7</w:t>
      </w:r>
    </w:p>
    <w:p w:rsidR="00B90B03" w:rsidP="00B90B03" w:rsidRDefault="00B90B03" w14:paraId="0B06EC19" w14:textId="77777777">
      <w:r>
        <w:t>Ik vind dat we ondernemers in financiële problemen moeten stimuleren om tijdig maatregelen te nemen om deze problemen op te lossen. Bij tijdig ingrijpen wordt in de regel de schade voor schuldeisers beperkt, bijvoorbeeld wanneer met hen een akkoord kan worden gesloten over een financiële herstructurering. Bedrijfsbeëindiging kan in zo’n situatie ook een reële mogelijkheid zijn. Dit kan op verschillende manieren. Turboliquidatie biedt hiervoor een laagdrempelige mogelijkheid en brengt minder kosten met zich dan een faillissement. Dat is een voordeel, want hoe lager de kosten zijn, hoe meer er onder de schuldeisers kan worden verdeeld.</w:t>
      </w:r>
    </w:p>
    <w:p w:rsidR="00B90B03" w:rsidP="00B90B03" w:rsidRDefault="00B90B03" w14:paraId="239C30F5" w14:textId="77777777"/>
    <w:p w:rsidR="00B90B03" w:rsidP="00B90B03" w:rsidRDefault="00B90B03" w14:paraId="3A0EF17C" w14:textId="77777777">
      <w:r>
        <w:t xml:space="preserve">Een verplichting voor bestuurders om in geval van ernstige financiële problemen het faillissement van de onderneming aan te vragen maakt onderdeel uit van </w:t>
      </w:r>
      <w:r w:rsidRPr="002103CB">
        <w:t>het recente richtlijnvoorstel tot harmonisering van het materiële insolventierecht</w:t>
      </w:r>
      <w:r>
        <w:t xml:space="preserve"> (een ‘duty to file’)</w:t>
      </w:r>
      <w:r w:rsidRPr="002103CB">
        <w:t>.</w:t>
      </w:r>
      <w:r>
        <w:rPr>
          <w:rStyle w:val="Voetnootmarkering"/>
        </w:rPr>
        <w:footnoteReference w:id="7"/>
      </w:r>
      <w:r w:rsidRPr="002103CB">
        <w:t xml:space="preserve"> Nederland was hier kritisch op, omdat het moeilijk </w:t>
      </w:r>
      <w:r>
        <w:t>is om</w:t>
      </w:r>
      <w:r w:rsidRPr="002103CB">
        <w:t xml:space="preserve"> te bepalen wanneer zo’n verplichting geld</w:t>
      </w:r>
      <w:r>
        <w:t>t</w:t>
      </w:r>
      <w:r w:rsidRPr="002103CB">
        <w:t xml:space="preserve"> en zo’n plicht een aanzienlijk aansprakelijkheidsrisico in het leven </w:t>
      </w:r>
      <w:r>
        <w:t>zou roepen</w:t>
      </w:r>
      <w:r w:rsidRPr="002103CB">
        <w:t xml:space="preserve"> voor goedwillende ondernemers. Bovendien zijn er in Nederland al voldoende mogelijkheden om bestuurders aan te spreken indien zij op onrechtmatige wijze schuldeisers benadelen.</w:t>
      </w:r>
      <w:r>
        <w:rPr>
          <w:rStyle w:val="Voetnootmarkering"/>
        </w:rPr>
        <w:footnoteReference w:id="8"/>
      </w:r>
      <w:r w:rsidRPr="002103CB">
        <w:t xml:space="preserve"> </w:t>
      </w:r>
      <w:r>
        <w:t>Mede door de Nederlandse inzet bevat de richtlijn niet alleen een duty to file,</w:t>
      </w:r>
      <w:r>
        <w:rPr>
          <w:rStyle w:val="Voetnootmarkering"/>
        </w:rPr>
        <w:footnoteReference w:id="9"/>
      </w:r>
      <w:r>
        <w:t xml:space="preserve"> maar ook twee alternatieven.</w:t>
      </w:r>
      <w:r>
        <w:rPr>
          <w:rStyle w:val="Voetnootmarkering"/>
        </w:rPr>
        <w:footnoteReference w:id="10"/>
      </w:r>
      <w:r>
        <w:t xml:space="preserve"> Die alternatieven zijn 1) een mogelijke </w:t>
      </w:r>
      <w:r w:rsidRPr="002103CB">
        <w:t xml:space="preserve">verplichting voor ondernemers in financiële moeilijkheden om </w:t>
      </w:r>
      <w:r w:rsidRPr="00A42CEE">
        <w:t>transparant</w:t>
      </w:r>
      <w:r w:rsidRPr="002103CB">
        <w:t xml:space="preserve"> te zijn naar schuldeisers en </w:t>
      </w:r>
      <w:r>
        <w:t xml:space="preserve">2) </w:t>
      </w:r>
      <w:r w:rsidRPr="002103CB">
        <w:t>een</w:t>
      </w:r>
      <w:r>
        <w:t xml:space="preserve"> mogelijke</w:t>
      </w:r>
      <w:r w:rsidRPr="002103CB">
        <w:t xml:space="preserve"> verplichting om andere maatregelen te treffen waarvan verwacht mag worden dat </w:t>
      </w:r>
      <w:r>
        <w:t>ze</w:t>
      </w:r>
      <w:r w:rsidRPr="002103CB">
        <w:t xml:space="preserve"> een vergelijkbaar </w:t>
      </w:r>
      <w:r w:rsidRPr="002103CB">
        <w:lastRenderedPageBreak/>
        <w:t>niveau van schuldeisersbescherming bieden.</w:t>
      </w:r>
      <w:r>
        <w:t xml:space="preserve"> </w:t>
      </w:r>
      <w:r w:rsidRPr="002103CB">
        <w:t xml:space="preserve">Dit biedt de nodige flexibiliteit die Nederland wilde behouden voor reddingspogingen </w:t>
      </w:r>
      <w:r>
        <w:t>van</w:t>
      </w:r>
      <w:r w:rsidRPr="002103CB">
        <w:t xml:space="preserve"> ondernemingen die in potentie levensvatbaar zijn.</w:t>
      </w:r>
      <w:r>
        <w:t xml:space="preserve"> </w:t>
      </w:r>
    </w:p>
    <w:p w:rsidR="00B90B03" w:rsidP="00B90B03" w:rsidRDefault="00B90B03" w14:paraId="6A52EAA6" w14:textId="77777777"/>
    <w:p w:rsidRPr="002103CB" w:rsidR="00B90B03" w:rsidP="00B90B03" w:rsidRDefault="00B90B03" w14:paraId="0A00E2E3" w14:textId="77777777">
      <w:r>
        <w:t>Tijdens de implementatie zal</w:t>
      </w:r>
      <w:r w:rsidRPr="002103CB">
        <w:t xml:space="preserve"> worden bezien op welke wijze aan de nieuwe verplichtingen van de richtlijn gevolg</w:t>
      </w:r>
      <w:r>
        <w:t xml:space="preserve"> en invulling</w:t>
      </w:r>
      <w:r w:rsidRPr="002103CB">
        <w:t xml:space="preserve"> za</w:t>
      </w:r>
      <w:r>
        <w:t>l</w:t>
      </w:r>
      <w:r w:rsidRPr="002103CB">
        <w:t xml:space="preserve"> worden gegeven. </w:t>
      </w:r>
      <w:r>
        <w:t xml:space="preserve">De verwachting is dat de richtlijn in de loop van 2026 formeel in werking treedt, waarna de implementatietermijn gaat lopen.  </w:t>
      </w:r>
    </w:p>
    <w:p w:rsidRPr="00487571" w:rsidR="00B90B03" w:rsidP="00B90B03" w:rsidRDefault="00B90B03" w14:paraId="5F0CC640" w14:textId="77777777">
      <w:pPr>
        <w:rPr>
          <w:b/>
          <w:bCs/>
        </w:rPr>
      </w:pPr>
    </w:p>
    <w:p w:rsidR="00B90B03" w:rsidP="00B90B03" w:rsidRDefault="00B90B03" w14:paraId="081E7067" w14:textId="77777777">
      <w:r>
        <w:t>1) FD, 20 december 2025, 'Misbruik via de plof-bv kinderlijk eenvoudig en niemand krijgt er grip op', https://fd.nl/bedrijfsleven/1581493/misbruik-via-de-plof-bv-kinderlijk-eenvoudig-en-niemand-krijgt-er-vat-op</w:t>
      </w:r>
    </w:p>
    <w:p w:rsidR="002C3023" w:rsidRDefault="002C3023" w14:paraId="12CAC928" w14:textId="77777777"/>
    <w:sectPr w:rsidR="002C3023" w:rsidSect="00B90B0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F62E" w14:textId="77777777" w:rsidR="00B90B03" w:rsidRDefault="00B90B03" w:rsidP="00B90B03">
      <w:pPr>
        <w:spacing w:after="0" w:line="240" w:lineRule="auto"/>
      </w:pPr>
      <w:r>
        <w:separator/>
      </w:r>
    </w:p>
  </w:endnote>
  <w:endnote w:type="continuationSeparator" w:id="0">
    <w:p w14:paraId="45925E1E" w14:textId="77777777" w:rsidR="00B90B03" w:rsidRDefault="00B90B03" w:rsidP="00B9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1583" w14:textId="77777777" w:rsidR="00B90B03" w:rsidRPr="00B90B03" w:rsidRDefault="00B90B03" w:rsidP="00B90B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C861" w14:textId="77777777" w:rsidR="00B90B03" w:rsidRPr="00B90B03" w:rsidRDefault="00B90B03" w:rsidP="00B90B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033F" w14:textId="77777777" w:rsidR="00B90B03" w:rsidRPr="00B90B03" w:rsidRDefault="00B90B03" w:rsidP="00B90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B654" w14:textId="77777777" w:rsidR="00B90B03" w:rsidRDefault="00B90B03" w:rsidP="00B90B03">
      <w:pPr>
        <w:spacing w:after="0" w:line="240" w:lineRule="auto"/>
      </w:pPr>
      <w:r>
        <w:separator/>
      </w:r>
    </w:p>
  </w:footnote>
  <w:footnote w:type="continuationSeparator" w:id="0">
    <w:p w14:paraId="5E39A539" w14:textId="77777777" w:rsidR="00B90B03" w:rsidRDefault="00B90B03" w:rsidP="00B90B03">
      <w:pPr>
        <w:spacing w:after="0" w:line="240" w:lineRule="auto"/>
      </w:pPr>
      <w:r>
        <w:continuationSeparator/>
      </w:r>
    </w:p>
  </w:footnote>
  <w:footnote w:id="1">
    <w:p w14:paraId="21B1CF64" w14:textId="77777777" w:rsidR="00B90B03" w:rsidRPr="009D045A" w:rsidRDefault="00B90B03" w:rsidP="00B90B03">
      <w:pPr>
        <w:pStyle w:val="Voetnoottekst"/>
        <w:rPr>
          <w:lang w:val="nl-NL"/>
        </w:rPr>
      </w:pPr>
      <w:r>
        <w:rPr>
          <w:rStyle w:val="Voetnootmarkering"/>
        </w:rPr>
        <w:footnoteRef/>
      </w:r>
      <w:r w:rsidRPr="009D045A">
        <w:rPr>
          <w:lang w:val="nl-NL"/>
        </w:rPr>
        <w:t xml:space="preserve"> </w:t>
      </w:r>
      <w:r w:rsidRPr="00583843">
        <w:rPr>
          <w:i/>
          <w:iCs/>
          <w:sz w:val="18"/>
          <w:szCs w:val="18"/>
          <w:lang w:val="nl-NL"/>
        </w:rPr>
        <w:t>Kamerstukken II 1991/92</w:t>
      </w:r>
      <w:r w:rsidRPr="00583843">
        <w:rPr>
          <w:sz w:val="18"/>
          <w:szCs w:val="18"/>
          <w:lang w:val="nl-NL"/>
        </w:rPr>
        <w:t>, 22</w:t>
      </w:r>
      <w:r w:rsidRPr="00583843">
        <w:rPr>
          <w:rFonts w:ascii="Arial" w:hAnsi="Arial" w:cs="Arial"/>
          <w:sz w:val="18"/>
          <w:szCs w:val="18"/>
          <w:lang w:val="nl-NL"/>
        </w:rPr>
        <w:t> </w:t>
      </w:r>
      <w:r w:rsidRPr="00583843">
        <w:rPr>
          <w:sz w:val="18"/>
          <w:szCs w:val="18"/>
          <w:lang w:val="nl-NL"/>
        </w:rPr>
        <w:t>482, nr. 3 (</w:t>
      </w:r>
      <w:r w:rsidRPr="00583843">
        <w:rPr>
          <w:i/>
          <w:iCs/>
          <w:sz w:val="18"/>
          <w:szCs w:val="18"/>
          <w:lang w:val="nl-NL"/>
        </w:rPr>
        <w:t>MvT</w:t>
      </w:r>
      <w:r w:rsidRPr="00583843">
        <w:rPr>
          <w:sz w:val="18"/>
          <w:szCs w:val="18"/>
          <w:lang w:val="nl-NL"/>
        </w:rPr>
        <w:t>), p. 11</w:t>
      </w:r>
      <w:r>
        <w:rPr>
          <w:sz w:val="18"/>
          <w:szCs w:val="18"/>
          <w:lang w:val="nl-NL"/>
        </w:rPr>
        <w:t>.</w:t>
      </w:r>
    </w:p>
  </w:footnote>
  <w:footnote w:id="2">
    <w:p w14:paraId="3D6DFE01"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Hoge Raad 18 december 2015, ECLI:NL:HR:2015:3636.</w:t>
      </w:r>
    </w:p>
  </w:footnote>
  <w:footnote w:id="3">
    <w:p w14:paraId="3FB63B90"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w:t>
      </w:r>
      <w:r w:rsidRPr="00583843">
        <w:rPr>
          <w:i/>
          <w:iCs/>
          <w:sz w:val="18"/>
          <w:szCs w:val="18"/>
          <w:lang w:val="nl-NL"/>
        </w:rPr>
        <w:t>Kamerstukken II 2019/20</w:t>
      </w:r>
      <w:r w:rsidRPr="00583843">
        <w:rPr>
          <w:sz w:val="18"/>
          <w:szCs w:val="18"/>
          <w:lang w:val="nl-NL"/>
        </w:rPr>
        <w:t>, 29 911, nr. 253.</w:t>
      </w:r>
    </w:p>
  </w:footnote>
  <w:footnote w:id="4">
    <w:p w14:paraId="4D17DCED"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w:t>
      </w:r>
      <w:r w:rsidRPr="00583843">
        <w:rPr>
          <w:i/>
          <w:iCs/>
          <w:sz w:val="18"/>
          <w:szCs w:val="18"/>
          <w:lang w:val="nl-NL"/>
        </w:rPr>
        <w:t xml:space="preserve">Kamerstukken II </w:t>
      </w:r>
      <w:r w:rsidRPr="00583843">
        <w:rPr>
          <w:sz w:val="18"/>
          <w:szCs w:val="18"/>
          <w:lang w:val="nl-NL"/>
        </w:rPr>
        <w:t>2021/11</w:t>
      </w:r>
      <w:r w:rsidRPr="00583843">
        <w:rPr>
          <w:i/>
          <w:iCs/>
          <w:sz w:val="18"/>
          <w:szCs w:val="18"/>
          <w:lang w:val="nl-NL"/>
        </w:rPr>
        <w:t xml:space="preserve">, </w:t>
      </w:r>
      <w:r w:rsidRPr="00583843">
        <w:rPr>
          <w:sz w:val="18"/>
          <w:szCs w:val="18"/>
          <w:lang w:val="nl-NL"/>
        </w:rPr>
        <w:t xml:space="preserve">36 172, nr. 3. </w:t>
      </w:r>
    </w:p>
  </w:footnote>
  <w:footnote w:id="5">
    <w:p w14:paraId="2783533B"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w:t>
      </w:r>
      <w:r w:rsidRPr="0028777B">
        <w:rPr>
          <w:i/>
          <w:iCs/>
          <w:sz w:val="18"/>
          <w:szCs w:val="18"/>
          <w:lang w:val="nl-NL"/>
        </w:rPr>
        <w:t xml:space="preserve">Kamerstukken II </w:t>
      </w:r>
      <w:r w:rsidRPr="0028777B">
        <w:rPr>
          <w:sz w:val="18"/>
          <w:szCs w:val="18"/>
          <w:lang w:val="nl-NL"/>
        </w:rPr>
        <w:t>2024/25, 36172, nr. 7.</w:t>
      </w:r>
    </w:p>
  </w:footnote>
  <w:footnote w:id="6">
    <w:p w14:paraId="741CBDD2" w14:textId="77777777" w:rsidR="00B90B03" w:rsidRPr="00583843" w:rsidRDefault="00B90B03" w:rsidP="00B90B03">
      <w:pPr>
        <w:pStyle w:val="Voetnoottekst"/>
        <w:rPr>
          <w:sz w:val="18"/>
          <w:szCs w:val="18"/>
          <w:lang w:val="nl-NL"/>
        </w:rPr>
      </w:pPr>
    </w:p>
  </w:footnote>
  <w:footnote w:id="7">
    <w:p w14:paraId="0DAB14C2"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Zie het commissievoorstel van 7 december 2022 tot harmonisatie van bepaalde aspecten van het insolventierecht COM(2022) 702 final, artikel 36 en verder.</w:t>
      </w:r>
    </w:p>
  </w:footnote>
  <w:footnote w:id="8">
    <w:p w14:paraId="77480681"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Zo kan een bestuurder van een rechtspersoon die nieuwe verplichtingen aangaat, terwijl hij weet of behoort te weten dat de rechtspersoon deze niet kan nakomen, aansprakelijk worden gehouden voor de voor de schade die daarvan het gevolg is. Vgl. BNC-fiche, </w:t>
      </w:r>
      <w:r w:rsidRPr="00583843">
        <w:rPr>
          <w:i/>
          <w:iCs/>
          <w:sz w:val="18"/>
          <w:szCs w:val="18"/>
          <w:lang w:val="nl-NL"/>
        </w:rPr>
        <w:t>Kamerstukken II</w:t>
      </w:r>
      <w:r w:rsidRPr="00583843">
        <w:rPr>
          <w:sz w:val="18"/>
          <w:szCs w:val="18"/>
          <w:lang w:val="nl-NL"/>
        </w:rPr>
        <w:t xml:space="preserve"> 2022-23, nr. 22112-3598. </w:t>
      </w:r>
    </w:p>
  </w:footnote>
  <w:footnote w:id="9">
    <w:p w14:paraId="212E6D43"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Zie het voorlopig bereikte politieke akkoord, waarover nog formele besluitvorming zal plaatsvinden: </w:t>
      </w:r>
      <w:hyperlink r:id="rId1" w:history="1">
        <w:r w:rsidRPr="00A51D1D">
          <w:rPr>
            <w:rStyle w:val="Hyperlink"/>
            <w:sz w:val="18"/>
            <w:szCs w:val="18"/>
            <w:lang w:val="nl-NL"/>
          </w:rPr>
          <w:t>https://data.consilium.europa.eu/doc/document/ST-16459-2025-INIT/en/pdf</w:t>
        </w:r>
      </w:hyperlink>
      <w:r w:rsidRPr="00583843">
        <w:rPr>
          <w:sz w:val="18"/>
          <w:szCs w:val="18"/>
          <w:lang w:val="nl-NL"/>
        </w:rPr>
        <w:t xml:space="preserve">. </w:t>
      </w:r>
    </w:p>
  </w:footnote>
  <w:footnote w:id="10">
    <w:p w14:paraId="0D227A7C" w14:textId="77777777" w:rsidR="00B90B03" w:rsidRPr="00583843" w:rsidRDefault="00B90B03" w:rsidP="00B90B03">
      <w:pPr>
        <w:pStyle w:val="Voetnoottekst"/>
        <w:rPr>
          <w:sz w:val="18"/>
          <w:szCs w:val="18"/>
          <w:lang w:val="nl-NL"/>
        </w:rPr>
      </w:pPr>
      <w:r w:rsidRPr="00583843">
        <w:rPr>
          <w:rStyle w:val="Voetnootmarkering"/>
          <w:sz w:val="18"/>
          <w:szCs w:val="18"/>
        </w:rPr>
        <w:footnoteRef/>
      </w:r>
      <w:r w:rsidRPr="00583843">
        <w:rPr>
          <w:sz w:val="18"/>
          <w:szCs w:val="18"/>
          <w:lang w:val="nl-NL"/>
        </w:rPr>
        <w:t xml:space="preserve"> Zie de bijlage bij het verslag van de formele JBZ-raad van 8 en 9 december 2025, </w:t>
      </w:r>
      <w:r w:rsidRPr="00583843">
        <w:rPr>
          <w:i/>
          <w:iCs/>
          <w:sz w:val="18"/>
          <w:szCs w:val="18"/>
          <w:lang w:val="nl-NL"/>
        </w:rPr>
        <w:t>Kamerstukken II</w:t>
      </w:r>
      <w:r w:rsidRPr="00583843">
        <w:rPr>
          <w:sz w:val="18"/>
          <w:szCs w:val="18"/>
          <w:lang w:val="nl-NL"/>
        </w:rPr>
        <w:t xml:space="preserve"> 2025-26,  32 317,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D392" w14:textId="77777777" w:rsidR="00B90B03" w:rsidRPr="00B90B03" w:rsidRDefault="00B90B03" w:rsidP="00B90B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80FB" w14:textId="77777777" w:rsidR="00B90B03" w:rsidRPr="00B90B03" w:rsidRDefault="00B90B03" w:rsidP="00B90B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02A3" w14:textId="77777777" w:rsidR="00B90B03" w:rsidRPr="00B90B03" w:rsidRDefault="00B90B03" w:rsidP="00B90B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03"/>
    <w:rsid w:val="002C3023"/>
    <w:rsid w:val="0099091B"/>
    <w:rsid w:val="00B90B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CE66"/>
  <w15:chartTrackingRefBased/>
  <w15:docId w15:val="{164B9563-B885-4BCE-A7CB-A130846E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B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B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B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B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B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B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B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B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B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B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B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B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B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B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B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B03"/>
    <w:rPr>
      <w:rFonts w:eastAsiaTheme="majorEastAsia" w:cstheme="majorBidi"/>
      <w:color w:val="272727" w:themeColor="text1" w:themeTint="D8"/>
    </w:rPr>
  </w:style>
  <w:style w:type="paragraph" w:styleId="Titel">
    <w:name w:val="Title"/>
    <w:basedOn w:val="Standaard"/>
    <w:next w:val="Standaard"/>
    <w:link w:val="TitelChar"/>
    <w:uiPriority w:val="10"/>
    <w:qFormat/>
    <w:rsid w:val="00B9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B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B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B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B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B03"/>
    <w:rPr>
      <w:i/>
      <w:iCs/>
      <w:color w:val="404040" w:themeColor="text1" w:themeTint="BF"/>
    </w:rPr>
  </w:style>
  <w:style w:type="paragraph" w:styleId="Lijstalinea">
    <w:name w:val="List Paragraph"/>
    <w:basedOn w:val="Standaard"/>
    <w:uiPriority w:val="34"/>
    <w:qFormat/>
    <w:rsid w:val="00B90B03"/>
    <w:pPr>
      <w:ind w:left="720"/>
      <w:contextualSpacing/>
    </w:pPr>
  </w:style>
  <w:style w:type="character" w:styleId="Intensievebenadrukking">
    <w:name w:val="Intense Emphasis"/>
    <w:basedOn w:val="Standaardalinea-lettertype"/>
    <w:uiPriority w:val="21"/>
    <w:qFormat/>
    <w:rsid w:val="00B90B03"/>
    <w:rPr>
      <w:i/>
      <w:iCs/>
      <w:color w:val="0F4761" w:themeColor="accent1" w:themeShade="BF"/>
    </w:rPr>
  </w:style>
  <w:style w:type="paragraph" w:styleId="Duidelijkcitaat">
    <w:name w:val="Intense Quote"/>
    <w:basedOn w:val="Standaard"/>
    <w:next w:val="Standaard"/>
    <w:link w:val="DuidelijkcitaatChar"/>
    <w:uiPriority w:val="30"/>
    <w:qFormat/>
    <w:rsid w:val="00B90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B03"/>
    <w:rPr>
      <w:i/>
      <w:iCs/>
      <w:color w:val="0F4761" w:themeColor="accent1" w:themeShade="BF"/>
    </w:rPr>
  </w:style>
  <w:style w:type="character" w:styleId="Intensieveverwijzing">
    <w:name w:val="Intense Reference"/>
    <w:basedOn w:val="Standaardalinea-lettertype"/>
    <w:uiPriority w:val="32"/>
    <w:qFormat/>
    <w:rsid w:val="00B90B03"/>
    <w:rPr>
      <w:b/>
      <w:bCs/>
      <w:smallCaps/>
      <w:color w:val="0F4761" w:themeColor="accent1" w:themeShade="BF"/>
      <w:spacing w:val="5"/>
    </w:rPr>
  </w:style>
  <w:style w:type="character" w:styleId="Hyperlink">
    <w:name w:val="Hyperlink"/>
    <w:basedOn w:val="Standaardalinea-lettertype"/>
    <w:uiPriority w:val="99"/>
    <w:unhideWhenUsed/>
    <w:rsid w:val="00B90B03"/>
    <w:rPr>
      <w:color w:val="467886" w:themeColor="hyperlink"/>
      <w:u w:val="single"/>
    </w:rPr>
  </w:style>
  <w:style w:type="paragraph" w:customStyle="1" w:styleId="Referentiegegevens">
    <w:name w:val="Referentiegegevens"/>
    <w:basedOn w:val="Standaard"/>
    <w:next w:val="Standaard"/>
    <w:rsid w:val="00B90B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0B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90B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0B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0B0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B90B03"/>
    <w:rPr>
      <w:rFonts w:ascii="Verdana" w:hAnsi="Verdana"/>
      <w:sz w:val="20"/>
      <w:szCs w:val="20"/>
      <w:lang w:val="en-US"/>
    </w:rPr>
  </w:style>
  <w:style w:type="character" w:styleId="Voetnootmarkering">
    <w:name w:val="footnote reference"/>
    <w:basedOn w:val="Standaardalinea-lettertype"/>
    <w:uiPriority w:val="99"/>
    <w:semiHidden/>
    <w:unhideWhenUsed/>
    <w:rsid w:val="00B90B03"/>
    <w:rPr>
      <w:vertAlign w:val="superscript"/>
    </w:rPr>
  </w:style>
  <w:style w:type="paragraph" w:styleId="Koptekst">
    <w:name w:val="header"/>
    <w:basedOn w:val="Standaard"/>
    <w:link w:val="KoptekstChar"/>
    <w:uiPriority w:val="99"/>
    <w:unhideWhenUsed/>
    <w:rsid w:val="00B90B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0B03"/>
  </w:style>
  <w:style w:type="paragraph" w:styleId="Voettekst">
    <w:name w:val="footer"/>
    <w:basedOn w:val="Standaard"/>
    <w:link w:val="VoettekstChar"/>
    <w:uiPriority w:val="99"/>
    <w:unhideWhenUsed/>
    <w:rsid w:val="00B90B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0B03"/>
  </w:style>
  <w:style w:type="paragraph" w:styleId="Geenafstand">
    <w:name w:val="No Spacing"/>
    <w:uiPriority w:val="1"/>
    <w:qFormat/>
    <w:rsid w:val="00B90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6459-2025-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1440</ap:Words>
  <ap:Characters>7924</ap:Characters>
  <ap:DocSecurity>0</ap:DocSecurity>
  <ap:Lines>66</ap:Lines>
  <ap:Paragraphs>18</ap:Paragraphs>
  <ap:ScaleCrop>false</ap:ScaleCrop>
  <ap:LinksUpToDate>false</ap:LinksUpToDate>
  <ap:CharactersWithSpaces>9346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2026-02-09T12:43:00.0000000Z</dcterms:created>
  <dcterms:modified xsi:type="dcterms:W3CDTF">2026-02-09T12:47:00.0000000Z</dcterms:modified>
  <version/>
  <category/>
</coreProperties>
</file>