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4762" w:rsidR="00484762" w:rsidP="00985BA8" w:rsidRDefault="00AE798C" w14:paraId="785E28A9" w14:textId="6611681E">
      <w:pPr>
        <w:rPr>
          <w:rFonts w:ascii="Calibri" w:hAnsi="Calibri" w:cs="Calibri"/>
        </w:rPr>
      </w:pPr>
      <w:bookmarkStart w:name="_Hlk215228169" w:id="0"/>
      <w:r w:rsidRPr="00484762">
        <w:rPr>
          <w:rFonts w:ascii="Calibri" w:hAnsi="Calibri" w:cs="Calibri"/>
        </w:rPr>
        <w:t>32</w:t>
      </w:r>
      <w:r w:rsidRPr="00484762" w:rsidR="00484762">
        <w:rPr>
          <w:rFonts w:ascii="Calibri" w:hAnsi="Calibri" w:cs="Calibri"/>
        </w:rPr>
        <w:t xml:space="preserve"> </w:t>
      </w:r>
      <w:r w:rsidRPr="00484762">
        <w:rPr>
          <w:rFonts w:ascii="Calibri" w:hAnsi="Calibri" w:cs="Calibri"/>
        </w:rPr>
        <w:t>849</w:t>
      </w:r>
      <w:r w:rsidRPr="00484762" w:rsidR="00484762">
        <w:rPr>
          <w:rFonts w:ascii="Calibri" w:hAnsi="Calibri" w:cs="Calibri"/>
        </w:rPr>
        <w:tab/>
      </w:r>
      <w:r w:rsidRPr="00484762" w:rsidR="00484762">
        <w:rPr>
          <w:rFonts w:ascii="Calibri" w:hAnsi="Calibri" w:cs="Calibri"/>
        </w:rPr>
        <w:tab/>
        <w:t>Mijnbouw</w:t>
      </w:r>
    </w:p>
    <w:p w:rsidRPr="00484762" w:rsidR="00484762" w:rsidP="00484762" w:rsidRDefault="00484762" w14:paraId="4026118A" w14:textId="77777777">
      <w:pPr>
        <w:spacing w:line="240" w:lineRule="auto"/>
        <w:rPr>
          <w:rFonts w:ascii="Calibri" w:hAnsi="Calibri" w:cs="Calibri"/>
        </w:rPr>
      </w:pPr>
      <w:r w:rsidRPr="00484762">
        <w:rPr>
          <w:rFonts w:ascii="Calibri" w:hAnsi="Calibri" w:cs="Calibri"/>
        </w:rPr>
        <w:t xml:space="preserve">Nr. </w:t>
      </w:r>
      <w:r w:rsidRPr="00484762" w:rsidR="00AE798C">
        <w:rPr>
          <w:rFonts w:ascii="Calibri" w:hAnsi="Calibri" w:cs="Calibri"/>
        </w:rPr>
        <w:t>298</w:t>
      </w:r>
      <w:r w:rsidRPr="00484762">
        <w:rPr>
          <w:rFonts w:ascii="Calibri" w:hAnsi="Calibri" w:cs="Calibri"/>
        </w:rPr>
        <w:tab/>
      </w:r>
      <w:r w:rsidRPr="00484762">
        <w:rPr>
          <w:rFonts w:ascii="Calibri" w:hAnsi="Calibri" w:cs="Calibri"/>
        </w:rPr>
        <w:tab/>
        <w:t>Brief van de minister van Klimaat en Groene Groei</w:t>
      </w:r>
    </w:p>
    <w:p w:rsidRPr="00484762" w:rsidR="00484762" w:rsidP="00484762" w:rsidRDefault="00484762" w14:paraId="2F1E6988" w14:textId="77777777">
      <w:pPr>
        <w:spacing w:line="240" w:lineRule="auto"/>
        <w:rPr>
          <w:rFonts w:ascii="Calibri" w:hAnsi="Calibri" w:cs="Calibri"/>
        </w:rPr>
      </w:pPr>
      <w:r w:rsidRPr="00484762">
        <w:rPr>
          <w:rFonts w:ascii="Calibri" w:hAnsi="Calibri" w:cs="Calibri"/>
        </w:rPr>
        <w:t>Aan de Voorzitter van de Tweede Kamer der Staten-Generaal</w:t>
      </w:r>
    </w:p>
    <w:p w:rsidRPr="00484762" w:rsidR="00E743EC" w:rsidP="00484762" w:rsidRDefault="00484762" w14:paraId="2828AF6C" w14:textId="31B691BF">
      <w:pPr>
        <w:spacing w:line="240" w:lineRule="auto"/>
        <w:rPr>
          <w:rFonts w:ascii="Calibri" w:hAnsi="Calibri" w:cs="Calibri"/>
        </w:rPr>
      </w:pPr>
      <w:r w:rsidRPr="00484762">
        <w:rPr>
          <w:rFonts w:ascii="Calibri" w:hAnsi="Calibri" w:cs="Calibri"/>
        </w:rPr>
        <w:t>Den Haag, 9 februari 2026</w:t>
      </w:r>
      <w:r w:rsidRPr="00484762" w:rsidR="00AE798C">
        <w:rPr>
          <w:rFonts w:ascii="Calibri" w:hAnsi="Calibri" w:cs="Calibri"/>
        </w:rPr>
        <w:br/>
      </w:r>
      <w:r w:rsidRPr="00484762" w:rsidR="00AE798C">
        <w:rPr>
          <w:rFonts w:ascii="Calibri" w:hAnsi="Calibri" w:cs="Calibri"/>
        </w:rPr>
        <w:br/>
      </w:r>
      <w:r w:rsidRPr="00484762" w:rsidR="00E743EC">
        <w:rPr>
          <w:rFonts w:ascii="Calibri" w:hAnsi="Calibri" w:cs="Calibri"/>
        </w:rPr>
        <w:t>De ontwerpbegrotingen 2026 worden door de samenloop van de parlementaire behandeling met het verkiezingsreces en de installatie van de nieuwe Tweede Kamer later geautoriseerd dan gebruikelijk.</w:t>
      </w:r>
      <w:bookmarkEnd w:id="0"/>
      <w:r w:rsidRPr="00484762" w:rsidR="00E743EC">
        <w:rPr>
          <w:rFonts w:ascii="Calibri" w:hAnsi="Calibri" w:cs="Calibri"/>
        </w:rPr>
        <w:t xml:space="preserve"> Waar behandeling van een begroting volgens de Europese verordening en de Comptabiliteitswet 2016 voor 1 januari van het begrotingsjaar door beide Kamers wordt afgerond, zal dit nu in de loop van 2026 gebeuren. </w:t>
      </w:r>
    </w:p>
    <w:p w:rsidRPr="00484762" w:rsidR="00E743EC" w:rsidP="00E743EC" w:rsidRDefault="00E743EC" w14:paraId="3BDE8359" w14:textId="77777777">
      <w:pPr>
        <w:spacing w:after="0"/>
        <w:rPr>
          <w:rFonts w:ascii="Calibri" w:hAnsi="Calibri" w:cs="Calibri"/>
        </w:rPr>
      </w:pPr>
    </w:p>
    <w:p w:rsidRPr="00484762" w:rsidR="00E743EC" w:rsidP="00E743EC" w:rsidRDefault="00E743EC" w14:paraId="6261C140" w14:textId="77777777">
      <w:pPr>
        <w:spacing w:after="0"/>
        <w:rPr>
          <w:rFonts w:ascii="Calibri" w:hAnsi="Calibri" w:cs="Calibri"/>
        </w:rPr>
      </w:pPr>
      <w:r w:rsidRPr="00484762">
        <w:rPr>
          <w:rFonts w:ascii="Calibri" w:hAnsi="Calibri" w:cs="Calibri"/>
        </w:rPr>
        <w:t>De Comptabiliteitswet 2016 stelt in artikel 2.25 dat nieuw beleid dat ten grondslag ligt aan de ontwerpbegrotingen niet uitgevoerd mag worden voordat de Staten-Generaal heeft ingestemd. Omdat latere begrotingsbehandeling al was voorzien, heeft de Kamer eerder een brief ontvangen met de mogelijke gevolgen voor de begroting van Klimaat en Groene Groei en het Klimaatfonds</w:t>
      </w:r>
      <w:r w:rsidRPr="00484762">
        <w:rPr>
          <w:rStyle w:val="Voetnootmarkering"/>
          <w:rFonts w:ascii="Calibri" w:hAnsi="Calibri" w:cs="Calibri"/>
        </w:rPr>
        <w:footnoteReference w:id="1"/>
      </w:r>
      <w:r w:rsidRPr="00484762">
        <w:rPr>
          <w:rFonts w:ascii="Calibri" w:hAnsi="Calibri" w:cs="Calibri"/>
        </w:rPr>
        <w:t>. Inmiddels acht het kabinet het voor Mijnbouwschade Limburg niet in het belang van het Rijk om de uitvoering aan te houden tot na de autorisatie van de ontwerpbegroting. Daarom doet het kabinet in deze brief voor die maatregel een gemotiveerd beroep op artikel 2.25, tweede lid, Comptabiliteitswet 2016. Conform het verzoek van de Tweede Kamer</w:t>
      </w:r>
      <w:r w:rsidRPr="00484762">
        <w:rPr>
          <w:rStyle w:val="Voetnootmarkering"/>
          <w:rFonts w:ascii="Calibri" w:hAnsi="Calibri" w:cs="Calibri"/>
        </w:rPr>
        <w:footnoteReference w:id="2"/>
      </w:r>
      <w:r w:rsidRPr="00484762">
        <w:rPr>
          <w:rFonts w:ascii="Calibri" w:hAnsi="Calibri" w:cs="Calibri"/>
        </w:rPr>
        <w:t xml:space="preserve"> bevat deze brief een onderbouwing waarom een beroep op deze uitzonderingsbepaling noodzakelijk wordt geacht. </w:t>
      </w:r>
    </w:p>
    <w:p w:rsidRPr="00484762" w:rsidR="00E743EC" w:rsidP="00E743EC" w:rsidRDefault="00E743EC" w14:paraId="5B3F9EDF" w14:textId="77777777">
      <w:pPr>
        <w:spacing w:after="0"/>
        <w:rPr>
          <w:rFonts w:ascii="Calibri" w:hAnsi="Calibri" w:cs="Calibri"/>
        </w:rPr>
      </w:pPr>
    </w:p>
    <w:p w:rsidRPr="00484762" w:rsidR="00E743EC" w:rsidP="00E743EC" w:rsidRDefault="00E743EC" w14:paraId="32BEBD0F" w14:textId="77777777">
      <w:pPr>
        <w:spacing w:after="0"/>
        <w:rPr>
          <w:rFonts w:ascii="Calibri" w:hAnsi="Calibri" w:cs="Calibri"/>
          <w:i/>
          <w:iCs/>
        </w:rPr>
      </w:pPr>
      <w:r w:rsidRPr="00484762">
        <w:rPr>
          <w:rFonts w:ascii="Calibri" w:hAnsi="Calibri" w:cs="Calibri"/>
          <w:i/>
          <w:iCs/>
        </w:rPr>
        <w:t>Tabel 1 – Overzicht maatregel</w:t>
      </w:r>
    </w:p>
    <w:tbl>
      <w:tblPr>
        <w:tblStyle w:val="Tabelraster"/>
        <w:tblW w:w="4808" w:type="pct"/>
        <w:tblInd w:w="-5" w:type="dxa"/>
        <w:tblLook w:val="04A0" w:firstRow="1" w:lastRow="0" w:firstColumn="1" w:lastColumn="0" w:noHBand="0" w:noVBand="1"/>
      </w:tblPr>
      <w:tblGrid>
        <w:gridCol w:w="318"/>
        <w:gridCol w:w="3367"/>
        <w:gridCol w:w="747"/>
        <w:gridCol w:w="945"/>
        <w:gridCol w:w="1853"/>
      </w:tblGrid>
      <w:tr w:rsidRPr="00DD075A" w:rsidR="00E743EC" w:rsidTr="00DD075A" w14:paraId="47A7EF57" w14:textId="77777777">
        <w:trPr>
          <w:trHeight w:val="210"/>
        </w:trPr>
        <w:tc>
          <w:tcPr>
            <w:tcW w:w="3179" w:type="pct"/>
            <w:gridSpan w:val="3"/>
            <w:noWrap/>
            <w:hideMark/>
          </w:tcPr>
          <w:p w:rsidRPr="00DD075A" w:rsidR="00E743EC" w:rsidP="00E743EC" w:rsidRDefault="00E743EC" w14:paraId="5A67BF71" w14:textId="77777777">
            <w:pPr>
              <w:rPr>
                <w:rFonts w:ascii="Calibri" w:hAnsi="Calibri" w:cs="Calibri"/>
                <w:i/>
                <w:iCs/>
              </w:rPr>
            </w:pPr>
            <w:r w:rsidRPr="00DD075A">
              <w:rPr>
                <w:rFonts w:ascii="Calibri" w:hAnsi="Calibri" w:cs="Calibri"/>
                <w:i/>
                <w:iCs/>
              </w:rPr>
              <w:t>in duizenden euro</w:t>
            </w:r>
          </w:p>
        </w:tc>
        <w:tc>
          <w:tcPr>
            <w:tcW w:w="681" w:type="pct"/>
            <w:noWrap/>
            <w:hideMark/>
          </w:tcPr>
          <w:p w:rsidRPr="00DD075A" w:rsidR="00E743EC" w:rsidP="00E743EC" w:rsidRDefault="00E743EC" w14:paraId="59282778" w14:textId="77777777">
            <w:pPr>
              <w:jc w:val="right"/>
              <w:rPr>
                <w:rFonts w:ascii="Calibri" w:hAnsi="Calibri" w:cs="Calibri"/>
              </w:rPr>
            </w:pPr>
            <w:r w:rsidRPr="00DD075A">
              <w:rPr>
                <w:rFonts w:ascii="Calibri" w:hAnsi="Calibri" w:cs="Calibri"/>
              </w:rPr>
              <w:t>Kas 2026</w:t>
            </w:r>
          </w:p>
        </w:tc>
        <w:tc>
          <w:tcPr>
            <w:tcW w:w="1140" w:type="pct"/>
            <w:noWrap/>
            <w:hideMark/>
          </w:tcPr>
          <w:p w:rsidRPr="00DD075A" w:rsidR="00E743EC" w:rsidP="00E743EC" w:rsidRDefault="00E743EC" w14:paraId="747F0321" w14:textId="77777777">
            <w:pPr>
              <w:jc w:val="right"/>
              <w:rPr>
                <w:rFonts w:ascii="Calibri" w:hAnsi="Calibri" w:cs="Calibri"/>
              </w:rPr>
            </w:pPr>
            <w:r w:rsidRPr="00DD075A">
              <w:rPr>
                <w:rFonts w:ascii="Calibri" w:hAnsi="Calibri" w:cs="Calibri"/>
              </w:rPr>
              <w:t>Verplichtingen 2026</w:t>
            </w:r>
          </w:p>
        </w:tc>
      </w:tr>
      <w:tr w:rsidRPr="00DD075A" w:rsidR="00E743EC" w:rsidTr="00DD075A" w14:paraId="36FE4E8F" w14:textId="77777777">
        <w:trPr>
          <w:trHeight w:val="210"/>
        </w:trPr>
        <w:tc>
          <w:tcPr>
            <w:tcW w:w="223" w:type="pct"/>
            <w:noWrap/>
            <w:hideMark/>
          </w:tcPr>
          <w:p w:rsidRPr="00DD075A" w:rsidR="00E743EC" w:rsidP="00E743EC" w:rsidRDefault="00E743EC" w14:paraId="1095BB3E" w14:textId="77777777">
            <w:pPr>
              <w:rPr>
                <w:rFonts w:ascii="Calibri" w:hAnsi="Calibri" w:cs="Calibri"/>
              </w:rPr>
            </w:pPr>
            <w:r w:rsidRPr="00DD075A">
              <w:rPr>
                <w:rFonts w:ascii="Calibri" w:hAnsi="Calibri" w:cs="Calibri"/>
              </w:rPr>
              <w:t>1</w:t>
            </w:r>
          </w:p>
        </w:tc>
        <w:tc>
          <w:tcPr>
            <w:tcW w:w="2418" w:type="pct"/>
            <w:noWrap/>
            <w:hideMark/>
          </w:tcPr>
          <w:p w:rsidRPr="00DD075A" w:rsidR="00E743EC" w:rsidP="00E743EC" w:rsidRDefault="00E743EC" w14:paraId="5B3CFCCF" w14:textId="77777777">
            <w:pPr>
              <w:rPr>
                <w:rFonts w:ascii="Calibri" w:hAnsi="Calibri" w:cs="Calibri"/>
              </w:rPr>
            </w:pPr>
            <w:r w:rsidRPr="00DD075A">
              <w:rPr>
                <w:rFonts w:ascii="Calibri" w:hAnsi="Calibri" w:cs="Calibri"/>
              </w:rPr>
              <w:t>Schadeafhandeling mijnbouw Limburg</w:t>
            </w:r>
          </w:p>
        </w:tc>
        <w:tc>
          <w:tcPr>
            <w:tcW w:w="537" w:type="pct"/>
            <w:noWrap/>
            <w:hideMark/>
          </w:tcPr>
          <w:p w:rsidRPr="00DD075A" w:rsidR="00E743EC" w:rsidP="00E743EC" w:rsidRDefault="00E743EC" w14:paraId="4DBB6F62" w14:textId="77777777">
            <w:pPr>
              <w:rPr>
                <w:rFonts w:ascii="Calibri" w:hAnsi="Calibri" w:cs="Calibri"/>
              </w:rPr>
            </w:pPr>
            <w:r w:rsidRPr="00DD075A">
              <w:rPr>
                <w:rFonts w:ascii="Calibri" w:hAnsi="Calibri" w:cs="Calibri"/>
              </w:rPr>
              <w:t>art. 31</w:t>
            </w:r>
          </w:p>
        </w:tc>
        <w:tc>
          <w:tcPr>
            <w:tcW w:w="681" w:type="pct"/>
            <w:noWrap/>
            <w:hideMark/>
          </w:tcPr>
          <w:p w:rsidRPr="00DD075A" w:rsidR="00E743EC" w:rsidP="00E743EC" w:rsidRDefault="00E743EC" w14:paraId="2AACE8CE" w14:textId="77777777">
            <w:pPr>
              <w:jc w:val="right"/>
              <w:rPr>
                <w:rFonts w:ascii="Calibri" w:hAnsi="Calibri" w:cs="Calibri"/>
              </w:rPr>
            </w:pPr>
            <w:r w:rsidRPr="00DD075A">
              <w:rPr>
                <w:rFonts w:ascii="Calibri" w:hAnsi="Calibri" w:cs="Calibri"/>
              </w:rPr>
              <w:t>€ 23.082</w:t>
            </w:r>
          </w:p>
        </w:tc>
        <w:tc>
          <w:tcPr>
            <w:tcW w:w="1140" w:type="pct"/>
            <w:noWrap/>
            <w:hideMark/>
          </w:tcPr>
          <w:p w:rsidRPr="00DD075A" w:rsidR="00E743EC" w:rsidP="00E743EC" w:rsidRDefault="00E743EC" w14:paraId="466BF762" w14:textId="77777777">
            <w:pPr>
              <w:jc w:val="right"/>
              <w:rPr>
                <w:rFonts w:ascii="Calibri" w:hAnsi="Calibri" w:cs="Calibri"/>
              </w:rPr>
            </w:pPr>
            <w:r w:rsidRPr="00DD075A">
              <w:rPr>
                <w:rFonts w:ascii="Calibri" w:hAnsi="Calibri" w:cs="Calibri"/>
              </w:rPr>
              <w:t>€ 23.082</w:t>
            </w:r>
          </w:p>
        </w:tc>
      </w:tr>
    </w:tbl>
    <w:p w:rsidRPr="00484762" w:rsidR="00E743EC" w:rsidP="00E743EC" w:rsidRDefault="00E743EC" w14:paraId="55188343" w14:textId="77777777">
      <w:pPr>
        <w:spacing w:after="0"/>
        <w:rPr>
          <w:rFonts w:ascii="Calibri" w:hAnsi="Calibri" w:cs="Calibri"/>
        </w:rPr>
      </w:pPr>
    </w:p>
    <w:p w:rsidRPr="00484762" w:rsidR="00E743EC" w:rsidP="00E743EC" w:rsidRDefault="00E743EC" w14:paraId="28708DD6" w14:textId="77777777">
      <w:pPr>
        <w:spacing w:after="0"/>
        <w:rPr>
          <w:rFonts w:ascii="Calibri" w:hAnsi="Calibri" w:cs="Calibri"/>
          <w:b/>
        </w:rPr>
      </w:pPr>
      <w:r w:rsidRPr="00484762">
        <w:rPr>
          <w:rFonts w:ascii="Calibri" w:hAnsi="Calibri" w:cs="Calibri"/>
          <w:b/>
        </w:rPr>
        <w:t>Toelichting per maatregel</w:t>
      </w:r>
    </w:p>
    <w:p w:rsidRPr="00484762" w:rsidR="00E743EC" w:rsidP="00E743EC" w:rsidRDefault="00E743EC" w14:paraId="00FE252F" w14:textId="77777777">
      <w:pPr>
        <w:spacing w:after="0"/>
        <w:rPr>
          <w:rFonts w:ascii="Calibri" w:hAnsi="Calibri" w:cs="Calibri"/>
        </w:rPr>
      </w:pPr>
    </w:p>
    <w:p w:rsidRPr="00484762" w:rsidR="00E743EC" w:rsidP="00E743EC" w:rsidRDefault="00E743EC" w14:paraId="30E538C4" w14:textId="77777777">
      <w:pPr>
        <w:pStyle w:val="Lijstalinea"/>
        <w:numPr>
          <w:ilvl w:val="0"/>
          <w:numId w:val="1"/>
        </w:numPr>
        <w:autoSpaceDN w:val="0"/>
        <w:spacing w:after="0" w:line="240" w:lineRule="atLeast"/>
        <w:textAlignment w:val="baseline"/>
        <w:rPr>
          <w:rFonts w:ascii="Calibri" w:hAnsi="Calibri" w:cs="Calibri"/>
          <w:i/>
          <w:iCs/>
        </w:rPr>
      </w:pPr>
      <w:r w:rsidRPr="00484762">
        <w:rPr>
          <w:rFonts w:ascii="Calibri" w:hAnsi="Calibri" w:cs="Calibri"/>
          <w:i/>
          <w:iCs/>
        </w:rPr>
        <w:t>De regeling Tegemoetkoming Mijnbouwschade Limburg draait om de nasleep van steenkoolwinning in Zuid-Limburg. Na de mijnsluiting in de jaren 70 zijn de mijnen volgelopen met water waardoor de bodem is gaan stijgen. Dit kan leiden tot schade aan de woning.</w:t>
      </w:r>
      <w:r w:rsidRPr="00484762">
        <w:rPr>
          <w:rFonts w:ascii="Calibri" w:hAnsi="Calibri" w:cs="Calibri"/>
          <w:i/>
          <w:iCs/>
        </w:rPr>
        <w:br/>
      </w:r>
    </w:p>
    <w:p w:rsidRPr="00484762" w:rsidR="00E743EC" w:rsidP="00E743EC" w:rsidRDefault="00E743EC" w14:paraId="64BF95FD" w14:textId="77777777">
      <w:pPr>
        <w:spacing w:after="0"/>
        <w:rPr>
          <w:rFonts w:ascii="Calibri" w:hAnsi="Calibri" w:cs="Calibri"/>
          <w:color w:val="212121"/>
        </w:rPr>
      </w:pPr>
      <w:bookmarkStart w:name="_Hlk215229322" w:id="3"/>
      <w:r w:rsidRPr="00484762">
        <w:rPr>
          <w:rFonts w:ascii="Calibri" w:hAnsi="Calibri" w:cs="Calibri"/>
          <w:color w:val="212121"/>
        </w:rPr>
        <w:t>De regering heeft in de ontwerpbegroting voor het jaar 2026 voor de instelling van het schadeloket van het Instituut voor Milieu, Mens en Mijnbouw Limburg (I3ML) additioneel budget vrijgemaakt. De motie van de leden Vermeer (BBB) en Pierik (BBB)</w:t>
      </w:r>
      <w:r w:rsidRPr="00484762">
        <w:rPr>
          <w:rStyle w:val="Voetnootmarkering"/>
          <w:rFonts w:ascii="Calibri" w:hAnsi="Calibri" w:cs="Calibri"/>
          <w:color w:val="212121"/>
        </w:rPr>
        <w:footnoteReference w:id="3"/>
      </w:r>
      <w:r w:rsidRPr="00484762">
        <w:rPr>
          <w:rFonts w:ascii="Calibri" w:hAnsi="Calibri" w:cs="Calibri"/>
          <w:color w:val="212121"/>
        </w:rPr>
        <w:t xml:space="preserve"> verzoekt de regering om het schadeloket uiterlijk in het derde kwartaal van 2025 toegankelijk te maken voor aanmeldingen. Daarnaast verzoekt de motie</w:t>
      </w:r>
      <w:r w:rsidRPr="00484762">
        <w:rPr>
          <w:rFonts w:ascii="Calibri" w:hAnsi="Calibri" w:cs="Calibri"/>
          <w:color w:val="212121"/>
          <w:vertAlign w:val="superscript"/>
        </w:rPr>
        <w:t> </w:t>
      </w:r>
      <w:r w:rsidRPr="00484762">
        <w:rPr>
          <w:rFonts w:ascii="Calibri" w:hAnsi="Calibri" w:cs="Calibri"/>
          <w:color w:val="212121"/>
        </w:rPr>
        <w:t xml:space="preserve">van de </w:t>
      </w:r>
      <w:r w:rsidRPr="00484762">
        <w:rPr>
          <w:rFonts w:ascii="Calibri" w:hAnsi="Calibri" w:cs="Calibri"/>
          <w:color w:val="212121"/>
        </w:rPr>
        <w:lastRenderedPageBreak/>
        <w:t>leden Beckerman (SP), Bushoff (GL-PvdA) en Teunissen (PvdD)</w:t>
      </w:r>
      <w:r w:rsidRPr="00484762">
        <w:rPr>
          <w:rStyle w:val="Voetnootmarkering"/>
          <w:rFonts w:ascii="Calibri" w:hAnsi="Calibri" w:cs="Calibri"/>
          <w:color w:val="212121"/>
        </w:rPr>
        <w:footnoteReference w:id="4"/>
      </w:r>
      <w:r w:rsidRPr="00484762">
        <w:rPr>
          <w:rFonts w:ascii="Calibri" w:hAnsi="Calibri" w:cs="Calibri"/>
          <w:color w:val="212121"/>
        </w:rPr>
        <w:t xml:space="preserve"> dat de regering met grote spoed de schaderegeling invoert, niet wacht tot 2026 en dat het kabinet alles op alles zet om de schadeafhandeling zo spoedig mogelijk te starten. Bovenstaande moties zijn afgehandeld</w:t>
      </w:r>
      <w:r w:rsidRPr="00484762">
        <w:rPr>
          <w:rStyle w:val="Voetnootmarkering"/>
          <w:rFonts w:ascii="Calibri" w:hAnsi="Calibri" w:cs="Calibri"/>
          <w:color w:val="212121"/>
        </w:rPr>
        <w:footnoteReference w:id="5"/>
      </w:r>
      <w:r w:rsidRPr="00484762">
        <w:rPr>
          <w:rFonts w:ascii="Calibri" w:hAnsi="Calibri" w:cs="Calibri"/>
          <w:color w:val="212121"/>
        </w:rPr>
        <w:t>.</w:t>
      </w:r>
    </w:p>
    <w:p w:rsidRPr="00484762" w:rsidR="00E743EC" w:rsidP="00E743EC" w:rsidRDefault="00E743EC" w14:paraId="24E9E7A3" w14:textId="77777777">
      <w:pPr>
        <w:spacing w:after="0"/>
        <w:rPr>
          <w:rFonts w:ascii="Calibri" w:hAnsi="Calibri" w:cs="Calibri"/>
          <w:color w:val="212121"/>
        </w:rPr>
      </w:pPr>
    </w:p>
    <w:p w:rsidRPr="00484762" w:rsidR="00E743EC" w:rsidP="00E743EC" w:rsidRDefault="00E743EC" w14:paraId="3C681668" w14:textId="77777777">
      <w:pPr>
        <w:spacing w:after="0"/>
        <w:rPr>
          <w:rFonts w:ascii="Calibri" w:hAnsi="Calibri" w:cs="Calibri"/>
          <w:color w:val="212121"/>
        </w:rPr>
      </w:pPr>
      <w:r w:rsidRPr="00484762">
        <w:rPr>
          <w:rFonts w:ascii="Calibri" w:hAnsi="Calibri" w:cs="Calibri"/>
          <w:color w:val="212121"/>
        </w:rPr>
        <w:t>Er is gecommuniceerd dat het Rijk, na parlementaire goedkeuring, vanaf 2026 zal gaan starten met de schadeafhandeling. Met het later autoriseren van de ontwerpbegrotingen 2026 door de samenloop van de parlementaire behandeling met het verkiezingsreces en de installatie van de nieuwe Tweede Kamer loopt de schadeafhandeling mogelijk vertraging op en kunnen de particuliere woningeigenaren langer met schade zitten.</w:t>
      </w:r>
    </w:p>
    <w:p w:rsidRPr="00484762" w:rsidR="00E743EC" w:rsidP="00E743EC" w:rsidRDefault="00E743EC" w14:paraId="0030647C" w14:textId="77777777">
      <w:pPr>
        <w:spacing w:after="0"/>
        <w:rPr>
          <w:rFonts w:ascii="Calibri" w:hAnsi="Calibri" w:cs="Calibri"/>
        </w:rPr>
      </w:pPr>
    </w:p>
    <w:p w:rsidRPr="00484762" w:rsidR="00E743EC" w:rsidP="00E743EC" w:rsidRDefault="00E743EC" w14:paraId="5B8B8E36" w14:textId="77777777">
      <w:pPr>
        <w:spacing w:after="0"/>
        <w:rPr>
          <w:rFonts w:ascii="Calibri" w:hAnsi="Calibri" w:cs="Calibri"/>
          <w:color w:val="212121"/>
        </w:rPr>
      </w:pPr>
      <w:r w:rsidRPr="00484762">
        <w:rPr>
          <w:rFonts w:ascii="Calibri" w:hAnsi="Calibri" w:cs="Calibri"/>
          <w:color w:val="212121"/>
        </w:rPr>
        <w:t>Eind 2025 is een digitaal loket geopend en op 2 januari 2026 is het fysieke I3ML loket geopend, zodat er een plek is waar woningeigenaren met mijnbouwschade terecht kunnen. Een particuliere woningeigenaar kan nu bij het nieuwe instituut een aanvraag digitaal, per post of ter plekke bij het loket indienen. I3ML neemt een aanvraag in behandeling als de woning gelegen is in het voor het besluit opengestelde mijnbouwschadegebied. De minister van Klimaat en Groene Groei vraagt voor iedere aanvraag advies aan de Limburg Kamer van de Commissie Mijnbouwschade (hierna commissie). Deze commissie beoordeelt of het aannemelijk is dat de schade het gevolg is van bodembeweging door de voormalige steenkoolwinning. Na ontvangst van het advies van de commissie neemt de minister binnen  weken een besluit. De schadegevallen tot 10.000 euro krijgen een financiële tegemoetkoming. De grotere schadegevallen zullen worden hersteld door een aannemer. Naar verwachting zullen de eerste schadegevallen in het najaar van 2026 worden hersteld.</w:t>
      </w:r>
    </w:p>
    <w:p w:rsidRPr="00484762" w:rsidR="00E743EC" w:rsidP="00E743EC" w:rsidRDefault="00E743EC" w14:paraId="13DB8B0F" w14:textId="77777777">
      <w:pPr>
        <w:spacing w:after="0"/>
        <w:rPr>
          <w:rFonts w:ascii="Calibri" w:hAnsi="Calibri" w:cs="Calibri"/>
          <w:color w:val="212121"/>
        </w:rPr>
      </w:pPr>
    </w:p>
    <w:p w:rsidRPr="00484762" w:rsidR="00E743EC" w:rsidP="00E743EC" w:rsidRDefault="00E743EC" w14:paraId="68726D5A" w14:textId="5DD72E02">
      <w:pPr>
        <w:spacing w:after="0"/>
        <w:rPr>
          <w:rFonts w:ascii="Calibri" w:hAnsi="Calibri" w:cs="Calibri"/>
          <w:color w:val="212121"/>
        </w:rPr>
      </w:pPr>
      <w:r w:rsidRPr="00484762">
        <w:rPr>
          <w:rFonts w:ascii="Calibri" w:hAnsi="Calibri" w:cs="Calibri"/>
          <w:color w:val="212121"/>
        </w:rPr>
        <w:t>Voor het in behandeling nemen van de aanvragen en het onderzoeken van schade (uitvoeringskosten) moeten betalingen plaatsvinden die niet kunnen wachten tot de autorisatie van de Tweede Kamer (voorzien in de week van 17 maart) en de daaropvolgende autorisatie van Eerste Kamer op de ontwerpbegroting van 2026.</w:t>
      </w:r>
    </w:p>
    <w:p w:rsidRPr="00484762" w:rsidR="00E743EC" w:rsidP="00E743EC" w:rsidRDefault="00E743EC" w14:paraId="08DA0AA9" w14:textId="77777777">
      <w:pPr>
        <w:spacing w:after="0"/>
        <w:rPr>
          <w:rFonts w:ascii="Calibri" w:hAnsi="Calibri" w:cs="Calibri"/>
          <w:color w:val="212121"/>
        </w:rPr>
      </w:pPr>
      <w:r w:rsidRPr="00484762">
        <w:rPr>
          <w:rFonts w:ascii="Calibri" w:hAnsi="Calibri" w:cs="Calibri"/>
          <w:color w:val="212121"/>
        </w:rPr>
        <w:t>Verwacht wordt dat de daadwerkelijke schadebetalingen pas later in het jaar zullen plaatsvinden. </w:t>
      </w:r>
    </w:p>
    <w:p w:rsidRPr="00484762" w:rsidR="00E743EC" w:rsidP="00E743EC" w:rsidRDefault="00E743EC" w14:paraId="2FD7BDA0" w14:textId="77777777">
      <w:pPr>
        <w:spacing w:after="0"/>
        <w:rPr>
          <w:rFonts w:ascii="Calibri" w:hAnsi="Calibri" w:cs="Calibri"/>
        </w:rPr>
      </w:pPr>
    </w:p>
    <w:p w:rsidRPr="00484762" w:rsidR="00E743EC" w:rsidP="00E743EC" w:rsidRDefault="00E743EC" w14:paraId="029280DD" w14:textId="77777777">
      <w:pPr>
        <w:spacing w:after="0" w:line="240" w:lineRule="auto"/>
        <w:rPr>
          <w:rFonts w:ascii="Calibri" w:hAnsi="Calibri" w:cs="Calibri"/>
          <w:color w:val="212121"/>
        </w:rPr>
      </w:pPr>
      <w:r w:rsidRPr="00484762">
        <w:rPr>
          <w:rFonts w:ascii="Calibri" w:hAnsi="Calibri" w:cs="Calibri"/>
          <w:color w:val="212121"/>
        </w:rPr>
        <w:t>Er is geen ander budgettair verwerkingsmoment anders dan de parlementaire begrotingsbehandeling. U wordt daarom met deze brief geïnformeerd.</w:t>
      </w:r>
    </w:p>
    <w:bookmarkEnd w:id="3"/>
    <w:p w:rsidRPr="00484762" w:rsidR="00E743EC" w:rsidP="00E743EC" w:rsidRDefault="00E743EC" w14:paraId="49665AAD" w14:textId="77777777">
      <w:pPr>
        <w:spacing w:after="0"/>
        <w:rPr>
          <w:rFonts w:ascii="Calibri" w:hAnsi="Calibri" w:cs="Calibri"/>
        </w:rPr>
      </w:pPr>
    </w:p>
    <w:tbl>
      <w:tblPr>
        <w:tblStyle w:val="Tabelraster"/>
        <w:tblW w:w="0" w:type="auto"/>
        <w:tblInd w:w="5" w:type="dxa"/>
        <w:tblLook w:val="04A0" w:firstRow="1" w:lastRow="0" w:firstColumn="1" w:lastColumn="0" w:noHBand="0" w:noVBand="1"/>
      </w:tblPr>
      <w:tblGrid>
        <w:gridCol w:w="3392"/>
        <w:gridCol w:w="4110"/>
        <w:gridCol w:w="7"/>
      </w:tblGrid>
      <w:tr w:rsidRPr="00484762" w:rsidR="00E743EC" w:rsidTr="00484762" w14:paraId="48B1ECE9" w14:textId="77777777">
        <w:trPr>
          <w:trHeight w:val="300"/>
        </w:trPr>
        <w:tc>
          <w:tcPr>
            <w:tcW w:w="7509" w:type="dxa"/>
            <w:gridSpan w:val="3"/>
            <w:hideMark/>
          </w:tcPr>
          <w:p w:rsidRPr="00484762" w:rsidR="00E743EC" w:rsidP="00E743EC" w:rsidRDefault="00E743EC" w14:paraId="76B1881F" w14:textId="77777777">
            <w:pPr>
              <w:rPr>
                <w:rFonts w:ascii="Calibri" w:hAnsi="Calibri" w:cs="Calibri"/>
                <w:color w:val="212121"/>
                <w:lang w:val="nl-NL"/>
              </w:rPr>
            </w:pPr>
            <w:r w:rsidRPr="00484762">
              <w:rPr>
                <w:rFonts w:ascii="Calibri" w:hAnsi="Calibri" w:cs="Calibri"/>
                <w:color w:val="212121"/>
                <w:lang w:val="nl-NL"/>
              </w:rPr>
              <w:t>Beleidskeuzes uitgelegd </w:t>
            </w:r>
          </w:p>
          <w:p w:rsidRPr="00484762" w:rsidR="00E743EC" w:rsidP="00E743EC" w:rsidRDefault="00E743EC" w14:paraId="13C005F9" w14:textId="77777777">
            <w:pPr>
              <w:rPr>
                <w:rFonts w:ascii="Calibri" w:hAnsi="Calibri" w:cs="Calibri"/>
                <w:color w:val="212121"/>
                <w:lang w:val="nl-NL"/>
              </w:rPr>
            </w:pPr>
            <w:r w:rsidRPr="00484762">
              <w:rPr>
                <w:rFonts w:ascii="Calibri" w:hAnsi="Calibri" w:cs="Calibri"/>
                <w:color w:val="212121"/>
                <w:lang w:val="nl-NL"/>
              </w:rPr>
              <w:t>Onderbouwing doeltreffendheid, doelmatigheid en evaluatie (CW 3.1)</w:t>
            </w:r>
          </w:p>
        </w:tc>
      </w:tr>
      <w:tr w:rsidRPr="00484762" w:rsidR="00E743EC" w:rsidTr="00484762" w14:paraId="04625D3B" w14:textId="77777777">
        <w:trPr>
          <w:gridAfter w:val="1"/>
          <w:wAfter w:w="7" w:type="dxa"/>
          <w:trHeight w:val="300"/>
        </w:trPr>
        <w:tc>
          <w:tcPr>
            <w:tcW w:w="3392" w:type="dxa"/>
            <w:hideMark/>
          </w:tcPr>
          <w:p w:rsidRPr="00484762" w:rsidR="00E743EC" w:rsidP="00E743EC" w:rsidRDefault="00E743EC" w14:paraId="6CDA7D1C" w14:textId="77777777">
            <w:pPr>
              <w:rPr>
                <w:rFonts w:ascii="Calibri" w:hAnsi="Calibri" w:cs="Calibri"/>
                <w:color w:val="212121"/>
              </w:rPr>
            </w:pPr>
            <w:r w:rsidRPr="00484762">
              <w:rPr>
                <w:rFonts w:ascii="Calibri" w:hAnsi="Calibri" w:cs="Calibri"/>
                <w:color w:val="212121"/>
              </w:rPr>
              <w:t>1. Doel</w:t>
            </w:r>
          </w:p>
        </w:tc>
        <w:tc>
          <w:tcPr>
            <w:tcW w:w="4110" w:type="dxa"/>
            <w:hideMark/>
          </w:tcPr>
          <w:p w:rsidRPr="00484762" w:rsidR="00E743EC" w:rsidP="00E743EC" w:rsidRDefault="00E743EC" w14:paraId="14FE8C8B" w14:textId="77777777">
            <w:pPr>
              <w:rPr>
                <w:rFonts w:ascii="Calibri" w:hAnsi="Calibri" w:cs="Calibri"/>
                <w:color w:val="212121"/>
                <w:lang w:val="nl-NL"/>
              </w:rPr>
            </w:pPr>
            <w:r w:rsidRPr="00484762">
              <w:rPr>
                <w:rFonts w:ascii="Calibri" w:hAnsi="Calibri" w:cs="Calibri"/>
                <w:color w:val="212121"/>
                <w:lang w:val="nl-NL"/>
              </w:rPr>
              <w:t xml:space="preserve">Het doel wat wordt nagestreefd is een regeling voor schadeafhandeling inrichten voor woningeigenaren in Zuid-Limburg die door na-ijlende effecten van voormalige </w:t>
            </w:r>
            <w:r w:rsidRPr="00484762">
              <w:rPr>
                <w:rFonts w:ascii="Calibri" w:hAnsi="Calibri" w:cs="Calibri"/>
                <w:color w:val="212121"/>
                <w:lang w:val="nl-NL"/>
              </w:rPr>
              <w:lastRenderedPageBreak/>
              <w:t>mijnbouwactiviteiten, zoals verzakking en grondwaterstijging, kampen met schade aan de woning.  </w:t>
            </w:r>
          </w:p>
        </w:tc>
      </w:tr>
      <w:tr w:rsidRPr="00484762" w:rsidR="00E743EC" w:rsidTr="00484762" w14:paraId="339A8537" w14:textId="77777777">
        <w:trPr>
          <w:gridAfter w:val="1"/>
          <w:wAfter w:w="7" w:type="dxa"/>
          <w:trHeight w:val="300"/>
        </w:trPr>
        <w:tc>
          <w:tcPr>
            <w:tcW w:w="3392" w:type="dxa"/>
            <w:hideMark/>
          </w:tcPr>
          <w:p w:rsidRPr="00484762" w:rsidR="00E743EC" w:rsidP="00E743EC" w:rsidRDefault="00E743EC" w14:paraId="4C9F64C5" w14:textId="77777777">
            <w:pPr>
              <w:rPr>
                <w:rFonts w:ascii="Calibri" w:hAnsi="Calibri" w:cs="Calibri"/>
                <w:color w:val="212121"/>
              </w:rPr>
            </w:pPr>
            <w:r w:rsidRPr="00484762">
              <w:rPr>
                <w:rFonts w:ascii="Calibri" w:hAnsi="Calibri" w:cs="Calibri"/>
                <w:color w:val="212121"/>
              </w:rPr>
              <w:lastRenderedPageBreak/>
              <w:t>2. Beleidsinstrument</w:t>
            </w:r>
          </w:p>
        </w:tc>
        <w:tc>
          <w:tcPr>
            <w:tcW w:w="4110" w:type="dxa"/>
            <w:hideMark/>
          </w:tcPr>
          <w:p w:rsidRPr="00484762" w:rsidR="00E743EC" w:rsidP="00E743EC" w:rsidRDefault="00E743EC" w14:paraId="19E9A638" w14:textId="77777777">
            <w:pPr>
              <w:rPr>
                <w:rFonts w:ascii="Calibri" w:hAnsi="Calibri" w:cs="Calibri"/>
                <w:color w:val="212121"/>
                <w:lang w:val="nl-NL"/>
              </w:rPr>
            </w:pPr>
            <w:r w:rsidRPr="00484762">
              <w:rPr>
                <w:rFonts w:ascii="Calibri" w:hAnsi="Calibri" w:cs="Calibri"/>
                <w:color w:val="212121"/>
                <w:lang w:val="nl-NL"/>
              </w:rPr>
              <w:t>Dit betreft een schade-instrument waarbij de Rijksoverheid huiseigenaren in de voormalige mijnstreek een financiële tegemoetkoming biedt en bij grotere schadegevallen herstel-in-natura. </w:t>
            </w:r>
          </w:p>
        </w:tc>
      </w:tr>
      <w:tr w:rsidRPr="00484762" w:rsidR="00E743EC" w:rsidTr="00484762" w14:paraId="0C2DF239" w14:textId="77777777">
        <w:trPr>
          <w:gridAfter w:val="1"/>
          <w:wAfter w:w="7" w:type="dxa"/>
          <w:trHeight w:val="699"/>
        </w:trPr>
        <w:tc>
          <w:tcPr>
            <w:tcW w:w="3392" w:type="dxa"/>
            <w:hideMark/>
          </w:tcPr>
          <w:p w:rsidRPr="00484762" w:rsidR="00E743EC" w:rsidP="00E743EC" w:rsidRDefault="00E743EC" w14:paraId="49F564C6" w14:textId="15097560">
            <w:pPr>
              <w:rPr>
                <w:rFonts w:ascii="Calibri" w:hAnsi="Calibri" w:cs="Calibri"/>
                <w:color w:val="212121"/>
                <w:lang w:val="nl-NL"/>
              </w:rPr>
            </w:pPr>
            <w:r w:rsidRPr="00484762">
              <w:rPr>
                <w:rFonts w:ascii="Calibri" w:hAnsi="Calibri" w:cs="Calibri"/>
                <w:color w:val="212121"/>
                <w:lang w:val="nl-NL"/>
              </w:rPr>
              <w:t>3. A. Financiële gevolgen voor het Rijk</w:t>
            </w:r>
          </w:p>
          <w:p w:rsidRPr="00484762" w:rsidR="00E743EC" w:rsidP="00E743EC" w:rsidRDefault="00E743EC" w14:paraId="6627D8F1" w14:textId="77777777">
            <w:pPr>
              <w:rPr>
                <w:rFonts w:ascii="Calibri" w:hAnsi="Calibri" w:cs="Calibri"/>
                <w:color w:val="212121"/>
                <w:lang w:val="nl-NL"/>
              </w:rPr>
            </w:pPr>
            <w:r w:rsidRPr="00484762">
              <w:rPr>
                <w:rFonts w:ascii="Calibri" w:hAnsi="Calibri" w:cs="Calibri"/>
                <w:color w:val="212121"/>
                <w:lang w:val="nl-NL"/>
              </w:rPr>
              <w:t>    B. Financiële gevolgen voor maatschappelijke sectoren</w:t>
            </w:r>
          </w:p>
        </w:tc>
        <w:tc>
          <w:tcPr>
            <w:tcW w:w="4110" w:type="dxa"/>
            <w:hideMark/>
          </w:tcPr>
          <w:p w:rsidRPr="00484762" w:rsidR="00E743EC" w:rsidP="00E743EC" w:rsidRDefault="00E743EC" w14:paraId="21BA8DAA" w14:textId="77777777">
            <w:pPr>
              <w:rPr>
                <w:rFonts w:ascii="Calibri" w:hAnsi="Calibri" w:cs="Calibri"/>
                <w:color w:val="212121"/>
                <w:lang w:val="nl-NL"/>
              </w:rPr>
            </w:pPr>
            <w:r w:rsidRPr="00484762">
              <w:rPr>
                <w:rFonts w:ascii="Calibri" w:hAnsi="Calibri" w:cs="Calibri"/>
                <w:color w:val="212121"/>
                <w:lang w:val="nl-NL"/>
              </w:rPr>
              <w:t>A. Financieel gevolg voor het Rijk in 2026 is € 23,1 mln. </w:t>
            </w:r>
          </w:p>
          <w:p w:rsidRPr="00484762" w:rsidR="00E743EC" w:rsidP="00E743EC" w:rsidRDefault="00E743EC" w14:paraId="0CD96CC1" w14:textId="77777777">
            <w:pPr>
              <w:rPr>
                <w:rFonts w:ascii="Calibri" w:hAnsi="Calibri" w:cs="Calibri"/>
                <w:color w:val="212121"/>
              </w:rPr>
            </w:pPr>
            <w:r w:rsidRPr="00484762">
              <w:rPr>
                <w:rFonts w:ascii="Calibri" w:hAnsi="Calibri" w:cs="Calibri"/>
                <w:color w:val="212121"/>
              </w:rPr>
              <w:t>B. Niet van toepassing</w:t>
            </w:r>
          </w:p>
        </w:tc>
      </w:tr>
      <w:tr w:rsidRPr="00484762" w:rsidR="00E743EC" w:rsidTr="00484762" w14:paraId="5C1C1AC9" w14:textId="77777777">
        <w:trPr>
          <w:gridAfter w:val="1"/>
          <w:wAfter w:w="7" w:type="dxa"/>
          <w:trHeight w:val="300"/>
        </w:trPr>
        <w:tc>
          <w:tcPr>
            <w:tcW w:w="3392" w:type="dxa"/>
            <w:hideMark/>
          </w:tcPr>
          <w:p w:rsidRPr="00484762" w:rsidR="00E743EC" w:rsidP="00E743EC" w:rsidRDefault="00E743EC" w14:paraId="59B21A78" w14:textId="77777777">
            <w:pPr>
              <w:rPr>
                <w:rFonts w:ascii="Calibri" w:hAnsi="Calibri" w:cs="Calibri"/>
                <w:color w:val="212121"/>
              </w:rPr>
            </w:pPr>
            <w:r w:rsidRPr="00484762">
              <w:rPr>
                <w:rFonts w:ascii="Calibri" w:hAnsi="Calibri" w:cs="Calibri"/>
                <w:color w:val="212121"/>
              </w:rPr>
              <w:t>4. Nagestreefde doeltreffendheid</w:t>
            </w:r>
          </w:p>
        </w:tc>
        <w:tc>
          <w:tcPr>
            <w:tcW w:w="4110" w:type="dxa"/>
            <w:hideMark/>
          </w:tcPr>
          <w:p w:rsidRPr="00484762" w:rsidR="00E743EC" w:rsidP="00E743EC" w:rsidRDefault="00E743EC" w14:paraId="20AE5C6A" w14:textId="77777777">
            <w:pPr>
              <w:rPr>
                <w:rFonts w:ascii="Calibri" w:hAnsi="Calibri" w:cs="Calibri"/>
                <w:color w:val="212121"/>
                <w:lang w:val="nl-NL"/>
              </w:rPr>
            </w:pPr>
            <w:r w:rsidRPr="00484762">
              <w:rPr>
                <w:rFonts w:ascii="Calibri" w:hAnsi="Calibri" w:cs="Calibri"/>
                <w:color w:val="212121"/>
                <w:lang w:val="nl-NL"/>
              </w:rPr>
              <w:t>De regeling schadeafhandeling mijnbouw Limburg biedt woningeigenaren een financiële tegemoetkoming of herstel-in-natura, zodat een oplossing wordt geboden aan deze eigenaren met schade als gevolg van de voormalige steenkoolwinning in Zuid-Limburg.</w:t>
            </w:r>
          </w:p>
        </w:tc>
      </w:tr>
      <w:tr w:rsidRPr="00484762" w:rsidR="00E743EC" w:rsidTr="00484762" w14:paraId="741DB09F" w14:textId="77777777">
        <w:trPr>
          <w:gridAfter w:val="1"/>
          <w:wAfter w:w="7" w:type="dxa"/>
          <w:trHeight w:val="300"/>
        </w:trPr>
        <w:tc>
          <w:tcPr>
            <w:tcW w:w="3392" w:type="dxa"/>
            <w:hideMark/>
          </w:tcPr>
          <w:p w:rsidRPr="00484762" w:rsidR="00E743EC" w:rsidP="00E743EC" w:rsidRDefault="00E743EC" w14:paraId="3D3C676A" w14:textId="77777777">
            <w:pPr>
              <w:rPr>
                <w:rFonts w:ascii="Calibri" w:hAnsi="Calibri" w:cs="Calibri"/>
                <w:color w:val="212121"/>
              </w:rPr>
            </w:pPr>
            <w:r w:rsidRPr="00484762">
              <w:rPr>
                <w:rFonts w:ascii="Calibri" w:hAnsi="Calibri" w:cs="Calibri"/>
                <w:color w:val="212121"/>
              </w:rPr>
              <w:t>5. Nagestreefde doelmatigheid</w:t>
            </w:r>
          </w:p>
        </w:tc>
        <w:tc>
          <w:tcPr>
            <w:tcW w:w="4110" w:type="dxa"/>
            <w:hideMark/>
          </w:tcPr>
          <w:p w:rsidRPr="00484762" w:rsidR="00E743EC" w:rsidP="00E743EC" w:rsidRDefault="00E743EC" w14:paraId="5158118B" w14:textId="77777777">
            <w:pPr>
              <w:rPr>
                <w:rFonts w:ascii="Calibri" w:hAnsi="Calibri" w:cs="Calibri"/>
                <w:color w:val="212121"/>
                <w:lang w:val="nl-NL"/>
              </w:rPr>
            </w:pPr>
            <w:r w:rsidRPr="00484762">
              <w:rPr>
                <w:rFonts w:ascii="Calibri" w:hAnsi="Calibri" w:cs="Calibri"/>
                <w:color w:val="212121"/>
                <w:lang w:val="nl-NL"/>
              </w:rPr>
              <w:t>De inschatting is dat de volgende uitgangspunten ervoor zorgen dat er een gedragen schadeafhandeling komt en dat de kosten van de schadeafhandeling en de tegemoetkomingen daar waar mogelijk te claimen is op de nog bestaande rechtsopvolgers van de voormalige mijnbouwbedrijven: </w:t>
            </w:r>
          </w:p>
          <w:p w:rsidRPr="00484762" w:rsidR="00E743EC" w:rsidP="00E743EC" w:rsidRDefault="00E743EC" w14:paraId="3AA5D8A3" w14:textId="77777777">
            <w:pPr>
              <w:numPr>
                <w:ilvl w:val="0"/>
                <w:numId w:val="2"/>
              </w:numPr>
              <w:spacing w:line="240" w:lineRule="atLeast"/>
              <w:rPr>
                <w:rFonts w:ascii="Calibri" w:hAnsi="Calibri" w:cs="Calibri"/>
                <w:color w:val="212121"/>
                <w:lang w:val="nl-NL"/>
              </w:rPr>
            </w:pPr>
            <w:r w:rsidRPr="00484762">
              <w:rPr>
                <w:rFonts w:ascii="Calibri" w:hAnsi="Calibri" w:cs="Calibri"/>
                <w:color w:val="212121"/>
                <w:lang w:val="nl-NL"/>
              </w:rPr>
              <w:t>schadeafhandeling door het instituut I3ML dat gevestigd wordt in Heerlen; </w:t>
            </w:r>
          </w:p>
          <w:p w:rsidRPr="00484762" w:rsidR="00E743EC" w:rsidP="00E743EC" w:rsidRDefault="00E743EC" w14:paraId="0774C893" w14:textId="77777777">
            <w:pPr>
              <w:numPr>
                <w:ilvl w:val="0"/>
                <w:numId w:val="2"/>
              </w:numPr>
              <w:spacing w:line="240" w:lineRule="atLeast"/>
              <w:rPr>
                <w:rFonts w:ascii="Calibri" w:hAnsi="Calibri" w:cs="Calibri"/>
                <w:color w:val="212121"/>
                <w:lang w:val="nl-NL"/>
              </w:rPr>
            </w:pPr>
            <w:r w:rsidRPr="00484762">
              <w:rPr>
                <w:rFonts w:ascii="Calibri" w:hAnsi="Calibri" w:cs="Calibri"/>
                <w:color w:val="212121"/>
                <w:lang w:val="nl-NL"/>
              </w:rPr>
              <w:t>advisering over de schadeafhandeling door de Limburg Kamer van de Commissie Mijnbouwschade;</w:t>
            </w:r>
          </w:p>
          <w:p w:rsidRPr="00484762" w:rsidR="00E743EC" w:rsidP="00E743EC" w:rsidRDefault="00E743EC" w14:paraId="263F5D56" w14:textId="77777777">
            <w:pPr>
              <w:numPr>
                <w:ilvl w:val="0"/>
                <w:numId w:val="2"/>
              </w:numPr>
              <w:spacing w:line="240" w:lineRule="atLeast"/>
              <w:rPr>
                <w:rFonts w:ascii="Calibri" w:hAnsi="Calibri" w:cs="Calibri"/>
                <w:color w:val="212121"/>
                <w:lang w:val="nl-NL"/>
              </w:rPr>
            </w:pPr>
            <w:r w:rsidRPr="00484762">
              <w:rPr>
                <w:rFonts w:ascii="Calibri" w:hAnsi="Calibri" w:cs="Calibri"/>
                <w:color w:val="212121"/>
                <w:lang w:val="nl-NL"/>
              </w:rPr>
              <w:t>beoordeling van de schadegevallen op basis van aannemelijkheid;</w:t>
            </w:r>
          </w:p>
          <w:p w:rsidRPr="00484762" w:rsidR="00E743EC" w:rsidP="00E743EC" w:rsidRDefault="00E743EC" w14:paraId="67EC6CFA" w14:textId="77777777">
            <w:pPr>
              <w:numPr>
                <w:ilvl w:val="0"/>
                <w:numId w:val="2"/>
              </w:numPr>
              <w:spacing w:line="240" w:lineRule="atLeast"/>
              <w:rPr>
                <w:rFonts w:ascii="Calibri" w:hAnsi="Calibri" w:cs="Calibri"/>
                <w:color w:val="212121"/>
                <w:lang w:val="nl-NL"/>
              </w:rPr>
            </w:pPr>
            <w:r w:rsidRPr="00484762">
              <w:rPr>
                <w:rFonts w:ascii="Calibri" w:hAnsi="Calibri" w:cs="Calibri"/>
                <w:color w:val="212121"/>
                <w:lang w:val="nl-NL"/>
              </w:rPr>
              <w:t>met de schadeafhandeling biedt de Rijksoverheid huiseigenaren in de voormalige Mijnstreek voor hun mijnbouwschade bij kleine schadegevallen een financiële tegemoetkoming en bij grotere schadegevallen herstel-in-natura.</w:t>
            </w:r>
          </w:p>
        </w:tc>
      </w:tr>
      <w:tr w:rsidRPr="00484762" w:rsidR="00E743EC" w:rsidTr="00484762" w14:paraId="3B0C23F9" w14:textId="77777777">
        <w:trPr>
          <w:gridAfter w:val="1"/>
          <w:wAfter w:w="7" w:type="dxa"/>
          <w:trHeight w:val="300"/>
        </w:trPr>
        <w:tc>
          <w:tcPr>
            <w:tcW w:w="3392" w:type="dxa"/>
            <w:hideMark/>
          </w:tcPr>
          <w:p w:rsidRPr="00484762" w:rsidR="00E743EC" w:rsidP="00E743EC" w:rsidRDefault="00E743EC" w14:paraId="320DC2FE" w14:textId="77777777">
            <w:pPr>
              <w:rPr>
                <w:rFonts w:ascii="Calibri" w:hAnsi="Calibri" w:cs="Calibri"/>
                <w:color w:val="212121"/>
              </w:rPr>
            </w:pPr>
            <w:r w:rsidRPr="00484762">
              <w:rPr>
                <w:rFonts w:ascii="Calibri" w:hAnsi="Calibri" w:cs="Calibri"/>
                <w:color w:val="212121"/>
              </w:rPr>
              <w:t>6. Evaluatieparagraaf</w:t>
            </w:r>
          </w:p>
        </w:tc>
        <w:tc>
          <w:tcPr>
            <w:tcW w:w="4110" w:type="dxa"/>
            <w:hideMark/>
          </w:tcPr>
          <w:p w:rsidRPr="00484762" w:rsidR="00E743EC" w:rsidP="00E743EC" w:rsidRDefault="00E743EC" w14:paraId="54FE4E3C" w14:textId="77777777">
            <w:pPr>
              <w:rPr>
                <w:rFonts w:ascii="Calibri" w:hAnsi="Calibri" w:cs="Calibri"/>
                <w:color w:val="212121"/>
                <w:lang w:val="nl-NL"/>
              </w:rPr>
            </w:pPr>
            <w:r w:rsidRPr="00484762">
              <w:rPr>
                <w:rFonts w:ascii="Calibri" w:hAnsi="Calibri" w:cs="Calibri"/>
                <w:color w:val="212121"/>
                <w:lang w:val="nl-NL"/>
              </w:rPr>
              <w:t>De regeling wordt 1 jaar na de datum van eerste toekenning geëvalueerd en daarna tenminste een keer per 5 jaar. </w:t>
            </w:r>
          </w:p>
        </w:tc>
      </w:tr>
    </w:tbl>
    <w:p w:rsidRPr="00484762" w:rsidR="00E743EC" w:rsidP="00E743EC" w:rsidRDefault="00E743EC" w14:paraId="5BCCC891" w14:textId="4E450A0B">
      <w:pPr>
        <w:spacing w:after="0"/>
        <w:rPr>
          <w:rFonts w:ascii="Calibri" w:hAnsi="Calibri" w:cs="Calibri"/>
          <w:color w:val="212121"/>
        </w:rPr>
      </w:pPr>
    </w:p>
    <w:p w:rsidRPr="00484762" w:rsidR="00E743EC" w:rsidP="00484762" w:rsidRDefault="00E743EC" w14:paraId="5A375CF5" w14:textId="77777777">
      <w:pPr>
        <w:pStyle w:val="Geenafstand"/>
        <w:rPr>
          <w:rFonts w:ascii="Calibri" w:hAnsi="Calibri" w:cs="Calibri"/>
        </w:rPr>
      </w:pPr>
    </w:p>
    <w:p w:rsidRPr="00484762" w:rsidR="00484762" w:rsidP="00484762" w:rsidRDefault="00484762" w14:paraId="41D7D127" w14:textId="0D9433FF">
      <w:pPr>
        <w:pStyle w:val="Geenafstand"/>
        <w:rPr>
          <w:rFonts w:ascii="Calibri" w:hAnsi="Calibri" w:cs="Calibri"/>
        </w:rPr>
      </w:pPr>
      <w:r w:rsidRPr="00484762">
        <w:rPr>
          <w:rFonts w:ascii="Calibri" w:hAnsi="Calibri" w:cs="Calibri"/>
        </w:rPr>
        <w:t>De m</w:t>
      </w:r>
      <w:r w:rsidRPr="00484762">
        <w:rPr>
          <w:rFonts w:ascii="Calibri" w:hAnsi="Calibri" w:cs="Calibri"/>
        </w:rPr>
        <w:t>inister van Klimaat en Groene Groei</w:t>
      </w:r>
      <w:r w:rsidRPr="00484762">
        <w:rPr>
          <w:rFonts w:ascii="Calibri" w:hAnsi="Calibri" w:cs="Calibri"/>
        </w:rPr>
        <w:t>,</w:t>
      </w:r>
    </w:p>
    <w:p w:rsidRPr="00484762" w:rsidR="00E743EC" w:rsidP="00484762" w:rsidRDefault="00E743EC" w14:paraId="656831F9" w14:textId="7D2667E2">
      <w:pPr>
        <w:pStyle w:val="Geenafstand"/>
        <w:rPr>
          <w:rFonts w:ascii="Calibri" w:hAnsi="Calibri" w:cs="Calibri"/>
        </w:rPr>
      </w:pPr>
      <w:r w:rsidRPr="00484762">
        <w:rPr>
          <w:rFonts w:ascii="Calibri" w:hAnsi="Calibri" w:cs="Calibri"/>
        </w:rPr>
        <w:t>S</w:t>
      </w:r>
      <w:r w:rsidRPr="00484762" w:rsidR="00484762">
        <w:rPr>
          <w:rFonts w:ascii="Calibri" w:hAnsi="Calibri" w:cs="Calibri"/>
        </w:rPr>
        <w:t xml:space="preserve">.T.M. </w:t>
      </w:r>
      <w:r w:rsidRPr="00484762">
        <w:rPr>
          <w:rFonts w:ascii="Calibri" w:hAnsi="Calibri" w:cs="Calibri"/>
        </w:rPr>
        <w:t>Hermans</w:t>
      </w:r>
    </w:p>
    <w:p w:rsidRPr="00484762" w:rsidR="00F80165" w:rsidP="00484762" w:rsidRDefault="00F80165" w14:paraId="00DBE1E7" w14:textId="77777777">
      <w:pPr>
        <w:pStyle w:val="Geenafstand"/>
        <w:rPr>
          <w:rFonts w:ascii="Calibri" w:hAnsi="Calibri" w:cs="Calibri"/>
        </w:rPr>
      </w:pPr>
    </w:p>
    <w:sectPr w:rsidRPr="00484762" w:rsidR="00F80165" w:rsidSect="0077654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DB78" w14:textId="77777777" w:rsidR="00E743EC" w:rsidRDefault="00E743EC" w:rsidP="00E743EC">
      <w:pPr>
        <w:spacing w:after="0" w:line="240" w:lineRule="auto"/>
      </w:pPr>
      <w:r>
        <w:separator/>
      </w:r>
    </w:p>
  </w:endnote>
  <w:endnote w:type="continuationSeparator" w:id="0">
    <w:p w14:paraId="73D8962A" w14:textId="77777777" w:rsidR="00E743EC" w:rsidRDefault="00E743EC" w:rsidP="00E7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85F7" w14:textId="77777777" w:rsidR="00E743EC" w:rsidRPr="00E743EC" w:rsidRDefault="00E743EC" w:rsidP="00E74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2128" w14:textId="77777777" w:rsidR="00E743EC" w:rsidRPr="00E743EC" w:rsidRDefault="00E743EC" w:rsidP="00E74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5D26" w14:textId="77777777" w:rsidR="00E743EC" w:rsidRPr="00E743EC" w:rsidRDefault="00E743EC" w:rsidP="00E743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296E" w14:textId="77777777" w:rsidR="00E743EC" w:rsidRDefault="00E743EC" w:rsidP="00E743EC">
      <w:pPr>
        <w:spacing w:after="0" w:line="240" w:lineRule="auto"/>
      </w:pPr>
      <w:r>
        <w:separator/>
      </w:r>
    </w:p>
  </w:footnote>
  <w:footnote w:type="continuationSeparator" w:id="0">
    <w:p w14:paraId="6008A68C" w14:textId="77777777" w:rsidR="00E743EC" w:rsidRDefault="00E743EC" w:rsidP="00E743EC">
      <w:pPr>
        <w:spacing w:after="0" w:line="240" w:lineRule="auto"/>
      </w:pPr>
      <w:r>
        <w:continuationSeparator/>
      </w:r>
    </w:p>
  </w:footnote>
  <w:footnote w:id="1">
    <w:p w14:paraId="77C8DCE2" w14:textId="77777777" w:rsidR="00E743EC" w:rsidRPr="00484762" w:rsidRDefault="00E743EC" w:rsidP="00484762">
      <w:pPr>
        <w:pStyle w:val="Voetnoottekst"/>
        <w:spacing w:line="240" w:lineRule="auto"/>
        <w:rPr>
          <w:rFonts w:ascii="Calibri" w:hAnsi="Calibri" w:cs="Calibri"/>
          <w:sz w:val="20"/>
        </w:rPr>
      </w:pPr>
      <w:bookmarkStart w:id="1" w:name="_Hlk220334530"/>
      <w:r w:rsidRPr="00484762">
        <w:rPr>
          <w:rStyle w:val="Voetnootmarkering"/>
          <w:rFonts w:ascii="Calibri" w:hAnsi="Calibri" w:cs="Calibri"/>
          <w:sz w:val="20"/>
        </w:rPr>
        <w:footnoteRef/>
      </w:r>
      <w:r w:rsidRPr="00484762">
        <w:rPr>
          <w:rFonts w:ascii="Calibri" w:hAnsi="Calibri" w:cs="Calibri"/>
          <w:sz w:val="20"/>
        </w:rPr>
        <w:t xml:space="preserve"> Kamerstukken 2025/2026, 36 800 XXIII, nr. 3. Het opgenomen bedrag van € 13,6 mln. was onvolledig; het juiste bedrag waar CW 2.25 voor wordt ingezet bedraagt € 23,1 mln.</w:t>
      </w:r>
    </w:p>
    <w:bookmarkEnd w:id="1"/>
  </w:footnote>
  <w:footnote w:id="2">
    <w:p w14:paraId="6FCEC821" w14:textId="67A3A422" w:rsidR="00E743EC" w:rsidRPr="00484762" w:rsidRDefault="00E743EC" w:rsidP="00484762">
      <w:pPr>
        <w:pStyle w:val="Voetnoottekst"/>
        <w:spacing w:line="240" w:lineRule="auto"/>
        <w:rPr>
          <w:rFonts w:ascii="Calibri" w:hAnsi="Calibri" w:cs="Calibri"/>
          <w:sz w:val="20"/>
        </w:rPr>
      </w:pPr>
      <w:r w:rsidRPr="00484762">
        <w:rPr>
          <w:rStyle w:val="Voetnootmarkering"/>
          <w:rFonts w:ascii="Calibri" w:hAnsi="Calibri" w:cs="Calibri"/>
          <w:sz w:val="20"/>
        </w:rPr>
        <w:footnoteRef/>
      </w:r>
      <w:r w:rsidRPr="00484762">
        <w:rPr>
          <w:rFonts w:ascii="Calibri" w:hAnsi="Calibri" w:cs="Calibri"/>
          <w:sz w:val="20"/>
        </w:rPr>
        <w:t xml:space="preserve"> </w:t>
      </w:r>
      <w:bookmarkStart w:id="2" w:name="_Hlk215229285"/>
      <w:r w:rsidRPr="00484762">
        <w:rPr>
          <w:rFonts w:ascii="Calibri" w:hAnsi="Calibri" w:cs="Calibri"/>
          <w:sz w:val="20"/>
        </w:rPr>
        <w:t xml:space="preserve">Kamerstukken 2022/2023, </w:t>
      </w:r>
      <w:r w:rsidR="00AE798C" w:rsidRPr="00484762">
        <w:rPr>
          <w:rFonts w:ascii="Calibri" w:hAnsi="Calibri" w:cs="Calibri"/>
          <w:sz w:val="20"/>
        </w:rPr>
        <w:t>31 865</w:t>
      </w:r>
      <w:r w:rsidRPr="00484762">
        <w:rPr>
          <w:rFonts w:ascii="Calibri" w:hAnsi="Calibri" w:cs="Calibri"/>
          <w:sz w:val="20"/>
        </w:rPr>
        <w:t>, nr. 222</w:t>
      </w:r>
      <w:bookmarkEnd w:id="2"/>
    </w:p>
  </w:footnote>
  <w:footnote w:id="3">
    <w:p w14:paraId="6AE087E8" w14:textId="1540AFE7" w:rsidR="00E743EC" w:rsidRPr="00484762" w:rsidRDefault="00E743EC" w:rsidP="00484762">
      <w:pPr>
        <w:pStyle w:val="Voetnoottekst"/>
        <w:spacing w:line="240" w:lineRule="auto"/>
        <w:rPr>
          <w:rFonts w:ascii="Calibri" w:hAnsi="Calibri" w:cs="Calibri"/>
          <w:sz w:val="20"/>
        </w:rPr>
      </w:pPr>
      <w:r w:rsidRPr="00484762">
        <w:rPr>
          <w:rStyle w:val="Voetnootmarkering"/>
          <w:rFonts w:ascii="Calibri" w:hAnsi="Calibri" w:cs="Calibri"/>
          <w:sz w:val="20"/>
        </w:rPr>
        <w:footnoteRef/>
      </w:r>
      <w:r w:rsidRPr="00484762">
        <w:rPr>
          <w:rFonts w:ascii="Calibri" w:hAnsi="Calibri" w:cs="Calibri"/>
          <w:sz w:val="20"/>
        </w:rPr>
        <w:t xml:space="preserve"> </w:t>
      </w:r>
      <w:r w:rsidRPr="00484762">
        <w:rPr>
          <w:rFonts w:ascii="Calibri" w:hAnsi="Calibri" w:cs="Calibri"/>
          <w:color w:val="212121"/>
          <w:sz w:val="20"/>
        </w:rPr>
        <w:t>Kamerstuk 32849, nr. 284 </w:t>
      </w:r>
    </w:p>
  </w:footnote>
  <w:footnote w:id="4">
    <w:p w14:paraId="42CABB1A" w14:textId="7194A2FC" w:rsidR="00E743EC" w:rsidRPr="00484762" w:rsidRDefault="00E743EC" w:rsidP="00484762">
      <w:pPr>
        <w:pStyle w:val="Voetnoottekst"/>
        <w:spacing w:line="240" w:lineRule="auto"/>
        <w:rPr>
          <w:rFonts w:ascii="Calibri" w:hAnsi="Calibri" w:cs="Calibri"/>
          <w:sz w:val="20"/>
        </w:rPr>
      </w:pPr>
      <w:r w:rsidRPr="00484762">
        <w:rPr>
          <w:rStyle w:val="Voetnootmarkering"/>
          <w:rFonts w:ascii="Calibri" w:hAnsi="Calibri" w:cs="Calibri"/>
          <w:sz w:val="20"/>
        </w:rPr>
        <w:footnoteRef/>
      </w:r>
      <w:r w:rsidRPr="00484762">
        <w:rPr>
          <w:rFonts w:ascii="Calibri" w:hAnsi="Calibri" w:cs="Calibri"/>
          <w:sz w:val="20"/>
        </w:rPr>
        <w:t xml:space="preserve"> </w:t>
      </w:r>
      <w:r w:rsidRPr="00484762">
        <w:rPr>
          <w:rFonts w:ascii="Calibri" w:hAnsi="Calibri" w:cs="Calibri"/>
          <w:color w:val="212121"/>
          <w:sz w:val="20"/>
        </w:rPr>
        <w:t>Kamerstuk 32849, nr. 276</w:t>
      </w:r>
    </w:p>
  </w:footnote>
  <w:footnote w:id="5">
    <w:p w14:paraId="7678BCF8" w14:textId="77777777" w:rsidR="00E743EC" w:rsidRPr="00484762" w:rsidRDefault="00E743EC" w:rsidP="00484762">
      <w:pPr>
        <w:pStyle w:val="Voetnoottekst"/>
        <w:spacing w:line="240" w:lineRule="auto"/>
        <w:rPr>
          <w:rFonts w:ascii="Calibri" w:hAnsi="Calibri" w:cs="Calibri"/>
          <w:sz w:val="20"/>
        </w:rPr>
      </w:pPr>
      <w:r w:rsidRPr="00484762">
        <w:rPr>
          <w:rStyle w:val="Voetnootmarkering"/>
          <w:rFonts w:ascii="Calibri" w:hAnsi="Calibri" w:cs="Calibri"/>
          <w:sz w:val="20"/>
        </w:rPr>
        <w:footnoteRef/>
      </w:r>
      <w:r w:rsidRPr="00484762">
        <w:rPr>
          <w:rFonts w:ascii="Calibri" w:hAnsi="Calibri" w:cs="Calibri"/>
          <w:sz w:val="20"/>
        </w:rPr>
        <w:t xml:space="preserve"> </w:t>
      </w:r>
      <w:r w:rsidRPr="00484762">
        <w:rPr>
          <w:rFonts w:ascii="Calibri" w:hAnsi="Calibri" w:cs="Calibri"/>
          <w:color w:val="212121"/>
          <w:sz w:val="20"/>
        </w:rPr>
        <w:t>Kamerstuk 32849, nr. 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1162" w14:textId="77777777" w:rsidR="00E743EC" w:rsidRPr="00E743EC" w:rsidRDefault="00E743EC" w:rsidP="00E74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262B" w14:textId="77777777" w:rsidR="00E743EC" w:rsidRPr="00E743EC" w:rsidRDefault="00E743EC" w:rsidP="00E743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E22" w14:textId="77777777" w:rsidR="00E743EC" w:rsidRPr="00E743EC" w:rsidRDefault="00E743EC" w:rsidP="00E743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7D64"/>
    <w:multiLevelType w:val="multilevel"/>
    <w:tmpl w:val="7FE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167B8E"/>
    <w:multiLevelType w:val="hybridMultilevel"/>
    <w:tmpl w:val="F1B40C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94458168">
    <w:abstractNumId w:val="1"/>
  </w:num>
  <w:num w:numId="2" w16cid:durableId="70052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EC"/>
    <w:rsid w:val="00321094"/>
    <w:rsid w:val="00484762"/>
    <w:rsid w:val="0077654C"/>
    <w:rsid w:val="00AE798C"/>
    <w:rsid w:val="00D21D22"/>
    <w:rsid w:val="00DD075A"/>
    <w:rsid w:val="00E743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0F38"/>
  <w15:chartTrackingRefBased/>
  <w15:docId w15:val="{95383829-79E9-4101-9419-5EA8D263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3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3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3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3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3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3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3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3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3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3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3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3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3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3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3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3EC"/>
    <w:rPr>
      <w:rFonts w:eastAsiaTheme="majorEastAsia" w:cstheme="majorBidi"/>
      <w:color w:val="272727" w:themeColor="text1" w:themeTint="D8"/>
    </w:rPr>
  </w:style>
  <w:style w:type="paragraph" w:styleId="Titel">
    <w:name w:val="Title"/>
    <w:basedOn w:val="Standaard"/>
    <w:next w:val="Standaard"/>
    <w:link w:val="TitelChar"/>
    <w:uiPriority w:val="10"/>
    <w:qFormat/>
    <w:rsid w:val="00E7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3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3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3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3EC"/>
    <w:rPr>
      <w:i/>
      <w:iCs/>
      <w:color w:val="404040" w:themeColor="text1" w:themeTint="BF"/>
    </w:rPr>
  </w:style>
  <w:style w:type="paragraph" w:styleId="Lijstalinea">
    <w:name w:val="List Paragraph"/>
    <w:basedOn w:val="Standaard"/>
    <w:uiPriority w:val="34"/>
    <w:qFormat/>
    <w:rsid w:val="00E743EC"/>
    <w:pPr>
      <w:ind w:left="720"/>
      <w:contextualSpacing/>
    </w:pPr>
  </w:style>
  <w:style w:type="character" w:styleId="Intensievebenadrukking">
    <w:name w:val="Intense Emphasis"/>
    <w:basedOn w:val="Standaardalinea-lettertype"/>
    <w:uiPriority w:val="21"/>
    <w:qFormat/>
    <w:rsid w:val="00E743EC"/>
    <w:rPr>
      <w:i/>
      <w:iCs/>
      <w:color w:val="0F4761" w:themeColor="accent1" w:themeShade="BF"/>
    </w:rPr>
  </w:style>
  <w:style w:type="paragraph" w:styleId="Duidelijkcitaat">
    <w:name w:val="Intense Quote"/>
    <w:basedOn w:val="Standaard"/>
    <w:next w:val="Standaard"/>
    <w:link w:val="DuidelijkcitaatChar"/>
    <w:uiPriority w:val="30"/>
    <w:qFormat/>
    <w:rsid w:val="00E7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3EC"/>
    <w:rPr>
      <w:i/>
      <w:iCs/>
      <w:color w:val="0F4761" w:themeColor="accent1" w:themeShade="BF"/>
    </w:rPr>
  </w:style>
  <w:style w:type="character" w:styleId="Intensieveverwijzing">
    <w:name w:val="Intense Reference"/>
    <w:basedOn w:val="Standaardalinea-lettertype"/>
    <w:uiPriority w:val="32"/>
    <w:qFormat/>
    <w:rsid w:val="00E743EC"/>
    <w:rPr>
      <w:b/>
      <w:bCs/>
      <w:smallCaps/>
      <w:color w:val="0F4761" w:themeColor="accent1" w:themeShade="BF"/>
      <w:spacing w:val="5"/>
    </w:rPr>
  </w:style>
  <w:style w:type="paragraph" w:styleId="Koptekst">
    <w:name w:val="header"/>
    <w:basedOn w:val="Standaard"/>
    <w:link w:val="KoptekstChar"/>
    <w:rsid w:val="00E743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43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43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43EC"/>
    <w:rPr>
      <w:rFonts w:ascii="Verdana" w:eastAsia="Times New Roman" w:hAnsi="Verdana" w:cs="Times New Roman"/>
      <w:kern w:val="0"/>
      <w:sz w:val="18"/>
      <w:szCs w:val="24"/>
      <w:lang w:eastAsia="nl-NL"/>
      <w14:ligatures w14:val="none"/>
    </w:rPr>
  </w:style>
  <w:style w:type="table" w:styleId="Tabelraster">
    <w:name w:val="Table Grid"/>
    <w:basedOn w:val="Standaardtabel"/>
    <w:rsid w:val="00E743E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E743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43EC"/>
    <w:rPr>
      <w:rFonts w:ascii="Verdana" w:hAnsi="Verdana"/>
      <w:noProof/>
      <w:sz w:val="13"/>
      <w:szCs w:val="24"/>
      <w:lang w:eastAsia="nl-NL"/>
    </w:rPr>
  </w:style>
  <w:style w:type="paragraph" w:customStyle="1" w:styleId="Huisstijl-Gegeven">
    <w:name w:val="Huisstijl-Gegeven"/>
    <w:basedOn w:val="Standaard"/>
    <w:link w:val="Huisstijl-GegevenCharChar"/>
    <w:rsid w:val="00E743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43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43E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E743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43EC"/>
    <w:pPr>
      <w:spacing w:after="0"/>
    </w:pPr>
    <w:rPr>
      <w:b/>
    </w:rPr>
  </w:style>
  <w:style w:type="paragraph" w:customStyle="1" w:styleId="Huisstijl-Paginanummering">
    <w:name w:val="Huisstijl-Paginanummering"/>
    <w:basedOn w:val="Standaard"/>
    <w:uiPriority w:val="99"/>
    <w:rsid w:val="00E743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743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743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743E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743EC"/>
    <w:rPr>
      <w:vertAlign w:val="superscript"/>
    </w:rPr>
  </w:style>
  <w:style w:type="paragraph" w:styleId="Geenafstand">
    <w:name w:val="No Spacing"/>
    <w:uiPriority w:val="1"/>
    <w:qFormat/>
    <w:rsid w:val="00484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997</ap:Words>
  <ap:Characters>5484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2026-02-11T16:34:00.0000000Z</dcterms:created>
  <dcterms:modified xsi:type="dcterms:W3CDTF">2026-02-11T16:34:00.0000000Z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