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2B74E9" w14:textId="77777777">
        <w:tc>
          <w:tcPr>
            <w:tcW w:w="6379" w:type="dxa"/>
            <w:gridSpan w:val="2"/>
            <w:tcBorders>
              <w:top w:val="nil"/>
              <w:left w:val="nil"/>
              <w:bottom w:val="nil"/>
              <w:right w:val="nil"/>
            </w:tcBorders>
            <w:vAlign w:val="center"/>
          </w:tcPr>
          <w:p w:rsidR="004330ED" w:rsidP="00EA1CE4" w:rsidRDefault="004330ED" w14:paraId="622D79D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A77B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17D3F7" w14:textId="77777777">
        <w:trPr>
          <w:cantSplit/>
        </w:trPr>
        <w:tc>
          <w:tcPr>
            <w:tcW w:w="10348" w:type="dxa"/>
            <w:gridSpan w:val="3"/>
            <w:tcBorders>
              <w:top w:val="single" w:color="auto" w:sz="4" w:space="0"/>
              <w:left w:val="nil"/>
              <w:bottom w:val="nil"/>
              <w:right w:val="nil"/>
            </w:tcBorders>
          </w:tcPr>
          <w:p w:rsidR="004330ED" w:rsidP="004A1E29" w:rsidRDefault="004330ED" w14:paraId="6F30D2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0222B5D" w14:textId="77777777">
        <w:trPr>
          <w:cantSplit/>
        </w:trPr>
        <w:tc>
          <w:tcPr>
            <w:tcW w:w="10348" w:type="dxa"/>
            <w:gridSpan w:val="3"/>
            <w:tcBorders>
              <w:top w:val="nil"/>
              <w:left w:val="nil"/>
              <w:bottom w:val="nil"/>
              <w:right w:val="nil"/>
            </w:tcBorders>
          </w:tcPr>
          <w:p w:rsidR="004330ED" w:rsidP="00BF623B" w:rsidRDefault="004330ED" w14:paraId="102B81E0" w14:textId="77777777">
            <w:pPr>
              <w:pStyle w:val="Amendement"/>
              <w:tabs>
                <w:tab w:val="clear" w:pos="3310"/>
                <w:tab w:val="clear" w:pos="3600"/>
              </w:tabs>
              <w:rPr>
                <w:rFonts w:ascii="Times New Roman" w:hAnsi="Times New Roman"/>
                <w:b w:val="0"/>
              </w:rPr>
            </w:pPr>
          </w:p>
        </w:tc>
      </w:tr>
      <w:tr w:rsidR="004330ED" w:rsidTr="00EA1CE4" w14:paraId="4C339B3A" w14:textId="77777777">
        <w:trPr>
          <w:cantSplit/>
        </w:trPr>
        <w:tc>
          <w:tcPr>
            <w:tcW w:w="10348" w:type="dxa"/>
            <w:gridSpan w:val="3"/>
            <w:tcBorders>
              <w:top w:val="nil"/>
              <w:left w:val="nil"/>
              <w:bottom w:val="single" w:color="auto" w:sz="4" w:space="0"/>
              <w:right w:val="nil"/>
            </w:tcBorders>
          </w:tcPr>
          <w:p w:rsidR="004330ED" w:rsidP="00BF623B" w:rsidRDefault="004330ED" w14:paraId="69E68971" w14:textId="77777777">
            <w:pPr>
              <w:pStyle w:val="Amendement"/>
              <w:tabs>
                <w:tab w:val="clear" w:pos="3310"/>
                <w:tab w:val="clear" w:pos="3600"/>
              </w:tabs>
              <w:rPr>
                <w:rFonts w:ascii="Times New Roman" w:hAnsi="Times New Roman"/>
              </w:rPr>
            </w:pPr>
          </w:p>
        </w:tc>
      </w:tr>
      <w:tr w:rsidR="004330ED" w:rsidTr="00EA1CE4" w14:paraId="0804E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2D6DE7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21E96E" w14:textId="77777777">
            <w:pPr>
              <w:suppressAutoHyphens/>
              <w:ind w:left="-70"/>
              <w:rPr>
                <w:b/>
              </w:rPr>
            </w:pPr>
          </w:p>
        </w:tc>
      </w:tr>
      <w:tr w:rsidR="003C21AC" w:rsidTr="00EA1CE4" w14:paraId="7F530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F467E" w14:paraId="3EDA8164" w14:textId="05B3EC85">
            <w:pPr>
              <w:pStyle w:val="Amendement"/>
              <w:tabs>
                <w:tab w:val="clear" w:pos="3310"/>
                <w:tab w:val="clear" w:pos="3600"/>
              </w:tabs>
              <w:rPr>
                <w:rFonts w:ascii="Times New Roman" w:hAnsi="Times New Roman"/>
              </w:rPr>
            </w:pPr>
            <w:r>
              <w:rPr>
                <w:rFonts w:ascii="Times New Roman" w:hAnsi="Times New Roman"/>
              </w:rPr>
              <w:t>36 800 XVI</w:t>
            </w:r>
          </w:p>
        </w:tc>
        <w:tc>
          <w:tcPr>
            <w:tcW w:w="7371" w:type="dxa"/>
            <w:gridSpan w:val="2"/>
          </w:tcPr>
          <w:p w:rsidRPr="00DF467E" w:rsidR="003C21AC" w:rsidP="00DF467E" w:rsidRDefault="00DF467E" w14:paraId="5FA2B051" w14:textId="1B9DB0D1">
            <w:pPr>
              <w:rPr>
                <w:b/>
                <w:bCs/>
              </w:rPr>
            </w:pPr>
            <w:r w:rsidRPr="00DF467E">
              <w:rPr>
                <w:b/>
                <w:bCs/>
                <w:szCs w:val="24"/>
              </w:rPr>
              <w:t>Vaststelling van de begrotingsstaten van het Ministerie van Volksgezondheid, Welzijn en Sport (XVI) voor het jaar 2026</w:t>
            </w:r>
          </w:p>
        </w:tc>
      </w:tr>
      <w:tr w:rsidR="003C21AC" w:rsidTr="00EA1CE4" w14:paraId="3141C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7B40C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716BD0" w14:textId="77777777">
            <w:pPr>
              <w:pStyle w:val="Amendement"/>
              <w:tabs>
                <w:tab w:val="clear" w:pos="3310"/>
                <w:tab w:val="clear" w:pos="3600"/>
              </w:tabs>
              <w:ind w:left="-70"/>
              <w:rPr>
                <w:rFonts w:ascii="Times New Roman" w:hAnsi="Times New Roman"/>
              </w:rPr>
            </w:pPr>
          </w:p>
        </w:tc>
      </w:tr>
      <w:tr w:rsidR="003C21AC" w:rsidTr="00EA1CE4" w14:paraId="42605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E1E34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841C7" w14:textId="77777777">
            <w:pPr>
              <w:pStyle w:val="Amendement"/>
              <w:tabs>
                <w:tab w:val="clear" w:pos="3310"/>
                <w:tab w:val="clear" w:pos="3600"/>
              </w:tabs>
              <w:ind w:left="-70"/>
              <w:rPr>
                <w:rFonts w:ascii="Times New Roman" w:hAnsi="Times New Roman"/>
              </w:rPr>
            </w:pPr>
          </w:p>
        </w:tc>
      </w:tr>
      <w:tr w:rsidR="003C21AC" w:rsidTr="00EA1CE4" w14:paraId="1E690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18E10F" w14:textId="3717CB1B">
            <w:pPr>
              <w:pStyle w:val="Amendement"/>
              <w:tabs>
                <w:tab w:val="clear" w:pos="3310"/>
                <w:tab w:val="clear" w:pos="3600"/>
              </w:tabs>
              <w:rPr>
                <w:rFonts w:ascii="Times New Roman" w:hAnsi="Times New Roman"/>
              </w:rPr>
            </w:pPr>
            <w:r w:rsidRPr="00C035D4">
              <w:rPr>
                <w:rFonts w:ascii="Times New Roman" w:hAnsi="Times New Roman"/>
              </w:rPr>
              <w:t xml:space="preserve">Nr. </w:t>
            </w:r>
            <w:r w:rsidR="00E840E1">
              <w:rPr>
                <w:rFonts w:ascii="Times New Roman" w:hAnsi="Times New Roman"/>
                <w:caps/>
              </w:rPr>
              <w:t>61</w:t>
            </w:r>
          </w:p>
        </w:tc>
        <w:tc>
          <w:tcPr>
            <w:tcW w:w="7371" w:type="dxa"/>
            <w:gridSpan w:val="2"/>
          </w:tcPr>
          <w:p w:rsidRPr="00C035D4" w:rsidR="003C21AC" w:rsidP="006E0971" w:rsidRDefault="003C21AC" w14:paraId="497EBEC3" w14:textId="52DE51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14B7E">
              <w:rPr>
                <w:rFonts w:ascii="Times New Roman" w:hAnsi="Times New Roman"/>
                <w:caps/>
              </w:rPr>
              <w:t>dobbe</w:t>
            </w:r>
          </w:p>
        </w:tc>
      </w:tr>
      <w:tr w:rsidR="003C21AC" w:rsidTr="00EA1CE4" w14:paraId="6610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778D4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874DB60" w14:textId="17BC7C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76F30">
              <w:rPr>
                <w:rFonts w:ascii="Times New Roman" w:hAnsi="Times New Roman"/>
                <w:b w:val="0"/>
              </w:rPr>
              <w:t>9 februari 2026</w:t>
            </w:r>
          </w:p>
        </w:tc>
      </w:tr>
      <w:tr w:rsidR="00B01BA6" w:rsidTr="00EA1CE4" w14:paraId="733E7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0049E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5064F9" w14:textId="77777777">
            <w:pPr>
              <w:pStyle w:val="Amendement"/>
              <w:tabs>
                <w:tab w:val="clear" w:pos="3310"/>
                <w:tab w:val="clear" w:pos="3600"/>
              </w:tabs>
              <w:ind w:left="-70"/>
              <w:rPr>
                <w:rFonts w:ascii="Times New Roman" w:hAnsi="Times New Roman"/>
                <w:b w:val="0"/>
              </w:rPr>
            </w:pPr>
          </w:p>
        </w:tc>
      </w:tr>
      <w:tr w:rsidRPr="00EA69AC" w:rsidR="00B01BA6" w:rsidTr="00EA1CE4" w14:paraId="4B5E1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F661C72" w14:textId="77777777">
            <w:pPr>
              <w:ind w:firstLine="284"/>
            </w:pPr>
            <w:r w:rsidRPr="00EA69AC">
              <w:t>De ondergetekende stelt het volgende amendement voor:</w:t>
            </w:r>
          </w:p>
        </w:tc>
      </w:tr>
    </w:tbl>
    <w:p w:rsidRPr="00EA69AC" w:rsidR="004330ED" w:rsidP="00D774B3" w:rsidRDefault="004330ED" w14:paraId="74092121" w14:textId="77777777"/>
    <w:p w:rsidRPr="004D4BCF" w:rsidR="00942647" w:rsidP="00942647" w:rsidRDefault="00942647" w14:paraId="0B8F687A" w14:textId="6414934F">
      <w:pPr>
        <w:ind w:firstLine="284"/>
      </w:pPr>
      <w:r>
        <w:t>De departementale begrotingsstaat wordt als volgt gewijzigd:</w:t>
      </w:r>
    </w:p>
    <w:p w:rsidR="00942647" w:rsidP="00942647" w:rsidRDefault="00942647" w14:paraId="17A7C1ED" w14:textId="77777777"/>
    <w:p w:rsidRPr="004D4BCF" w:rsidR="00942647" w:rsidP="00942647" w:rsidRDefault="00942647" w14:paraId="19C75E04" w14:textId="77777777">
      <w:r w:rsidRPr="004D4BCF">
        <w:t>I</w:t>
      </w:r>
    </w:p>
    <w:p w:rsidRPr="004D4BCF" w:rsidR="00942647" w:rsidP="00942647" w:rsidRDefault="00942647" w14:paraId="106E8CC8" w14:textId="77777777"/>
    <w:p w:rsidRPr="004D4BCF" w:rsidR="008D56D8" w:rsidP="008D56D8" w:rsidRDefault="008D56D8" w14:paraId="60B1F2C4" w14:textId="77777777">
      <w:pPr>
        <w:ind w:firstLine="284"/>
      </w:pPr>
      <w:r w:rsidRPr="004D4BCF">
        <w:t xml:space="preserve">In </w:t>
      </w:r>
      <w:r w:rsidRPr="004D4BCF">
        <w:rPr>
          <w:b/>
        </w:rPr>
        <w:t xml:space="preserve">artikel </w:t>
      </w:r>
      <w:r>
        <w:rPr>
          <w:b/>
        </w:rPr>
        <w:t>2</w:t>
      </w:r>
      <w:r w:rsidRPr="004D4BCF">
        <w:rPr>
          <w:b/>
        </w:rPr>
        <w:t xml:space="preserve"> </w:t>
      </w:r>
      <w:r>
        <w:rPr>
          <w:b/>
        </w:rPr>
        <w:t>Curatieve zorg</w:t>
      </w:r>
      <w:r w:rsidRPr="004D4BCF">
        <w:t xml:space="preserve"> worden het verplichtingenbedrag en het uitgavenbedrag </w:t>
      </w:r>
      <w:r w:rsidRPr="004D4BCF">
        <w:rPr>
          <w:b/>
        </w:rPr>
        <w:t>verhoogd</w:t>
      </w:r>
      <w:r>
        <w:t xml:space="preserve"> met</w:t>
      </w:r>
      <w:r w:rsidRPr="004D4BCF">
        <w:t> </w:t>
      </w:r>
      <w:r w:rsidRPr="004D4BCF">
        <w:rPr>
          <w:b/>
        </w:rPr>
        <w:t>€ </w:t>
      </w:r>
      <w:r>
        <w:rPr>
          <w:b/>
        </w:rPr>
        <w:t>10.000</w:t>
      </w:r>
      <w:r w:rsidRPr="004D4BCF">
        <w:t xml:space="preserve"> (x € 1</w:t>
      </w:r>
      <w:r>
        <w:t>.</w:t>
      </w:r>
      <w:r w:rsidRPr="004D4BCF">
        <w:t>000).</w:t>
      </w:r>
    </w:p>
    <w:p w:rsidRPr="004D4BCF" w:rsidR="00942647" w:rsidP="00942647" w:rsidRDefault="00942647" w14:paraId="49DD3405" w14:textId="77777777"/>
    <w:p w:rsidRPr="004D4BCF" w:rsidR="00942647" w:rsidP="00942647" w:rsidRDefault="00942647" w14:paraId="4621805A" w14:textId="77777777">
      <w:r w:rsidRPr="004D4BCF">
        <w:t>II</w:t>
      </w:r>
    </w:p>
    <w:p w:rsidRPr="004D4BCF" w:rsidR="00942647" w:rsidP="00942647" w:rsidRDefault="00942647" w14:paraId="0E45E30D" w14:textId="77777777"/>
    <w:p w:rsidRPr="004D4BCF" w:rsidR="008D56D8" w:rsidP="008D56D8" w:rsidRDefault="008D56D8" w14:paraId="132BD2F9" w14:textId="77777777">
      <w:pPr>
        <w:ind w:firstLine="284"/>
      </w:pPr>
      <w:r w:rsidRPr="004D4BCF">
        <w:t xml:space="preserve">In </w:t>
      </w:r>
      <w:r w:rsidRPr="004D4BCF">
        <w:rPr>
          <w:b/>
        </w:rPr>
        <w:t xml:space="preserve">artikel </w:t>
      </w:r>
      <w:r>
        <w:rPr>
          <w:b/>
        </w:rPr>
        <w:t>10</w:t>
      </w:r>
      <w:r w:rsidRPr="004D4BCF">
        <w:rPr>
          <w:b/>
        </w:rPr>
        <w:t xml:space="preserve"> </w:t>
      </w:r>
      <w:r>
        <w:rPr>
          <w:b/>
        </w:rPr>
        <w:t>Apparaat Kerndepartement</w:t>
      </w:r>
      <w:r w:rsidRPr="004D4BCF">
        <w:t xml:space="preserve"> worden het verplichtingenbedrag en het uitgavenbedrag </w:t>
      </w:r>
      <w:r w:rsidRPr="004D4BCF">
        <w:rPr>
          <w:b/>
        </w:rPr>
        <w:t>verlaagd</w:t>
      </w:r>
      <w:r w:rsidRPr="004D4BCF">
        <w:t xml:space="preserve"> met</w:t>
      </w:r>
      <w:r w:rsidRPr="004D4BCF">
        <w:rPr>
          <w:b/>
        </w:rPr>
        <w:t> € </w:t>
      </w:r>
      <w:r>
        <w:rPr>
          <w:b/>
        </w:rPr>
        <w:t>10.000</w:t>
      </w:r>
      <w:r>
        <w:t xml:space="preserve"> (x € 1.</w:t>
      </w:r>
      <w:r w:rsidRPr="004D4BCF">
        <w:t>000).</w:t>
      </w:r>
    </w:p>
    <w:p w:rsidR="00EA1CE4" w:rsidP="00EA1CE4" w:rsidRDefault="00EA1CE4" w14:paraId="7C299620" w14:textId="77777777"/>
    <w:p w:rsidRPr="00EA69AC" w:rsidR="003C21AC" w:rsidP="00EA1CE4" w:rsidRDefault="003C21AC" w14:paraId="62714E65" w14:textId="77777777">
      <w:pPr>
        <w:rPr>
          <w:b/>
        </w:rPr>
      </w:pPr>
      <w:r w:rsidRPr="00EA69AC">
        <w:rPr>
          <w:b/>
        </w:rPr>
        <w:t>Toelichting</w:t>
      </w:r>
    </w:p>
    <w:p w:rsidRPr="00EA69AC" w:rsidR="003C21AC" w:rsidP="00BF623B" w:rsidRDefault="003C21AC" w14:paraId="2FD973CD" w14:textId="77777777"/>
    <w:p w:rsidR="0037224D" w:rsidP="0037224D" w:rsidRDefault="0037224D" w14:paraId="436CEDD0" w14:textId="77777777">
      <w:r w:rsidRPr="0037224D">
        <w:t>Vrouwen krijgen nog altijd te maken met ongelijkheid als het gaat om gezondheid en de zorg. De gezondheidszorg is namelijk jarenlang gebaseerd op het mannenlichaam: onderzoek en behandelingen zijn daardoor minder goed afgestemd op vrouwen. Vrouwen worden daardoor bijvoorbeeld minder vaak doorverwezen dan mannen, de diagnosetijd voor (vrouwspecifieke) aandoeningen is langer en er wordt minder vaak een oorzaak voor de klachten gevonden. Betere diagnoses en behandeling voor vrouwengezondheid van alleen al vier van de meest voorkomende aandoeningen bij vrouwen kan de samenleving minimaal 7,6 miljard euro per jaar opleveren.</w:t>
      </w:r>
      <w:r w:rsidRPr="0037224D">
        <w:rPr>
          <w:vertAlign w:val="superscript"/>
        </w:rPr>
        <w:footnoteReference w:id="1"/>
      </w:r>
      <w:r w:rsidRPr="0037224D">
        <w:t xml:space="preserve"> Naast de maatschappelijke kosten zorgen deze aandoeningen er ook voor dat de beschikbare capaciteit niet optimaal wordt benut. Momenteel zijn de tekorten aan personeel in essentiële beroepen zoals zorg en onderwijs een van de belangrijkste problemen voor onze maatschappij met verstrekkende economische gevolgen. Door meer aandacht te besteden aan vrouwengezondheid zal in belangrijke mate onnodig ziekteverzuim afnemen, maar ook zullen de carrièrekansen van vrouwen verbeteren en de sociaaleconomische man-vrouwverschillen afnemen. </w:t>
      </w:r>
    </w:p>
    <w:p w:rsidRPr="0037224D" w:rsidR="00AA3880" w:rsidP="0037224D" w:rsidRDefault="00AA3880" w14:paraId="4385C9B1" w14:textId="77777777"/>
    <w:p w:rsidRPr="0037224D" w:rsidR="0037224D" w:rsidP="0037224D" w:rsidRDefault="0037224D" w14:paraId="44EC0E38" w14:textId="77777777">
      <w:r w:rsidRPr="0037224D">
        <w:t>De Kamer heeft om deze redenen vorig jaar de motie Dobbe c.s.</w:t>
      </w:r>
      <w:r w:rsidRPr="0037224D">
        <w:rPr>
          <w:vertAlign w:val="superscript"/>
        </w:rPr>
        <w:footnoteReference w:id="2"/>
      </w:r>
      <w:r w:rsidRPr="0037224D">
        <w:t xml:space="preserve"> aangenomen, waarmee de regering werd verzocht “om een nationale strategie vrouwengezondheid op te stellen en daarbij ook aandacht te besteden aan de interactie met andere vormen van ongelijkheid, zoals sociaaleconomische gezondheidsverschillen, en deze voor het zomerreces van 2025 met de Kamer te delen”. Inmiddels heeft het kabinet de Nationale Strategie Vrouwengezondheid naar de Kamer gestuurd.</w:t>
      </w:r>
      <w:r w:rsidRPr="0037224D">
        <w:rPr>
          <w:vertAlign w:val="superscript"/>
        </w:rPr>
        <w:footnoteReference w:id="3"/>
      </w:r>
      <w:r w:rsidRPr="0037224D">
        <w:t xml:space="preserve"> Dit was een essentiële en goede stap, maar helaas werd hierbij geen extra geld vrijgemaakt. Hierdoor is de uitvoering van de strategie beperkt tot lopende initiatieven en acties die geen geld kosten. Om echter daadwerkelijk ambitieus aan de slag te kunnen gaan </w:t>
      </w:r>
      <w:r w:rsidRPr="0037224D">
        <w:lastRenderedPageBreak/>
        <w:t>om invulling te geven aan deze strategie zijn echter ook stappen nodig die wel geld kosten, zoals onderzoek doen naar waar de grootste noden liggen en met welke interventies de meeste impact kan worden bereikt.</w:t>
      </w:r>
    </w:p>
    <w:p w:rsidR="00207BB7" w:rsidP="0037224D" w:rsidRDefault="00207BB7" w14:paraId="62158C95" w14:textId="77777777"/>
    <w:p w:rsidRPr="0037224D" w:rsidR="0037224D" w:rsidP="0037224D" w:rsidRDefault="0037224D" w14:paraId="2EEA4307" w14:textId="78369C42">
      <w:r w:rsidRPr="0037224D">
        <w:t>Daarom regelt dit amendement dat er een startbudget van €10 miljoen wordt vrijgemaakt voor de uitvoering van de Nationale Strategie Vrouwengezondheid. De dekking hiervoor wordt gevonden in het taakstellend verminderen van de externe inhuur. Momenteel bedraagt de externe inhuur bij VWS namelijk 15,9% van de totale uitgaven aan personele kosten, ruim boven de Roemernorm van 10%.</w:t>
      </w:r>
      <w:r w:rsidRPr="0037224D">
        <w:rPr>
          <w:vertAlign w:val="superscript"/>
        </w:rPr>
        <w:footnoteReference w:id="4"/>
      </w:r>
      <w:r w:rsidRPr="0037224D">
        <w:t xml:space="preserve"> Dat betekent dat er in 2026 bijna €57 miljoen teveel wordt uitgegeven aan externe inhuur. Door de externe inhuur dit jaar met 1,04 procentpunt te verminderen kan daardoor dit amendement gedekt worden.</w:t>
      </w:r>
    </w:p>
    <w:p w:rsidRPr="00EA69AC" w:rsidR="005B1DCC" w:rsidP="00BF623B" w:rsidRDefault="005B1DCC" w14:paraId="56FC691C" w14:textId="77777777"/>
    <w:p w:rsidRPr="00EA69AC" w:rsidR="00B4708A" w:rsidP="00EA1CE4" w:rsidRDefault="008E0F5D" w14:paraId="2C593249" w14:textId="3D059EEF">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12D0" w14:textId="77777777" w:rsidR="00B8631D" w:rsidRDefault="00B8631D">
      <w:pPr>
        <w:spacing w:line="20" w:lineRule="exact"/>
      </w:pPr>
    </w:p>
  </w:endnote>
  <w:endnote w:type="continuationSeparator" w:id="0">
    <w:p w14:paraId="14A2B6E3" w14:textId="77777777" w:rsidR="00B8631D" w:rsidRDefault="00B8631D">
      <w:pPr>
        <w:pStyle w:val="Amendement"/>
      </w:pPr>
      <w:r>
        <w:rPr>
          <w:b w:val="0"/>
        </w:rPr>
        <w:t xml:space="preserve"> </w:t>
      </w:r>
    </w:p>
  </w:endnote>
  <w:endnote w:type="continuationNotice" w:id="1">
    <w:p w14:paraId="0841726D" w14:textId="77777777" w:rsidR="00B8631D" w:rsidRDefault="00B863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201E" w14:textId="77777777" w:rsidR="00B8631D" w:rsidRDefault="00B8631D">
      <w:pPr>
        <w:pStyle w:val="Amendement"/>
      </w:pPr>
      <w:r>
        <w:rPr>
          <w:b w:val="0"/>
        </w:rPr>
        <w:separator/>
      </w:r>
    </w:p>
  </w:footnote>
  <w:footnote w:type="continuationSeparator" w:id="0">
    <w:p w14:paraId="6BAAC300" w14:textId="77777777" w:rsidR="00B8631D" w:rsidRDefault="00B8631D">
      <w:r>
        <w:continuationSeparator/>
      </w:r>
    </w:p>
  </w:footnote>
  <w:footnote w:id="1">
    <w:p w14:paraId="6C1A1E5C" w14:textId="77777777" w:rsidR="0037224D" w:rsidRPr="006321D6" w:rsidRDefault="0037224D" w:rsidP="0037224D">
      <w:pPr>
        <w:pStyle w:val="Voetnoottekst"/>
        <w:rPr>
          <w:sz w:val="20"/>
        </w:rPr>
      </w:pPr>
      <w:r w:rsidRPr="006321D6">
        <w:rPr>
          <w:rStyle w:val="Voetnootmarkering"/>
          <w:sz w:val="20"/>
        </w:rPr>
        <w:footnoteRef/>
      </w:r>
      <w:r w:rsidRPr="006321D6">
        <w:rPr>
          <w:sz w:val="20"/>
        </w:rPr>
        <w:t xml:space="preserve"> </w:t>
      </w:r>
      <w:hyperlink r:id="rId1" w:history="1">
        <w:r w:rsidRPr="006321D6">
          <w:rPr>
            <w:rStyle w:val="Hyperlink"/>
            <w:sz w:val="20"/>
          </w:rPr>
          <w:t>https://www.womeninc.nl/wp-content/uploads/2024/03/Kosten-Baten-Analyse-WOMEN-Inc.pdf</w:t>
        </w:r>
      </w:hyperlink>
      <w:r w:rsidRPr="006321D6">
        <w:rPr>
          <w:sz w:val="20"/>
        </w:rPr>
        <w:t xml:space="preserve">. </w:t>
      </w:r>
    </w:p>
  </w:footnote>
  <w:footnote w:id="2">
    <w:p w14:paraId="410B9FD1" w14:textId="77777777" w:rsidR="0037224D" w:rsidRPr="006321D6" w:rsidRDefault="0037224D" w:rsidP="0037224D">
      <w:pPr>
        <w:pStyle w:val="Voetnoottekst"/>
        <w:rPr>
          <w:sz w:val="20"/>
        </w:rPr>
      </w:pPr>
      <w:r w:rsidRPr="006321D6">
        <w:rPr>
          <w:rStyle w:val="Voetnootmarkering"/>
          <w:sz w:val="20"/>
        </w:rPr>
        <w:footnoteRef/>
      </w:r>
      <w:r w:rsidRPr="006321D6">
        <w:rPr>
          <w:sz w:val="20"/>
        </w:rPr>
        <w:t xml:space="preserve"> Kamerstuk 31 765, nr. 862</w:t>
      </w:r>
    </w:p>
  </w:footnote>
  <w:footnote w:id="3">
    <w:p w14:paraId="75FEDA15" w14:textId="77777777" w:rsidR="0037224D" w:rsidRPr="006321D6" w:rsidRDefault="0037224D" w:rsidP="0037224D">
      <w:pPr>
        <w:pStyle w:val="Voetnoottekst"/>
        <w:rPr>
          <w:sz w:val="20"/>
        </w:rPr>
      </w:pPr>
      <w:r w:rsidRPr="006321D6">
        <w:rPr>
          <w:rStyle w:val="Voetnootmarkering"/>
          <w:sz w:val="20"/>
        </w:rPr>
        <w:footnoteRef/>
      </w:r>
      <w:r w:rsidRPr="006321D6">
        <w:rPr>
          <w:sz w:val="20"/>
        </w:rPr>
        <w:t xml:space="preserve"> Kamerstuk 2025D31407</w:t>
      </w:r>
    </w:p>
  </w:footnote>
  <w:footnote w:id="4">
    <w:p w14:paraId="4D014A92" w14:textId="77777777" w:rsidR="0037224D" w:rsidRDefault="0037224D" w:rsidP="0037224D">
      <w:pPr>
        <w:pStyle w:val="Voetnoottekst"/>
      </w:pPr>
      <w:r w:rsidRPr="006321D6">
        <w:rPr>
          <w:rStyle w:val="Voetnootmarkering"/>
          <w:sz w:val="20"/>
        </w:rPr>
        <w:footnoteRef/>
      </w:r>
      <w:r w:rsidRPr="006321D6">
        <w:rPr>
          <w:sz w:val="20"/>
        </w:rPr>
        <w:t xml:space="preserve"> Kamerstuk 36800-XVI-16, Vraag 460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7E"/>
    <w:rsid w:val="00052244"/>
    <w:rsid w:val="0007471A"/>
    <w:rsid w:val="000D17BF"/>
    <w:rsid w:val="00157CAF"/>
    <w:rsid w:val="001656EE"/>
    <w:rsid w:val="0016653D"/>
    <w:rsid w:val="001D56AF"/>
    <w:rsid w:val="001E0E21"/>
    <w:rsid w:val="00207BB7"/>
    <w:rsid w:val="00212E0A"/>
    <w:rsid w:val="00214B7E"/>
    <w:rsid w:val="002153B0"/>
    <w:rsid w:val="0021777F"/>
    <w:rsid w:val="00241DD0"/>
    <w:rsid w:val="00276F30"/>
    <w:rsid w:val="002A0713"/>
    <w:rsid w:val="00354DFB"/>
    <w:rsid w:val="0037224D"/>
    <w:rsid w:val="003C21AC"/>
    <w:rsid w:val="003C4BE2"/>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62142"/>
    <w:rsid w:val="005703C9"/>
    <w:rsid w:val="00597703"/>
    <w:rsid w:val="005A6097"/>
    <w:rsid w:val="005B1DCC"/>
    <w:rsid w:val="005B7323"/>
    <w:rsid w:val="005C25B9"/>
    <w:rsid w:val="006267E6"/>
    <w:rsid w:val="006321D6"/>
    <w:rsid w:val="006558D2"/>
    <w:rsid w:val="00656D06"/>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56D8"/>
    <w:rsid w:val="008D7DCB"/>
    <w:rsid w:val="008E0F5D"/>
    <w:rsid w:val="009055DB"/>
    <w:rsid w:val="00905ECB"/>
    <w:rsid w:val="00942647"/>
    <w:rsid w:val="0096165D"/>
    <w:rsid w:val="00982F98"/>
    <w:rsid w:val="00993E91"/>
    <w:rsid w:val="009A409F"/>
    <w:rsid w:val="009B5845"/>
    <w:rsid w:val="009C0C1F"/>
    <w:rsid w:val="00A10505"/>
    <w:rsid w:val="00A1288B"/>
    <w:rsid w:val="00A53203"/>
    <w:rsid w:val="00A772EB"/>
    <w:rsid w:val="00AA3880"/>
    <w:rsid w:val="00B01BA6"/>
    <w:rsid w:val="00B4708A"/>
    <w:rsid w:val="00B8631D"/>
    <w:rsid w:val="00BF623B"/>
    <w:rsid w:val="00C035D4"/>
    <w:rsid w:val="00C679BF"/>
    <w:rsid w:val="00C81BBD"/>
    <w:rsid w:val="00CD3132"/>
    <w:rsid w:val="00CE27CD"/>
    <w:rsid w:val="00D134F3"/>
    <w:rsid w:val="00D47D01"/>
    <w:rsid w:val="00D774B3"/>
    <w:rsid w:val="00D91307"/>
    <w:rsid w:val="00DD35A5"/>
    <w:rsid w:val="00DE2948"/>
    <w:rsid w:val="00DE2EE1"/>
    <w:rsid w:val="00DF467E"/>
    <w:rsid w:val="00DF68BE"/>
    <w:rsid w:val="00DF712A"/>
    <w:rsid w:val="00E25DF4"/>
    <w:rsid w:val="00E3485D"/>
    <w:rsid w:val="00E6619B"/>
    <w:rsid w:val="00E840E1"/>
    <w:rsid w:val="00E908D7"/>
    <w:rsid w:val="00EA1CE4"/>
    <w:rsid w:val="00EA69AC"/>
    <w:rsid w:val="00EB40A1"/>
    <w:rsid w:val="00EC3112"/>
    <w:rsid w:val="00ED5E57"/>
    <w:rsid w:val="00EE1BD8"/>
    <w:rsid w:val="00F34139"/>
    <w:rsid w:val="00F765F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382FD"/>
  <w15:docId w15:val="{05238F3B-69A5-4A36-9462-E262791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8E0F5D"/>
    <w:rPr>
      <w:vertAlign w:val="superscript"/>
    </w:rPr>
  </w:style>
  <w:style w:type="character" w:styleId="Hyperlink">
    <w:name w:val="Hyperlink"/>
    <w:basedOn w:val="Standaardalinea-lettertype"/>
    <w:uiPriority w:val="99"/>
    <w:unhideWhenUsed/>
    <w:rsid w:val="008E0F5D"/>
    <w:rPr>
      <w:color w:val="0000FF" w:themeColor="hyperlink"/>
      <w:u w:val="single"/>
    </w:rPr>
  </w:style>
  <w:style w:type="paragraph" w:styleId="Revisie">
    <w:name w:val="Revision"/>
    <w:hidden/>
    <w:uiPriority w:val="99"/>
    <w:semiHidden/>
    <w:rsid w:val="00354D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womeninc.nl/wp-content/uploads/2024/03/Kosten-Baten-Analyse-WOMEN-In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514</ap:Words>
  <ap:Characters>2832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2026-02-09T10:35:00.0000000Z</dcterms:created>
  <dcterms:modified xsi:type="dcterms:W3CDTF">2026-02-09T10:35:00.0000000Z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