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65510B" w:rsidRDefault="00EE2A9D" w14:paraId="4FC8D966" w14:textId="77777777"/>
        <w:p w:rsidR="00241BB9" w:rsidP="0065510B" w:rsidRDefault="00000000" w14:paraId="6748F3FF" w14:textId="77777777">
          <w:pPr>
            <w:spacing w:line="240" w:lineRule="auto"/>
          </w:pPr>
        </w:p>
      </w:sdtContent>
    </w:sdt>
    <w:p w:rsidR="00CD5856" w:rsidP="0065510B" w:rsidRDefault="00CD5856" w14:paraId="74C56496" w14:textId="77777777">
      <w:pPr>
        <w:spacing w:line="240" w:lineRule="auto"/>
      </w:pPr>
    </w:p>
    <w:p w:rsidR="00CD5856" w:rsidP="0065510B" w:rsidRDefault="00CD5856" w14:paraId="53B0BE5C" w14:textId="77777777"/>
    <w:p w:rsidR="00CD5856" w:rsidP="0065510B" w:rsidRDefault="00CD5856" w14:paraId="3E83B09B" w14:textId="77777777"/>
    <w:p w:rsidR="00CD5856" w:rsidP="0065510B" w:rsidRDefault="00CD5856" w14:paraId="5D1AF45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5510B" w:rsidRDefault="00000000" w14:paraId="6E1C72C3" w14:textId="77777777">
      <w:pPr>
        <w:pStyle w:val="Huisstijl-Aanhef"/>
      </w:pPr>
      <w:r>
        <w:t>Geachte voorzitter,</w:t>
      </w:r>
    </w:p>
    <w:p w:rsidR="00304DAD" w:rsidP="0065510B" w:rsidRDefault="00000000" w14:paraId="546B95C7" w14:textId="77777777">
      <w:r>
        <w:t>Op 4 februari jl. heb ik van de Nederlandse Zorgautoriteit (</w:t>
      </w:r>
      <w:proofErr w:type="spellStart"/>
      <w:r>
        <w:t>NZa</w:t>
      </w:r>
      <w:proofErr w:type="spellEnd"/>
      <w:r>
        <w:t xml:space="preserve">) het definitieve marktonderzoek voor de sector fysiotherapie ontvangen. Met deze brief stuur ik u het rapport van de </w:t>
      </w:r>
      <w:proofErr w:type="spellStart"/>
      <w:r>
        <w:t>NZa</w:t>
      </w:r>
      <w:proofErr w:type="spellEnd"/>
      <w:r>
        <w:t xml:space="preserve">. </w:t>
      </w:r>
    </w:p>
    <w:p w:rsidR="00304DAD" w:rsidP="0065510B" w:rsidRDefault="00304DAD" w14:paraId="3E5DE5B5" w14:textId="77777777"/>
    <w:p w:rsidR="00304DAD" w:rsidP="0065510B" w:rsidRDefault="00000000" w14:paraId="3342389B" w14:textId="77777777">
      <w:r>
        <w:t xml:space="preserve">Ik concludeer dat mijn sturingsmogelijkheden als demissionair staatssecretaris Langdurige en Maatschappelijke Zorg (LMZ) op dit moment beperkt zijn. Een reactie op het rapport en fundamentele keuzes over de positie van fysiotherapeuten in de beweging naar </w:t>
      </w:r>
      <w:r>
        <w:rPr>
          <w:i/>
          <w:iCs/>
        </w:rPr>
        <w:t>Passende zorg</w:t>
      </w:r>
      <w:r>
        <w:t xml:space="preserve"> en de </w:t>
      </w:r>
      <w:r>
        <w:rPr>
          <w:i/>
          <w:iCs/>
        </w:rPr>
        <w:t>Visie op de eerstelijnszorg 2030</w:t>
      </w:r>
      <w:r>
        <w:t xml:space="preserve"> laat ik over aan een volgend kabinet. </w:t>
      </w:r>
    </w:p>
    <w:p w:rsidR="00304DAD" w:rsidP="0065510B" w:rsidRDefault="00304DAD" w14:paraId="0E8262B6" w14:textId="77777777"/>
    <w:p w:rsidR="00304DAD" w:rsidP="0065510B" w:rsidRDefault="00000000" w14:paraId="3B118FC6" w14:textId="77777777">
      <w:pPr>
        <w:rPr>
          <w:i/>
          <w:iCs/>
        </w:rPr>
      </w:pPr>
      <w:r>
        <w:rPr>
          <w:i/>
          <w:iCs/>
        </w:rPr>
        <w:t>Leeswijzer</w:t>
      </w:r>
    </w:p>
    <w:p w:rsidR="00304DAD" w:rsidP="0065510B" w:rsidRDefault="00000000" w14:paraId="2BC5667D" w14:textId="77777777">
      <w:r>
        <w:t xml:space="preserve">Eerst beschrijf ik de belangrijkste resultaten uit het rapport. Daarna licht ik toe hoe de </w:t>
      </w:r>
      <w:proofErr w:type="spellStart"/>
      <w:r>
        <w:t>NZa</w:t>
      </w:r>
      <w:proofErr w:type="spellEnd"/>
      <w:r>
        <w:t xml:space="preserve"> de komende periode het marktonderzoek vervolgt voor de andere paramedische sectoren. </w:t>
      </w:r>
    </w:p>
    <w:p w:rsidR="00304DAD" w:rsidP="0065510B" w:rsidRDefault="00304DAD" w14:paraId="4EF98ECB" w14:textId="77777777">
      <w:pPr>
        <w:rPr>
          <w:b/>
          <w:bCs/>
        </w:rPr>
      </w:pPr>
    </w:p>
    <w:p w:rsidR="00304DAD" w:rsidP="0065510B" w:rsidRDefault="00000000" w14:paraId="56E7E33A" w14:textId="77777777">
      <w:pPr>
        <w:rPr>
          <w:b/>
          <w:bCs/>
        </w:rPr>
      </w:pPr>
      <w:r>
        <w:rPr>
          <w:b/>
          <w:bCs/>
        </w:rPr>
        <w:t>Samenvatting marktonderzoek fysiotherapie</w:t>
      </w:r>
    </w:p>
    <w:p w:rsidR="00304DAD" w:rsidP="0065510B" w:rsidRDefault="00000000" w14:paraId="19050DFA" w14:textId="77777777">
      <w:r>
        <w:t xml:space="preserve">In december 2024 heeft de voormalig staatssecretaris LMZ de </w:t>
      </w:r>
      <w:proofErr w:type="spellStart"/>
      <w:r>
        <w:t>NZa</w:t>
      </w:r>
      <w:proofErr w:type="spellEnd"/>
      <w:r>
        <w:t xml:space="preserve"> gevraagd onderzoek te doen naar het functioneren van de markt van paramedische zorg. Aanleiding voor het onderzoek waren toenemende signalen over knelpunten in de paramedische zorg. Het gaat bijvoorbeeld om lange wachtlijsten, hoge uitstroomcijfers onder zorgprofessionals, onvrede over de hoogte van vergoedingen en het contracteerproces. Met het onderzoek beoogde de staatssecretaris LMZ signalen beter te duiden en (toekomstige) problemen adequaat op te lossen. </w:t>
      </w:r>
    </w:p>
    <w:p w:rsidR="00304DAD" w:rsidP="0065510B" w:rsidRDefault="00304DAD" w14:paraId="71F5E47E" w14:textId="77777777"/>
    <w:p w:rsidR="0065510B" w:rsidP="0065510B" w:rsidRDefault="0065510B" w14:paraId="58AA710B" w14:textId="77777777">
      <w:pPr>
        <w:spacing w:line="240" w:lineRule="auto"/>
      </w:pPr>
      <w:r>
        <w:br w:type="page"/>
      </w:r>
    </w:p>
    <w:p w:rsidR="00304DAD" w:rsidP="0065510B" w:rsidRDefault="00000000" w14:paraId="014BAA37" w14:textId="53254A91">
      <w:r>
        <w:lastRenderedPageBreak/>
        <w:t xml:space="preserve">De </w:t>
      </w:r>
      <w:proofErr w:type="spellStart"/>
      <w:r>
        <w:t>NZa</w:t>
      </w:r>
      <w:proofErr w:type="spellEnd"/>
      <w:r>
        <w:t xml:space="preserve"> voert dit onderzoek gefaseerd uit voor verschillende paramedische beroepsgroepen (fysiotherapie, logopedie, ergotherapie, oefentherapie, diëtetiek</w:t>
      </w:r>
      <w:r>
        <w:rPr>
          <w:rStyle w:val="Voetnootmarkering"/>
        </w:rPr>
        <w:footnoteReference w:id="1"/>
      </w:r>
      <w:r>
        <w:t xml:space="preserve">). De </w:t>
      </w:r>
      <w:proofErr w:type="spellStart"/>
      <w:r>
        <w:t>NZa</w:t>
      </w:r>
      <w:proofErr w:type="spellEnd"/>
      <w:r>
        <w:t xml:space="preserve"> is gestart met de fysiotherapeutische zorg. In juni 2025 heeft uw Kamer al een eerste tussentijdse rapportage voor deze sector ontvangen</w:t>
      </w:r>
      <w:r>
        <w:rPr>
          <w:rStyle w:val="Voetnootmarkering"/>
        </w:rPr>
        <w:footnoteReference w:id="2"/>
      </w:r>
      <w:r>
        <w:t xml:space="preserve">. De afgelopen periode heeft de </w:t>
      </w:r>
      <w:proofErr w:type="spellStart"/>
      <w:r>
        <w:t>NZa</w:t>
      </w:r>
      <w:proofErr w:type="spellEnd"/>
      <w:r>
        <w:t xml:space="preserve"> de resultaten aangescherpt met aanvullende bronnen en input van veldpartijen. Ook heeft de </w:t>
      </w:r>
      <w:proofErr w:type="spellStart"/>
      <w:r>
        <w:t>NZa</w:t>
      </w:r>
      <w:proofErr w:type="spellEnd"/>
      <w:r>
        <w:t xml:space="preserve"> verschillende oplossingsrichtingen verkend, zoals de invoering van minimumtarieven. Dat heeft geresulteerd in bijgevoegd rapport voor de sector fysiotherapie. Hieronder beschrijf ik de meest relevante resultaten. </w:t>
      </w:r>
    </w:p>
    <w:p w:rsidRPr="00391717" w:rsidR="00304DAD" w:rsidP="0065510B" w:rsidRDefault="00304DAD" w14:paraId="4ECDBDF2" w14:textId="77777777"/>
    <w:p w:rsidR="00304DAD" w:rsidP="0065510B" w:rsidRDefault="00000000" w14:paraId="45FCCF12" w14:textId="77777777">
      <w:pPr>
        <w:rPr>
          <w:i/>
          <w:iCs/>
        </w:rPr>
      </w:pPr>
      <w:r>
        <w:rPr>
          <w:i/>
          <w:iCs/>
        </w:rPr>
        <w:t>Op korte termijn geen toegankelijkheidsprobleem zichtbaar</w:t>
      </w:r>
    </w:p>
    <w:p w:rsidRPr="00E87DA6" w:rsidR="00304DAD" w:rsidP="0065510B" w:rsidRDefault="00000000" w14:paraId="0EA0C8E6" w14:textId="77777777">
      <w:r>
        <w:t xml:space="preserve">Op basis van de beschikbare data constateert de </w:t>
      </w:r>
      <w:proofErr w:type="spellStart"/>
      <w:r>
        <w:t>NZa</w:t>
      </w:r>
      <w:proofErr w:type="spellEnd"/>
      <w:r>
        <w:t xml:space="preserve"> dat er geen duidelijk toegankelijkheidsprobleem zichtbaar is op de korte termijn. Fysiotherapie is over het algemeen in elke regio relatief dichtbij de patiënt beschikbaar en wachttijden zijn kort. Zo is in 2024 voor 99% van de inwoners in Nederland de dichtstbijzijnde praktijk binnen vijf minuten of minder bereikbaar (met de auto). Daarnaast blijkt uit een steekproef naar wachttijden dat de toegang tot reguliere fysiotherapie overwegend goed is (zie tabel 1). Het beeld voor gespecialiseerde fysiotherapie is gemengder, met name bekkenfysiotherapie. Wachttijden zijn langer en verschillen sterk per regio. Verder is op dit moment ook (nog) geen sprake van alarmerende in- en uitstroomcijfers voor de opleiding en de sector als geheel. Tegelijkertijd is onzeker hoe het beschikbare aanbod zich verhoudt tot de (ontwikkeling van) de zorgvraag. Gegevens over zorggebruik zijn immers niet altijd een goede afspiegeling van de daadwerkelijke zorgvraag, vanwege bijvoorbeeld ontbrekende gegevens over zorgmijding en onverzekerde zorg. </w:t>
      </w:r>
    </w:p>
    <w:p w:rsidR="00304DAD" w:rsidP="0065510B" w:rsidRDefault="00304DAD" w14:paraId="4947CD7C" w14:textId="77777777"/>
    <w:p w:rsidR="00304DAD" w:rsidP="0065510B" w:rsidRDefault="00000000" w14:paraId="62A2F525" w14:textId="77777777">
      <w:r w:rsidRPr="00864AC1">
        <w:t xml:space="preserve">Tabel 1. </w:t>
      </w:r>
      <w:r>
        <w:t>Steekproef wachttijden bij reguliere en gespecialiseerde fysiotherapie</w:t>
      </w:r>
      <w:r>
        <w:rPr>
          <w:rStyle w:val="Voetnootmarkering"/>
        </w:rPr>
        <w:footnoteReference w:id="3"/>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1695"/>
        <w:gridCol w:w="1984"/>
        <w:gridCol w:w="1914"/>
        <w:gridCol w:w="1936"/>
      </w:tblGrid>
      <w:tr w:rsidR="00A20BB7" w:rsidTr="00161E75" w14:paraId="1E759899" w14:textId="77777777">
        <w:tc>
          <w:tcPr>
            <w:tcW w:w="1696" w:type="dxa"/>
          </w:tcPr>
          <w:p w:rsidRPr="000025CA" w:rsidR="00304DAD" w:rsidP="0065510B" w:rsidRDefault="00304DAD" w14:paraId="20A38A40" w14:textId="77777777"/>
        </w:tc>
        <w:tc>
          <w:tcPr>
            <w:tcW w:w="1985" w:type="dxa"/>
          </w:tcPr>
          <w:p w:rsidRPr="000025CA" w:rsidR="00304DAD" w:rsidP="0065510B" w:rsidRDefault="00000000" w14:paraId="3CFB6BC1" w14:textId="77777777">
            <w:pPr>
              <w:jc w:val="center"/>
            </w:pPr>
            <w:r w:rsidRPr="000025CA">
              <w:t>schouderklachten</w:t>
            </w:r>
          </w:p>
        </w:tc>
        <w:tc>
          <w:tcPr>
            <w:tcW w:w="1914" w:type="dxa"/>
          </w:tcPr>
          <w:p w:rsidRPr="000025CA" w:rsidR="00304DAD" w:rsidP="0065510B" w:rsidRDefault="00000000" w14:paraId="14618EED" w14:textId="77777777">
            <w:pPr>
              <w:jc w:val="center"/>
            </w:pPr>
            <w:r>
              <w:t>kinderfysiotherapie</w:t>
            </w:r>
          </w:p>
        </w:tc>
        <w:tc>
          <w:tcPr>
            <w:tcW w:w="1936" w:type="dxa"/>
          </w:tcPr>
          <w:p w:rsidRPr="000025CA" w:rsidR="00304DAD" w:rsidP="0065510B" w:rsidRDefault="00000000" w14:paraId="7DB4DC55" w14:textId="77777777">
            <w:pPr>
              <w:jc w:val="center"/>
            </w:pPr>
            <w:r>
              <w:t>bekkenfysiotherapie</w:t>
            </w:r>
          </w:p>
        </w:tc>
      </w:tr>
      <w:tr w:rsidR="00A20BB7" w:rsidTr="00161E75" w14:paraId="087A4167" w14:textId="77777777">
        <w:tc>
          <w:tcPr>
            <w:tcW w:w="1696" w:type="dxa"/>
          </w:tcPr>
          <w:p w:rsidRPr="000025CA" w:rsidR="00304DAD" w:rsidP="0065510B" w:rsidRDefault="00000000" w14:paraId="206BF8D4" w14:textId="77777777">
            <w:r w:rsidRPr="000025CA">
              <w:t xml:space="preserve">%praktijken toegang binnen 1 werkdag </w:t>
            </w:r>
          </w:p>
        </w:tc>
        <w:tc>
          <w:tcPr>
            <w:tcW w:w="1985" w:type="dxa"/>
          </w:tcPr>
          <w:p w:rsidRPr="000025CA" w:rsidR="00304DAD" w:rsidP="0065510B" w:rsidRDefault="00000000" w14:paraId="6935AF49" w14:textId="77777777">
            <w:pPr>
              <w:jc w:val="right"/>
            </w:pPr>
            <w:r>
              <w:t>42%</w:t>
            </w:r>
          </w:p>
        </w:tc>
        <w:tc>
          <w:tcPr>
            <w:tcW w:w="1914" w:type="dxa"/>
          </w:tcPr>
          <w:p w:rsidRPr="000025CA" w:rsidR="00304DAD" w:rsidP="0065510B" w:rsidRDefault="00000000" w14:paraId="4B926E4B" w14:textId="77777777">
            <w:pPr>
              <w:jc w:val="right"/>
            </w:pPr>
            <w:r>
              <w:t>26%</w:t>
            </w:r>
          </w:p>
        </w:tc>
        <w:tc>
          <w:tcPr>
            <w:tcW w:w="1936" w:type="dxa"/>
          </w:tcPr>
          <w:p w:rsidRPr="000025CA" w:rsidR="00304DAD" w:rsidP="0065510B" w:rsidRDefault="00000000" w14:paraId="4B9E06DE" w14:textId="77777777">
            <w:pPr>
              <w:jc w:val="right"/>
            </w:pPr>
            <w:r>
              <w:t>5%</w:t>
            </w:r>
          </w:p>
        </w:tc>
      </w:tr>
      <w:tr w:rsidR="00A20BB7" w:rsidTr="00161E75" w14:paraId="6597E292" w14:textId="77777777">
        <w:tc>
          <w:tcPr>
            <w:tcW w:w="1696" w:type="dxa"/>
          </w:tcPr>
          <w:p w:rsidRPr="000025CA" w:rsidR="00304DAD" w:rsidP="0065510B" w:rsidRDefault="00000000" w14:paraId="552BBC39" w14:textId="77777777">
            <w:r w:rsidRPr="000025CA">
              <w:t>%praktijken toegang binnen 5 werkdagen</w:t>
            </w:r>
          </w:p>
        </w:tc>
        <w:tc>
          <w:tcPr>
            <w:tcW w:w="1985" w:type="dxa"/>
          </w:tcPr>
          <w:p w:rsidRPr="000025CA" w:rsidR="00304DAD" w:rsidP="0065510B" w:rsidRDefault="00000000" w14:paraId="09E0AC34" w14:textId="77777777">
            <w:pPr>
              <w:jc w:val="right"/>
            </w:pPr>
            <w:r>
              <w:t>86%</w:t>
            </w:r>
          </w:p>
        </w:tc>
        <w:tc>
          <w:tcPr>
            <w:tcW w:w="1914" w:type="dxa"/>
          </w:tcPr>
          <w:p w:rsidRPr="000025CA" w:rsidR="00304DAD" w:rsidP="0065510B" w:rsidRDefault="00000000" w14:paraId="0B3B0409" w14:textId="77777777">
            <w:pPr>
              <w:jc w:val="right"/>
            </w:pPr>
            <w:r>
              <w:t>92%</w:t>
            </w:r>
          </w:p>
        </w:tc>
        <w:tc>
          <w:tcPr>
            <w:tcW w:w="1936" w:type="dxa"/>
          </w:tcPr>
          <w:p w:rsidRPr="000025CA" w:rsidR="00304DAD" w:rsidP="0065510B" w:rsidRDefault="00000000" w14:paraId="72168922" w14:textId="77777777">
            <w:pPr>
              <w:jc w:val="right"/>
            </w:pPr>
            <w:r>
              <w:t>32%</w:t>
            </w:r>
          </w:p>
        </w:tc>
      </w:tr>
      <w:tr w:rsidR="00A20BB7" w:rsidTr="00161E75" w14:paraId="05ABDB47" w14:textId="77777777">
        <w:tc>
          <w:tcPr>
            <w:tcW w:w="1696" w:type="dxa"/>
          </w:tcPr>
          <w:p w:rsidRPr="000025CA" w:rsidR="00304DAD" w:rsidP="0065510B" w:rsidRDefault="00000000" w14:paraId="0EDBF9BF" w14:textId="77777777">
            <w:r w:rsidRPr="000025CA">
              <w:t>spreiding wachttijden</w:t>
            </w:r>
          </w:p>
        </w:tc>
        <w:tc>
          <w:tcPr>
            <w:tcW w:w="1985" w:type="dxa"/>
          </w:tcPr>
          <w:p w:rsidRPr="000025CA" w:rsidR="00304DAD" w:rsidP="0065510B" w:rsidRDefault="00000000" w14:paraId="2808CDC9" w14:textId="77777777">
            <w:pPr>
              <w:jc w:val="right"/>
            </w:pPr>
            <w:r>
              <w:t>1 tot 65 werkdagen</w:t>
            </w:r>
            <w:r>
              <w:rPr>
                <w:rStyle w:val="Voetnootmarkering"/>
              </w:rPr>
              <w:footnoteReference w:id="4"/>
            </w:r>
          </w:p>
        </w:tc>
        <w:tc>
          <w:tcPr>
            <w:tcW w:w="1914" w:type="dxa"/>
          </w:tcPr>
          <w:p w:rsidRPr="000025CA" w:rsidR="00304DAD" w:rsidP="0065510B" w:rsidRDefault="00000000" w14:paraId="74CB50BD" w14:textId="77777777">
            <w:pPr>
              <w:jc w:val="right"/>
            </w:pPr>
            <w:r>
              <w:t>1 tot 12 werkdagen</w:t>
            </w:r>
          </w:p>
        </w:tc>
        <w:tc>
          <w:tcPr>
            <w:tcW w:w="1936" w:type="dxa"/>
          </w:tcPr>
          <w:p w:rsidR="00304DAD" w:rsidP="0065510B" w:rsidRDefault="00000000" w14:paraId="36E54FC2" w14:textId="77777777">
            <w:pPr>
              <w:jc w:val="right"/>
            </w:pPr>
            <w:r>
              <w:t xml:space="preserve">1 werkdag tot </w:t>
            </w:r>
          </w:p>
          <w:p w:rsidRPr="000025CA" w:rsidR="00304DAD" w:rsidP="0065510B" w:rsidRDefault="00000000" w14:paraId="16318AF0" w14:textId="77777777">
            <w:pPr>
              <w:jc w:val="right"/>
            </w:pPr>
            <w:r>
              <w:t>≥3 maanden</w:t>
            </w:r>
          </w:p>
        </w:tc>
      </w:tr>
    </w:tbl>
    <w:p w:rsidR="00304DAD" w:rsidP="0065510B" w:rsidRDefault="00304DAD" w14:paraId="2D07EE36" w14:textId="77777777">
      <w:pPr>
        <w:rPr>
          <w:i/>
          <w:iCs/>
        </w:rPr>
      </w:pPr>
    </w:p>
    <w:p w:rsidRPr="00713ED5" w:rsidR="00304DAD" w:rsidP="0065510B" w:rsidRDefault="00000000" w14:paraId="244A6908" w14:textId="77777777">
      <w:pPr>
        <w:rPr>
          <w:i/>
          <w:iCs/>
        </w:rPr>
      </w:pPr>
      <w:r>
        <w:rPr>
          <w:i/>
          <w:iCs/>
        </w:rPr>
        <w:t>Situatie op middellange termijn minder zeker</w:t>
      </w:r>
    </w:p>
    <w:p w:rsidR="00304DAD" w:rsidP="0065510B" w:rsidRDefault="00000000" w14:paraId="55AC2275" w14:textId="77777777">
      <w:r>
        <w:t xml:space="preserve">Voor de middellange termijn voorziet de </w:t>
      </w:r>
      <w:proofErr w:type="spellStart"/>
      <w:r>
        <w:t>NZa</w:t>
      </w:r>
      <w:proofErr w:type="spellEnd"/>
      <w:r>
        <w:t xml:space="preserve"> risico’s voor de toegankelijkheid van fysiotherapie. Op basis van een analyse naar de </w:t>
      </w:r>
      <w:proofErr w:type="spellStart"/>
      <w:r>
        <w:t>contractering</w:t>
      </w:r>
      <w:proofErr w:type="spellEnd"/>
      <w:r>
        <w:t xml:space="preserve"> en marktdynamiek signaleert de </w:t>
      </w:r>
      <w:proofErr w:type="spellStart"/>
      <w:r>
        <w:t>NZa</w:t>
      </w:r>
      <w:proofErr w:type="spellEnd"/>
      <w:r>
        <w:t xml:space="preserve"> dat de financiële positie van praktijken in de eerstelijnszorg een wisselend beeld laten zien. Bijvoorbeeld:</w:t>
      </w:r>
    </w:p>
    <w:p w:rsidR="00304DAD" w:rsidP="0065510B" w:rsidRDefault="00304DAD" w14:paraId="47B2D871" w14:textId="77777777"/>
    <w:p w:rsidR="00304DAD" w:rsidP="0065510B" w:rsidRDefault="00000000" w14:paraId="33263D25" w14:textId="77777777">
      <w:pPr>
        <w:pStyle w:val="Lijstalinea"/>
        <w:numPr>
          <w:ilvl w:val="0"/>
          <w:numId w:val="4"/>
        </w:numPr>
        <w:suppressAutoHyphens/>
      </w:pPr>
      <w:r>
        <w:t xml:space="preserve">Hogere personeelskosten drukken de winst, mede doordat meer fysiotherapeuten in loondienst werken. </w:t>
      </w:r>
    </w:p>
    <w:p w:rsidR="00304DAD" w:rsidP="0065510B" w:rsidRDefault="00000000" w14:paraId="5D0482F7" w14:textId="77777777">
      <w:pPr>
        <w:pStyle w:val="Lijstalinea"/>
        <w:numPr>
          <w:ilvl w:val="0"/>
          <w:numId w:val="4"/>
        </w:numPr>
        <w:suppressAutoHyphens/>
      </w:pPr>
      <w:r>
        <w:t>De loonontwikkeling van fysiotherapeuten in de eerstelijnszorg blijft achter op die van hun collega’s in de medisch-specialistische zorg (</w:t>
      </w:r>
      <w:proofErr w:type="spellStart"/>
      <w:r>
        <w:t>msz</w:t>
      </w:r>
      <w:proofErr w:type="spellEnd"/>
      <w:r>
        <w:t>) en verpleging, verzorging en thuiszorg (</w:t>
      </w:r>
      <w:proofErr w:type="spellStart"/>
      <w:r>
        <w:t>vvt</w:t>
      </w:r>
      <w:proofErr w:type="spellEnd"/>
      <w:r>
        <w:t xml:space="preserve">), mede vanwege het ontbreken van een cao in de eerstelijnszorg. </w:t>
      </w:r>
    </w:p>
    <w:p w:rsidR="00304DAD" w:rsidP="0065510B" w:rsidRDefault="00000000" w14:paraId="1121255C" w14:textId="77777777">
      <w:pPr>
        <w:pStyle w:val="Lijstalinea"/>
        <w:numPr>
          <w:ilvl w:val="0"/>
          <w:numId w:val="4"/>
        </w:numPr>
        <w:suppressAutoHyphens/>
      </w:pPr>
      <w:r>
        <w:t xml:space="preserve">Gecontracteerde vergoedingen zijn niet in dezelfde mate gestegen als de kostenontwikkeling op basis van </w:t>
      </w:r>
      <w:proofErr w:type="spellStart"/>
      <w:r>
        <w:t>NZa</w:t>
      </w:r>
      <w:proofErr w:type="spellEnd"/>
      <w:r>
        <w:t xml:space="preserve">-indexaties bij gereguleerde tarieven in de zorg. </w:t>
      </w:r>
    </w:p>
    <w:p w:rsidR="00304DAD" w:rsidP="0065510B" w:rsidRDefault="00304DAD" w14:paraId="3FA2F5EA" w14:textId="77777777"/>
    <w:p w:rsidR="00304DAD" w:rsidP="0065510B" w:rsidRDefault="00000000" w14:paraId="69C0F463" w14:textId="77777777">
      <w:r>
        <w:t xml:space="preserve">Dergelijke ontwikkelingen zouden op termijn ten koste kunnen gaan van aantrekkelijk werkgeverschap en de toegankelijkheid en continuïteit van zorg onder druk zetten. Zorgaanbieders en zorgverzekeraars verschillen echter van mening over de verklaringen achter de financiële positie van praktijken. Aanbieders wijzen op tarieven die achterblijven op de kostenontwikkeling, waarbij verzekeraars benadrukken dat verschillen in ondernemerschap en efficiëntie eveneens bijdragen aan de variatie in financiële ervaren druk. Zorgverzekeraars </w:t>
      </w:r>
    </w:p>
    <w:p w:rsidR="00304DAD" w:rsidP="0065510B" w:rsidRDefault="00000000" w14:paraId="2A6C66C3" w14:textId="77777777">
      <w:r>
        <w:t xml:space="preserve">hoeven niet de </w:t>
      </w:r>
      <w:proofErr w:type="spellStart"/>
      <w:r>
        <w:t>NZa</w:t>
      </w:r>
      <w:proofErr w:type="spellEnd"/>
      <w:r>
        <w:t>-indexaties te volgen. Daarbij wordt wel verwacht dat zorgverzekeraars transparant maken welke indexaties zij hebben gehanteerd in hun contractvoorstel, inclusief een deugdelijke toelichting</w:t>
      </w:r>
      <w:r>
        <w:rPr>
          <w:rStyle w:val="Voetnootmarkering"/>
        </w:rPr>
        <w:footnoteReference w:id="5"/>
      </w:r>
      <w:r>
        <w:t>.</w:t>
      </w:r>
    </w:p>
    <w:p w:rsidR="00304DAD" w:rsidP="0065510B" w:rsidRDefault="00304DAD" w14:paraId="1BAF16CA" w14:textId="77777777">
      <w:pPr>
        <w:rPr>
          <w:u w:val="single"/>
        </w:rPr>
      </w:pPr>
    </w:p>
    <w:p w:rsidRPr="00CE1E6F" w:rsidR="00304DAD" w:rsidP="0065510B" w:rsidRDefault="00000000" w14:paraId="270A15F5" w14:textId="77777777">
      <w:pPr>
        <w:rPr>
          <w:i/>
          <w:iCs/>
        </w:rPr>
      </w:pPr>
      <w:r>
        <w:rPr>
          <w:i/>
          <w:iCs/>
        </w:rPr>
        <w:t>Transitie naar Passende zorg komt onvoldoende tot stand</w:t>
      </w:r>
    </w:p>
    <w:p w:rsidRPr="00DE2258" w:rsidR="00304DAD" w:rsidP="0065510B" w:rsidRDefault="00000000" w14:paraId="48F911EC" w14:textId="77777777">
      <w:r>
        <w:t xml:space="preserve">De </w:t>
      </w:r>
      <w:proofErr w:type="spellStart"/>
      <w:r>
        <w:t>NZa</w:t>
      </w:r>
      <w:proofErr w:type="spellEnd"/>
      <w:r>
        <w:t xml:space="preserve"> eindigt haar analyse met een beschrijving van de positionering van fysiotherapie in de beweging naar </w:t>
      </w:r>
      <w:r>
        <w:rPr>
          <w:i/>
          <w:iCs/>
        </w:rPr>
        <w:t>P</w:t>
      </w:r>
      <w:r w:rsidRPr="00864AC1">
        <w:rPr>
          <w:i/>
          <w:iCs/>
        </w:rPr>
        <w:t xml:space="preserve">assende </w:t>
      </w:r>
      <w:r>
        <w:rPr>
          <w:i/>
          <w:iCs/>
        </w:rPr>
        <w:t>z</w:t>
      </w:r>
      <w:r w:rsidRPr="00864AC1">
        <w:rPr>
          <w:i/>
          <w:iCs/>
        </w:rPr>
        <w:t>org</w:t>
      </w:r>
      <w:r>
        <w:t xml:space="preserve">. Alle geïnterviewde partijen onderschrijven dat fysiotherapeuten een belangrijke rol spelen in de beweging naar </w:t>
      </w:r>
      <w:r w:rsidRPr="00864AC1">
        <w:rPr>
          <w:i/>
          <w:iCs/>
        </w:rPr>
        <w:t xml:space="preserve">Passende </w:t>
      </w:r>
      <w:r>
        <w:rPr>
          <w:i/>
          <w:iCs/>
        </w:rPr>
        <w:t>z</w:t>
      </w:r>
      <w:r w:rsidRPr="00864AC1">
        <w:rPr>
          <w:i/>
          <w:iCs/>
        </w:rPr>
        <w:t>org</w:t>
      </w:r>
      <w:r>
        <w:t xml:space="preserve">. Denk bijvoorbeeld aan ondersteuning in de wijk, het ontlasten van de huisarts en de verbinding met het sociaal domein. Daarmee kunnen fysiotherapeuten de vitaliteit en zelfredzaamheid van burgers vergroten en zwaarder zorggebruik voorkomen. De transitie naar </w:t>
      </w:r>
      <w:r w:rsidRPr="00864AC1">
        <w:rPr>
          <w:i/>
          <w:iCs/>
        </w:rPr>
        <w:t xml:space="preserve">Passende </w:t>
      </w:r>
      <w:r>
        <w:rPr>
          <w:i/>
          <w:iCs/>
        </w:rPr>
        <w:t>z</w:t>
      </w:r>
      <w:r w:rsidRPr="00864AC1">
        <w:rPr>
          <w:i/>
          <w:iCs/>
        </w:rPr>
        <w:t>org</w:t>
      </w:r>
      <w:r>
        <w:t xml:space="preserve"> komt echter moeilijk van de grond door verdeeldheid binnen de beroepsgroep en beperkte slagkracht als het gaat om het organiseren van regionale samenwerking. Ook de beperkte aanspraak van fysiotherapie in het basispakket belemmert volgens de </w:t>
      </w:r>
      <w:proofErr w:type="spellStart"/>
      <w:r>
        <w:t>NZa</w:t>
      </w:r>
      <w:proofErr w:type="spellEnd"/>
      <w:r>
        <w:t xml:space="preserve"> het bevorderen van multidisciplinaire samenwerking binnen de eerstelijnszorg en tussen de eerste- en tweedelijnszorg. Daarnaast sluit de bekostiging gericht op productie niet altijd aan bij beoogde doelen van samenwerking, preventie en ketenzorg</w:t>
      </w:r>
      <w:r>
        <w:rPr>
          <w:rStyle w:val="Voetnootmarkering"/>
        </w:rPr>
        <w:footnoteReference w:id="6"/>
      </w:r>
      <w:r>
        <w:t xml:space="preserve">. Hierdoor wordt de beweging naar </w:t>
      </w:r>
      <w:r>
        <w:rPr>
          <w:i/>
          <w:iCs/>
        </w:rPr>
        <w:t>Passende zorg</w:t>
      </w:r>
      <w:r>
        <w:t xml:space="preserve"> niet optimaal ondersteund. </w:t>
      </w:r>
    </w:p>
    <w:p w:rsidR="00304DAD" w:rsidP="0065510B" w:rsidRDefault="00304DAD" w14:paraId="1631743C" w14:textId="77777777">
      <w:pPr>
        <w:rPr>
          <w:i/>
          <w:iCs/>
        </w:rPr>
      </w:pPr>
    </w:p>
    <w:p w:rsidR="00304DAD" w:rsidP="0065510B" w:rsidRDefault="00000000" w14:paraId="0244F20D" w14:textId="77777777">
      <w:pPr>
        <w:rPr>
          <w:i/>
          <w:iCs/>
        </w:rPr>
      </w:pPr>
      <w:r>
        <w:rPr>
          <w:i/>
          <w:iCs/>
        </w:rPr>
        <w:t>Oplossingsrichtingen</w:t>
      </w:r>
    </w:p>
    <w:p w:rsidR="0065510B" w:rsidP="0065510B" w:rsidRDefault="00000000" w14:paraId="03DD2CE4" w14:textId="77777777">
      <w:r>
        <w:t xml:space="preserve">De </w:t>
      </w:r>
      <w:proofErr w:type="spellStart"/>
      <w:r>
        <w:t>NZa</w:t>
      </w:r>
      <w:proofErr w:type="spellEnd"/>
      <w:r>
        <w:t xml:space="preserve"> adviseert allereerst veldpartijen structureel met elkaar in gesprek te blijven en beter begrip te hebben voor elkaars positie. Brede en effectieve samenwerking gebaseerde op een gedeelde visie is een noodzakelijke voorwaarde voor een toekomstbestendige sector. Als partijen er onderling niet uitkomen, kan de </w:t>
      </w:r>
      <w:proofErr w:type="spellStart"/>
      <w:r>
        <w:t>NZa</w:t>
      </w:r>
      <w:proofErr w:type="spellEnd"/>
      <w:r>
        <w:t xml:space="preserve"> deze gesprekken eventueel richting geven en faciliteren. Daarnaast doet de </w:t>
      </w:r>
      <w:proofErr w:type="spellStart"/>
      <w:r>
        <w:t>NZa</w:t>
      </w:r>
      <w:proofErr w:type="spellEnd"/>
      <w:r>
        <w:t xml:space="preserve"> de aanbeveling om inzicht te verbeteren in de ontwikkeling van vraag en aanbod, wachttijden, de arbeidsmarkt en de financiële positie van aanbieders. Door monitoring kan tijdig worden bijgestuurd indien nodig. Ook benadrukt de </w:t>
      </w:r>
      <w:proofErr w:type="spellStart"/>
      <w:r>
        <w:t>NZa</w:t>
      </w:r>
      <w:proofErr w:type="spellEnd"/>
      <w:r>
        <w:t xml:space="preserve"> het belang van een stabiele (financiële) waardering van zorgverleners. </w:t>
      </w:r>
    </w:p>
    <w:p w:rsidR="00304DAD" w:rsidP="0065510B" w:rsidRDefault="00000000" w14:paraId="2A067E71" w14:textId="0CADD551">
      <w:r>
        <w:lastRenderedPageBreak/>
        <w:t xml:space="preserve">De totstandkoming van een collectieve arbeidsovereenkomst (cao) voor fysiotherapeuten in de eerstelijnszorg kan daaraan bijdragen. Op die manier wordt financiële ruimte daadwerkelijk vertaald naar marktconforme lonen en arbeidsvoorwaarden. Dat is een verantwoordelijkheid van werknemers en werkgevers, waarbij zorgverzekeraars de mogelijkheid hebben financiële ruimte te creëren in de </w:t>
      </w:r>
      <w:proofErr w:type="spellStart"/>
      <w:r>
        <w:t>contractering</w:t>
      </w:r>
      <w:proofErr w:type="spellEnd"/>
      <w:r>
        <w:t>. De overheid heeft geen rol bij cao-onderhandelingen en mag zich daar ook niet in mengen op basis van internationale verdragen.</w:t>
      </w:r>
    </w:p>
    <w:p w:rsidR="00304DAD" w:rsidP="0065510B" w:rsidRDefault="00304DAD" w14:paraId="562D84DA" w14:textId="77777777"/>
    <w:p w:rsidR="00304DAD" w:rsidP="0065510B" w:rsidRDefault="00000000" w14:paraId="2B4E7AD6" w14:textId="77777777">
      <w:r>
        <w:t xml:space="preserve">Ten aanzien van wet- en regelgeving, beschrijft de </w:t>
      </w:r>
      <w:proofErr w:type="spellStart"/>
      <w:r>
        <w:t>NZa</w:t>
      </w:r>
      <w:proofErr w:type="spellEnd"/>
      <w:r>
        <w:t xml:space="preserve"> waarom zij op dit moment haar formele instrumentarium beperkt inzet. Zo acht zij het ingrijpen in de vorm van tariefregulering op dit moment niet proportioneel en noodzakelijk. De </w:t>
      </w:r>
      <w:proofErr w:type="spellStart"/>
      <w:r>
        <w:t>NZa</w:t>
      </w:r>
      <w:proofErr w:type="spellEnd"/>
      <w:r>
        <w:t xml:space="preserve"> beschouwt minimumtarieven als een zwaar en uitzonderlijk beleidsinstrument, dat alleen kan worden ingezet bij aantoonbaar </w:t>
      </w:r>
      <w:proofErr w:type="spellStart"/>
      <w:r>
        <w:t>marktfalen</w:t>
      </w:r>
      <w:proofErr w:type="spellEnd"/>
      <w:r>
        <w:t xml:space="preserve">. Van dergelijk </w:t>
      </w:r>
      <w:proofErr w:type="spellStart"/>
      <w:r>
        <w:t>marktfalen</w:t>
      </w:r>
      <w:proofErr w:type="spellEnd"/>
      <w:r>
        <w:t xml:space="preserve"> is in de fysiotherapiesector op dit moment geen sprake. De </w:t>
      </w:r>
      <w:proofErr w:type="spellStart"/>
      <w:r>
        <w:t>NZa</w:t>
      </w:r>
      <w:proofErr w:type="spellEnd"/>
      <w:r>
        <w:t xml:space="preserve"> is daarom ook terughoudend met het inzetten van andere marktordeningsinstrumenten. Daarnaast kent ieder instrument zijn eigen inhoudelijke beperkingen, bijvoorbeeld als het gaat om de beperkte reikwijdte van het instrument in relatie tot de aanvullende verzekering.</w:t>
      </w:r>
    </w:p>
    <w:p w:rsidR="00304DAD" w:rsidP="0065510B" w:rsidRDefault="00304DAD" w14:paraId="7CCB1CD6" w14:textId="77777777"/>
    <w:p w:rsidR="00304DAD" w:rsidP="0065510B" w:rsidRDefault="00000000" w14:paraId="171E2752" w14:textId="77777777">
      <w:r>
        <w:t xml:space="preserve">Tot slot wijst de </w:t>
      </w:r>
      <w:proofErr w:type="spellStart"/>
      <w:r>
        <w:t>NZa</w:t>
      </w:r>
      <w:proofErr w:type="spellEnd"/>
      <w:r>
        <w:t xml:space="preserve"> op het spanningsveld tussen de brede maatschappelijke verwachting van fysiotherapie en de (ervaren) beperkingen om die rol volwaardig te kunnen vervullen. Zij wijst op de noodzaak van duidelijke stelselkeuzes door het ministerie van VWS en de landelijke politiek. Daarbij doelt de </w:t>
      </w:r>
      <w:proofErr w:type="spellStart"/>
      <w:r>
        <w:t>NZa</w:t>
      </w:r>
      <w:proofErr w:type="spellEnd"/>
      <w:r>
        <w:t xml:space="preserve"> onder andere op het realiseren van een passende aanspraak in het basispakket, het beschikbaar stellen van financiële middelen, en het ondersteunen van een kwaliteitskader en samenwerking op regionaal niveau. Alleen op die manier kunnen fysiotherapeuten een serieuze en structurele rol vervullen in de beweging naar </w:t>
      </w:r>
      <w:r>
        <w:rPr>
          <w:i/>
          <w:iCs/>
        </w:rPr>
        <w:t>Passende zorg</w:t>
      </w:r>
      <w:r>
        <w:t xml:space="preserve">. </w:t>
      </w:r>
    </w:p>
    <w:p w:rsidRPr="008C7B3E" w:rsidR="00304DAD" w:rsidP="0065510B" w:rsidRDefault="00304DAD" w14:paraId="7AD725B7" w14:textId="77777777">
      <w:pPr>
        <w:spacing w:line="240" w:lineRule="auto"/>
      </w:pPr>
    </w:p>
    <w:p w:rsidR="00304DAD" w:rsidP="0065510B" w:rsidRDefault="00000000" w14:paraId="2ACECEC6" w14:textId="77777777">
      <w:pPr>
        <w:rPr>
          <w:b/>
          <w:bCs/>
        </w:rPr>
      </w:pPr>
      <w:r>
        <w:rPr>
          <w:b/>
          <w:bCs/>
        </w:rPr>
        <w:t>Vervolg marktonderzoek paramedische zorg</w:t>
      </w:r>
    </w:p>
    <w:p w:rsidR="00304DAD" w:rsidP="0065510B" w:rsidRDefault="00000000" w14:paraId="5ADF4DFB" w14:textId="77777777">
      <w:r>
        <w:t xml:space="preserve">De </w:t>
      </w:r>
      <w:proofErr w:type="spellStart"/>
      <w:r>
        <w:t>NZa</w:t>
      </w:r>
      <w:proofErr w:type="spellEnd"/>
      <w:r>
        <w:t xml:space="preserve"> is in de tussentijd ook gestart met het marktonderzoek voor de andere paramedische sectoren. Zij beoogt na de zomer van 2026 het marktonderzoek voor de sectoren logopedie en ergotherapie op te leveren, gevolgd door diëtetiek en oefentherapie in de winter van 2026. De resultaten van de verschillende onderzoeken, inclusief de beleidsreacties, worden rond publicatie van de rapporten met uw Kamer gedeeld.</w:t>
      </w:r>
    </w:p>
    <w:p w:rsidR="00304DAD" w:rsidP="0065510B" w:rsidRDefault="00304DAD" w14:paraId="43BF7E09" w14:textId="77777777"/>
    <w:p w:rsidR="00304DAD" w:rsidP="0065510B" w:rsidRDefault="00000000" w14:paraId="2452EFAB" w14:textId="2F9FC5CD">
      <w:r>
        <w:t xml:space="preserve">Ik ben de </w:t>
      </w:r>
      <w:proofErr w:type="spellStart"/>
      <w:r>
        <w:t>NZa</w:t>
      </w:r>
      <w:proofErr w:type="spellEnd"/>
      <w:r>
        <w:t xml:space="preserve"> zeer erkentelijk voor dit marktonderzoek. Als vermeld, laat ik een reactie op het rapport en fundamentele keuzes over de positie van fysiotherapeuten in de beweging naar </w:t>
      </w:r>
      <w:r>
        <w:rPr>
          <w:i/>
          <w:iCs/>
        </w:rPr>
        <w:t>Passende zorg</w:t>
      </w:r>
      <w:r>
        <w:t xml:space="preserve"> en de </w:t>
      </w:r>
      <w:r>
        <w:rPr>
          <w:i/>
          <w:iCs/>
        </w:rPr>
        <w:t>Visie op de eerstelijnszorg 2030</w:t>
      </w:r>
      <w:r>
        <w:t xml:space="preserve"> over aan een volgend kabinet.</w:t>
      </w:r>
    </w:p>
    <w:p w:rsidR="00A17A30" w:rsidP="0065510B" w:rsidRDefault="00A17A30" w14:paraId="1CC14924" w14:textId="77777777">
      <w:pPr>
        <w:spacing w:line="240" w:lineRule="atLeast"/>
        <w:rPr>
          <w:rFonts w:eastAsia="Times New Roman" w:cs="Times New Roman"/>
          <w:szCs w:val="20"/>
          <w:lang w:eastAsia="nl-NL"/>
        </w:rPr>
      </w:pPr>
    </w:p>
    <w:p w:rsidRPr="007A681B" w:rsidR="00A17A30" w:rsidP="0065510B" w:rsidRDefault="00000000" w14:paraId="3E1FB1A3" w14:textId="77777777">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A17A30" w:rsidP="0065510B" w:rsidRDefault="00A17A30" w14:paraId="60EE7F99" w14:textId="77777777">
      <w:pPr>
        <w:spacing w:line="240" w:lineRule="atLeast"/>
        <w:rPr>
          <w:rFonts w:eastAsia="Times New Roman" w:cs="Times New Roman"/>
          <w:spacing w:val="-2"/>
          <w:szCs w:val="20"/>
          <w:lang w:eastAsia="nl-NL"/>
        </w:rPr>
      </w:pPr>
    </w:p>
    <w:p w:rsidR="00A17A30" w:rsidP="0065510B" w:rsidRDefault="00000000" w14:paraId="38A1F211" w14:textId="77777777">
      <w:pPr>
        <w:spacing w:line="240" w:lineRule="atLeast"/>
        <w:jc w:val="both"/>
        <w:rPr>
          <w:rFonts w:eastAsia="SimSun"/>
        </w:rPr>
      </w:pPr>
      <w:r w:rsidRPr="007A681B">
        <w:rPr>
          <w:rFonts w:eastAsia="SimSun"/>
        </w:rPr>
        <w:t>de staatssecretaris</w:t>
      </w:r>
      <w:r>
        <w:rPr>
          <w:rFonts w:eastAsia="SimSun"/>
        </w:rPr>
        <w:t xml:space="preserve"> Langdurige</w:t>
      </w:r>
    </w:p>
    <w:p w:rsidRPr="007A681B" w:rsidR="00A17A30" w:rsidP="0065510B" w:rsidRDefault="00000000" w14:paraId="37D035B7" w14:textId="77777777">
      <w:pPr>
        <w:spacing w:line="240" w:lineRule="atLeast"/>
        <w:jc w:val="both"/>
        <w:rPr>
          <w:rFonts w:eastAsia="SimSun"/>
        </w:rPr>
      </w:pPr>
      <w:r>
        <w:rPr>
          <w:rFonts w:eastAsia="SimSun"/>
        </w:rPr>
        <w:t>en Maatschappelijke Zorg</w:t>
      </w:r>
      <w:r w:rsidRPr="007A681B">
        <w:rPr>
          <w:rFonts w:eastAsia="SimSun"/>
        </w:rPr>
        <w:t>,</w:t>
      </w:r>
    </w:p>
    <w:p w:rsidRPr="007A681B" w:rsidR="00A17A30" w:rsidP="0065510B" w:rsidRDefault="00A17A30" w14:paraId="49A98885" w14:textId="77777777">
      <w:pPr>
        <w:spacing w:line="240" w:lineRule="atLeast"/>
        <w:jc w:val="both"/>
        <w:rPr>
          <w:rFonts w:eastAsia="SimSun"/>
          <w:szCs w:val="18"/>
        </w:rPr>
      </w:pPr>
    </w:p>
    <w:p w:rsidRPr="007A681B" w:rsidR="00A17A30" w:rsidP="0065510B" w:rsidRDefault="00A17A30" w14:paraId="07E72465" w14:textId="77777777">
      <w:pPr>
        <w:spacing w:line="240" w:lineRule="atLeast"/>
        <w:rPr>
          <w:rFonts w:eastAsia="SimSun"/>
          <w:szCs w:val="18"/>
        </w:rPr>
      </w:pPr>
      <w:bookmarkStart w:name="bmkHandtekening" w:id="2"/>
    </w:p>
    <w:bookmarkEnd w:id="2"/>
    <w:p w:rsidRPr="007A681B" w:rsidR="00A17A30" w:rsidP="0065510B" w:rsidRDefault="00A17A30" w14:paraId="496BF482" w14:textId="77777777">
      <w:pPr>
        <w:spacing w:line="240" w:lineRule="atLeast"/>
        <w:rPr>
          <w:rFonts w:eastAsia="Times New Roman" w:cs="Times New Roman"/>
          <w:szCs w:val="20"/>
          <w:lang w:eastAsia="nl-NL"/>
        </w:rPr>
      </w:pPr>
    </w:p>
    <w:p w:rsidRPr="007A681B" w:rsidR="00A17A30" w:rsidP="0065510B" w:rsidRDefault="00A17A30" w14:paraId="4D8FF372" w14:textId="77777777">
      <w:pPr>
        <w:spacing w:line="240" w:lineRule="atLeast"/>
        <w:rPr>
          <w:rFonts w:eastAsia="Times New Roman" w:cs="Times New Roman"/>
          <w:szCs w:val="20"/>
          <w:lang w:eastAsia="nl-NL"/>
        </w:rPr>
      </w:pPr>
    </w:p>
    <w:p w:rsidRPr="007A681B" w:rsidR="00A17A30" w:rsidP="0065510B" w:rsidRDefault="00A17A30" w14:paraId="267B3C8D" w14:textId="77777777">
      <w:pPr>
        <w:spacing w:line="240" w:lineRule="atLeast"/>
        <w:rPr>
          <w:rFonts w:eastAsia="Times New Roman" w:cs="Times New Roman"/>
          <w:szCs w:val="20"/>
          <w:lang w:eastAsia="nl-NL"/>
        </w:rPr>
      </w:pPr>
    </w:p>
    <w:p w:rsidRPr="00A8233A" w:rsidR="00235AED" w:rsidP="0065510B" w:rsidRDefault="00000000" w14:paraId="7239E1B9" w14:textId="77777777">
      <w:pPr>
        <w:rPr>
          <w:szCs w:val="18"/>
        </w:rPr>
      </w:pPr>
      <w:r w:rsidRPr="007E36E2">
        <w:t xml:space="preserve">Nicki J.F. </w:t>
      </w:r>
      <w:proofErr w:type="spellStart"/>
      <w:r w:rsidRPr="007E36E2">
        <w:t>Pouw</w:t>
      </w:r>
      <w:proofErr w:type="spellEnd"/>
      <w:r w:rsidRPr="007E36E2">
        <w:t>-Verweij</w:t>
      </w:r>
    </w:p>
    <w:sectPr w:rsidRPr="00A8233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62EB" w14:textId="77777777" w:rsidR="001031C0" w:rsidRDefault="001031C0">
      <w:pPr>
        <w:spacing w:line="240" w:lineRule="auto"/>
      </w:pPr>
      <w:r>
        <w:separator/>
      </w:r>
    </w:p>
  </w:endnote>
  <w:endnote w:type="continuationSeparator" w:id="0">
    <w:p w14:paraId="04510A5D" w14:textId="77777777" w:rsidR="001031C0" w:rsidRDefault="00103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F628" w14:textId="7A9B982D" w:rsidR="00DC7639" w:rsidRDefault="0011581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D8DED34" wp14:editId="6B38BC45">
              <wp:simplePos x="0" y="0"/>
              <wp:positionH relativeFrom="page">
                <wp:posOffset>5922645</wp:posOffset>
              </wp:positionH>
              <wp:positionV relativeFrom="page">
                <wp:posOffset>10225405</wp:posOffset>
              </wp:positionV>
              <wp:extent cx="1259840" cy="185420"/>
              <wp:effectExtent l="7620" t="5080" r="8890" b="9525"/>
              <wp:wrapNone/>
              <wp:docPr id="11669021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6EBDEA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DED3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6EBDEA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2BB3" w14:textId="77777777" w:rsidR="001031C0" w:rsidRDefault="001031C0">
      <w:pPr>
        <w:spacing w:line="240" w:lineRule="auto"/>
      </w:pPr>
      <w:r>
        <w:separator/>
      </w:r>
    </w:p>
  </w:footnote>
  <w:footnote w:type="continuationSeparator" w:id="0">
    <w:p w14:paraId="1B86037A" w14:textId="77777777" w:rsidR="001031C0" w:rsidRDefault="001031C0">
      <w:pPr>
        <w:spacing w:line="240" w:lineRule="auto"/>
      </w:pPr>
      <w:r>
        <w:continuationSeparator/>
      </w:r>
    </w:p>
  </w:footnote>
  <w:footnote w:id="1">
    <w:p w14:paraId="651BAD79" w14:textId="77777777" w:rsidR="00304DAD" w:rsidRPr="00AE6F5F" w:rsidRDefault="00000000" w:rsidP="00304DAD">
      <w:pPr>
        <w:pStyle w:val="Voetnoottekst"/>
        <w:rPr>
          <w:sz w:val="16"/>
          <w:szCs w:val="16"/>
        </w:rPr>
      </w:pPr>
      <w:r w:rsidRPr="00AE6F5F">
        <w:rPr>
          <w:rStyle w:val="Voetnootmarkering"/>
          <w:sz w:val="16"/>
          <w:szCs w:val="16"/>
        </w:rPr>
        <w:footnoteRef/>
      </w:r>
      <w:r w:rsidRPr="00AE6F5F">
        <w:rPr>
          <w:sz w:val="16"/>
          <w:szCs w:val="16"/>
        </w:rPr>
        <w:t xml:space="preserve"> De formele opdrachtbrief </w:t>
      </w:r>
      <w:r>
        <w:rPr>
          <w:sz w:val="16"/>
          <w:szCs w:val="16"/>
        </w:rPr>
        <w:t xml:space="preserve">aan de </w:t>
      </w:r>
      <w:proofErr w:type="spellStart"/>
      <w:r>
        <w:rPr>
          <w:sz w:val="16"/>
          <w:szCs w:val="16"/>
        </w:rPr>
        <w:t>NZa</w:t>
      </w:r>
      <w:proofErr w:type="spellEnd"/>
      <w:r w:rsidRPr="00AE6F5F">
        <w:rPr>
          <w:sz w:val="16"/>
          <w:szCs w:val="16"/>
        </w:rPr>
        <w:t xml:space="preserve"> bevat ook de sector huidtherapie. Aangezien deze sector op basis van het </w:t>
      </w:r>
      <w:hyperlink r:id="rId1" w:history="1">
        <w:r w:rsidR="00304DAD" w:rsidRPr="00AE6F5F">
          <w:rPr>
            <w:rStyle w:val="Hyperlink"/>
            <w:sz w:val="16"/>
            <w:szCs w:val="16"/>
          </w:rPr>
          <w:t xml:space="preserve">Besluit uitbreiding en beperking werkingssfeer </w:t>
        </w:r>
        <w:proofErr w:type="spellStart"/>
        <w:r w:rsidR="00304DAD" w:rsidRPr="00AE6F5F">
          <w:rPr>
            <w:rStyle w:val="Hyperlink"/>
            <w:sz w:val="16"/>
            <w:szCs w:val="16"/>
          </w:rPr>
          <w:t>Wmg</w:t>
        </w:r>
        <w:proofErr w:type="spellEnd"/>
      </w:hyperlink>
      <w:r w:rsidRPr="00AE6F5F">
        <w:rPr>
          <w:sz w:val="16"/>
          <w:szCs w:val="16"/>
        </w:rPr>
        <w:t xml:space="preserve"> is uitgezonderd van prestatie- en tariefregulering, is deze sector niet meegenomen in het onderzoek. </w:t>
      </w:r>
    </w:p>
  </w:footnote>
  <w:footnote w:id="2">
    <w:p w14:paraId="71DAEB1F" w14:textId="77777777" w:rsidR="00304DAD" w:rsidRPr="000025CA" w:rsidRDefault="00000000" w:rsidP="00304DAD">
      <w:pPr>
        <w:pStyle w:val="Voetnoottekst"/>
        <w:rPr>
          <w:sz w:val="16"/>
          <w:szCs w:val="16"/>
        </w:rPr>
      </w:pPr>
      <w:r w:rsidRPr="000025CA">
        <w:rPr>
          <w:rStyle w:val="Voetnootmarkering"/>
          <w:sz w:val="16"/>
          <w:szCs w:val="16"/>
        </w:rPr>
        <w:footnoteRef/>
      </w:r>
      <w:r w:rsidRPr="000025CA">
        <w:rPr>
          <w:sz w:val="16"/>
          <w:szCs w:val="16"/>
        </w:rPr>
        <w:t xml:space="preserve"> Kamerstukken II 2024/25, 33 587, nr. 161</w:t>
      </w:r>
    </w:p>
  </w:footnote>
  <w:footnote w:id="3">
    <w:p w14:paraId="767B013D" w14:textId="77777777" w:rsidR="00304DAD" w:rsidRDefault="00000000" w:rsidP="00304DAD">
      <w:pPr>
        <w:pStyle w:val="Voetnoottekst"/>
      </w:pPr>
      <w:r w:rsidRPr="00864AC1">
        <w:rPr>
          <w:rStyle w:val="Voetnootmarkering"/>
          <w:sz w:val="16"/>
          <w:szCs w:val="16"/>
        </w:rPr>
        <w:footnoteRef/>
      </w:r>
      <w:r w:rsidRPr="00864AC1">
        <w:rPr>
          <w:sz w:val="16"/>
          <w:szCs w:val="16"/>
        </w:rPr>
        <w:t xml:space="preserve"> Zie voor een uitgebreide verantwoording voor de selectie van praktijken</w:t>
      </w:r>
      <w:r>
        <w:rPr>
          <w:sz w:val="16"/>
          <w:szCs w:val="16"/>
        </w:rPr>
        <w:t xml:space="preserve"> en meer gedetailleerde informatie over regionale verschillen het marktonderzoek fysiotherapeutische zorg van de </w:t>
      </w:r>
      <w:proofErr w:type="spellStart"/>
      <w:r>
        <w:rPr>
          <w:sz w:val="16"/>
          <w:szCs w:val="16"/>
        </w:rPr>
        <w:t>NZa</w:t>
      </w:r>
      <w:proofErr w:type="spellEnd"/>
      <w:r>
        <w:rPr>
          <w:sz w:val="16"/>
          <w:szCs w:val="16"/>
        </w:rPr>
        <w:t xml:space="preserve">. </w:t>
      </w:r>
    </w:p>
  </w:footnote>
  <w:footnote w:id="4">
    <w:p w14:paraId="67EB8076" w14:textId="77777777" w:rsidR="00304DAD" w:rsidRPr="00864AC1" w:rsidRDefault="00000000" w:rsidP="00304DAD">
      <w:pPr>
        <w:pStyle w:val="Voetnoottekst"/>
        <w:rPr>
          <w:sz w:val="16"/>
          <w:szCs w:val="16"/>
        </w:rPr>
      </w:pPr>
      <w:r w:rsidRPr="00864AC1">
        <w:rPr>
          <w:rStyle w:val="Voetnootmarkering"/>
          <w:sz w:val="16"/>
          <w:szCs w:val="16"/>
        </w:rPr>
        <w:footnoteRef/>
      </w:r>
      <w:r>
        <w:rPr>
          <w:sz w:val="16"/>
          <w:szCs w:val="16"/>
        </w:rPr>
        <w:t xml:space="preserve"> De praktijken met &gt;20 werkdagen wachttijd voor schouderklachten vormen uitzonderingen. In 97% van de geselecteerde gemeenten is tenminste één fysiotherapiepraktijk beschikbaar met een wachttijd van maximaal vijf werkdagen. </w:t>
      </w:r>
    </w:p>
  </w:footnote>
  <w:footnote w:id="5">
    <w:p w14:paraId="50AC2015" w14:textId="77777777" w:rsidR="00304DAD" w:rsidRPr="0009345E" w:rsidRDefault="00000000" w:rsidP="00304DAD">
      <w:pPr>
        <w:pStyle w:val="Voetnoottekst"/>
        <w:rPr>
          <w:sz w:val="16"/>
          <w:szCs w:val="16"/>
        </w:rPr>
      </w:pPr>
      <w:r w:rsidRPr="0009345E">
        <w:rPr>
          <w:rStyle w:val="Voetnootmarkering"/>
          <w:sz w:val="16"/>
          <w:szCs w:val="16"/>
        </w:rPr>
        <w:footnoteRef/>
      </w:r>
      <w:r w:rsidRPr="0009345E">
        <w:rPr>
          <w:sz w:val="16"/>
          <w:szCs w:val="16"/>
        </w:rPr>
        <w:t xml:space="preserve"> Zie ook</w:t>
      </w:r>
      <w:r>
        <w:rPr>
          <w:sz w:val="16"/>
          <w:szCs w:val="16"/>
        </w:rPr>
        <w:t xml:space="preserve">: </w:t>
      </w:r>
      <w:r w:rsidRPr="000F33C3">
        <w:rPr>
          <w:sz w:val="16"/>
          <w:szCs w:val="16"/>
        </w:rPr>
        <w:t>https://puc.overheid.nl/nza/doc/PUC_745492_22/</w:t>
      </w:r>
      <w:hyperlink r:id="rId2" w:history="1"/>
    </w:p>
  </w:footnote>
  <w:footnote w:id="6">
    <w:p w14:paraId="7657B113" w14:textId="77777777" w:rsidR="00304DAD" w:rsidRDefault="00000000" w:rsidP="00304DAD">
      <w:pPr>
        <w:pStyle w:val="Voetnoottekst"/>
      </w:pPr>
      <w:r w:rsidRPr="00155826">
        <w:rPr>
          <w:rStyle w:val="Voetnootmarkering"/>
          <w:sz w:val="16"/>
          <w:szCs w:val="16"/>
        </w:rPr>
        <w:footnoteRef/>
      </w:r>
      <w:r w:rsidRPr="00155826">
        <w:rPr>
          <w:sz w:val="16"/>
          <w:szCs w:val="16"/>
        </w:rPr>
        <w:t xml:space="preserve"> De </w:t>
      </w:r>
      <w:proofErr w:type="spellStart"/>
      <w:r w:rsidRPr="00155826">
        <w:rPr>
          <w:sz w:val="16"/>
          <w:szCs w:val="16"/>
        </w:rPr>
        <w:t>NZa</w:t>
      </w:r>
      <w:proofErr w:type="spellEnd"/>
      <w:r w:rsidRPr="00155826">
        <w:rPr>
          <w:sz w:val="16"/>
          <w:szCs w:val="16"/>
        </w:rPr>
        <w:t xml:space="preserve"> verkent op dit moment samen met veldpartijen, via een bekostigingsexperiment bij COPD, hoe bundelbekostiging kan bijdragen aan passende zorg. De opgedane inzichten kunnen richting geven voor een bredere toepassing binnen de sector.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3485" w14:textId="453727D5" w:rsidR="00CD5856" w:rsidRDefault="00115815">
    <w:pPr>
      <w:pStyle w:val="Koptekst"/>
    </w:pPr>
    <w:r>
      <w:rPr>
        <w:noProof/>
        <w:lang w:eastAsia="nl-NL" w:bidi="ar-SA"/>
      </w:rPr>
      <mc:AlternateContent>
        <mc:Choice Requires="wps">
          <w:drawing>
            <wp:anchor distT="0" distB="0" distL="114300" distR="114300" simplePos="0" relativeHeight="251657216" behindDoc="0" locked="0" layoutInCell="1" allowOverlap="1" wp14:anchorId="38B2AB26" wp14:editId="6797CA42">
              <wp:simplePos x="0" y="0"/>
              <wp:positionH relativeFrom="page">
                <wp:posOffset>1011555</wp:posOffset>
              </wp:positionH>
              <wp:positionV relativeFrom="page">
                <wp:posOffset>3769995</wp:posOffset>
              </wp:positionV>
              <wp:extent cx="4395470" cy="466725"/>
              <wp:effectExtent l="11430" t="7620" r="12700" b="11430"/>
              <wp:wrapNone/>
              <wp:docPr id="7449414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466725"/>
                      </a:xfrm>
                      <a:prstGeom prst="rect">
                        <a:avLst/>
                      </a:prstGeom>
                      <a:solidFill>
                        <a:srgbClr val="FFFFFF"/>
                      </a:solidFill>
                      <a:ln w="9525">
                        <a:solidFill>
                          <a:srgbClr val="FFFFFF"/>
                        </a:solidFill>
                        <a:miter lim="800000"/>
                        <a:headEnd/>
                        <a:tailEnd/>
                      </a:ln>
                    </wps:spPr>
                    <wps:txbx>
                      <w:txbxContent>
                        <w:p w14:paraId="7E878E78" w14:textId="47926E89" w:rsidR="00CD5856" w:rsidRDefault="00000000">
                          <w:pPr>
                            <w:pStyle w:val="Huisstijl-Datumenbetreft"/>
                            <w:tabs>
                              <w:tab w:val="clear" w:pos="737"/>
                              <w:tab w:val="left" w:pos="-5954"/>
                              <w:tab w:val="left" w:pos="-5670"/>
                              <w:tab w:val="left" w:pos="1134"/>
                            </w:tabs>
                          </w:pPr>
                          <w:r>
                            <w:t>Datum</w:t>
                          </w:r>
                          <w:r w:rsidR="00E1490C">
                            <w:tab/>
                          </w:r>
                          <w:r w:rsidR="001D6A7D">
                            <w:t>9 februari 2026</w:t>
                          </w:r>
                        </w:p>
                        <w:p w14:paraId="31719877" w14:textId="77777777" w:rsidR="00CD5856" w:rsidRDefault="00000000">
                          <w:pPr>
                            <w:pStyle w:val="Huisstijl-Datumenbetreft"/>
                            <w:tabs>
                              <w:tab w:val="clear" w:pos="737"/>
                              <w:tab w:val="left" w:pos="-5954"/>
                              <w:tab w:val="left" w:pos="-5670"/>
                              <w:tab w:val="left" w:pos="1134"/>
                            </w:tabs>
                          </w:pPr>
                          <w:r>
                            <w:t>Betreft</w:t>
                          </w:r>
                          <w:r w:rsidR="00E1490C">
                            <w:tab/>
                          </w:r>
                          <w:r w:rsidR="00694342">
                            <w:t>Voortgangsbrief marktonderzoek paramedische zorg (deel 2)</w:t>
                          </w:r>
                        </w:p>
                        <w:p w14:paraId="6DF2E54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B2AB26" id="_x0000_t202" coordsize="21600,21600" o:spt="202" path="m,l,21600r21600,l21600,xe">
              <v:stroke joinstyle="miter"/>
              <v:path gradientshapeok="t" o:connecttype="rect"/>
            </v:shapetype>
            <v:shape id="Text Box 29" o:spid="_x0000_s1026" type="#_x0000_t202" style="position:absolute;margin-left:79.65pt;margin-top:296.85pt;width:346.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" strokecolor="white">
              <v:textbox style="mso-fit-shape-to-text:t" inset="0,0,0,0">
                <w:txbxContent>
                  <w:p w14:paraId="7E878E78" w14:textId="47926E89" w:rsidR="00CD5856" w:rsidRDefault="00000000">
                    <w:pPr>
                      <w:pStyle w:val="Huisstijl-Datumenbetreft"/>
                      <w:tabs>
                        <w:tab w:val="clear" w:pos="737"/>
                        <w:tab w:val="left" w:pos="-5954"/>
                        <w:tab w:val="left" w:pos="-5670"/>
                        <w:tab w:val="left" w:pos="1134"/>
                      </w:tabs>
                    </w:pPr>
                    <w:r>
                      <w:t>Datum</w:t>
                    </w:r>
                    <w:r w:rsidR="00E1490C">
                      <w:tab/>
                    </w:r>
                    <w:r w:rsidR="001D6A7D">
                      <w:t>9 februari 2026</w:t>
                    </w:r>
                  </w:p>
                  <w:p w14:paraId="31719877" w14:textId="77777777" w:rsidR="00CD5856" w:rsidRDefault="00000000">
                    <w:pPr>
                      <w:pStyle w:val="Huisstijl-Datumenbetreft"/>
                      <w:tabs>
                        <w:tab w:val="clear" w:pos="737"/>
                        <w:tab w:val="left" w:pos="-5954"/>
                        <w:tab w:val="left" w:pos="-5670"/>
                        <w:tab w:val="left" w:pos="1134"/>
                      </w:tabs>
                    </w:pPr>
                    <w:r>
                      <w:t>Betreft</w:t>
                    </w:r>
                    <w:r w:rsidR="00E1490C">
                      <w:tab/>
                    </w:r>
                    <w:r w:rsidR="00694342">
                      <w:t>Voortgangsbrief marktonderzoek paramedische zorg (deel 2)</w:t>
                    </w:r>
                  </w:p>
                  <w:p w14:paraId="6DF2E545" w14:textId="77777777" w:rsidR="00CD5856" w:rsidRDefault="00CD5856">
                    <w:pPr>
                      <w:pStyle w:val="Huisstijl-Datumenbetreft"/>
                      <w:tabs>
                        <w:tab w:val="left" w:pos="-5954"/>
                        <w:tab w:val="left" w:pos="-5670"/>
                      </w:tabs>
                    </w:pPr>
                  </w:p>
                </w:txbxContent>
              </v:textbox>
              <w10:wrap anchorx="page" anchory="page"/>
            </v:shape>
          </w:pict>
        </mc:Fallback>
      </mc:AlternateContent>
    </w:r>
    <w:r w:rsidR="00694342">
      <w:rPr>
        <w:noProof/>
        <w:lang w:eastAsia="nl-NL" w:bidi="ar-SA"/>
      </w:rPr>
      <w:drawing>
        <wp:anchor distT="0" distB="0" distL="114300" distR="114300" simplePos="0" relativeHeight="251652096" behindDoc="1" locked="0" layoutInCell="1" allowOverlap="1" wp14:anchorId="395CA39A" wp14:editId="31FD19C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94342">
      <w:rPr>
        <w:noProof/>
        <w:lang w:eastAsia="nl-NL" w:bidi="ar-SA"/>
      </w:rPr>
      <w:drawing>
        <wp:anchor distT="0" distB="0" distL="114300" distR="114300" simplePos="0" relativeHeight="251651072" behindDoc="0" locked="0" layoutInCell="1" allowOverlap="1" wp14:anchorId="55D277B4" wp14:editId="064705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6DB4EDB7" wp14:editId="7E399A4B">
              <wp:simplePos x="0" y="0"/>
              <wp:positionH relativeFrom="page">
                <wp:posOffset>5922645</wp:posOffset>
              </wp:positionH>
              <wp:positionV relativeFrom="page">
                <wp:posOffset>1965960</wp:posOffset>
              </wp:positionV>
              <wp:extent cx="1259840" cy="8009890"/>
              <wp:effectExtent l="7620" t="13335" r="8890" b="6350"/>
              <wp:wrapNone/>
              <wp:docPr id="13729825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F856C7" w14:textId="77777777" w:rsidR="00CD5856" w:rsidRDefault="00000000">
                          <w:pPr>
                            <w:pStyle w:val="Huisstijl-AfzendgegevensW1"/>
                          </w:pPr>
                          <w:r>
                            <w:t>Bezoekadres</w:t>
                          </w:r>
                        </w:p>
                        <w:p w14:paraId="3D2609D4" w14:textId="77777777" w:rsidR="00CD5856" w:rsidRDefault="00000000">
                          <w:pPr>
                            <w:pStyle w:val="Huisstijl-Afzendgegevens"/>
                          </w:pPr>
                          <w:r>
                            <w:t>Parnassusplein 5</w:t>
                          </w:r>
                        </w:p>
                        <w:p w14:paraId="7753D55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2B7351" w14:textId="77777777" w:rsidR="00CD5856" w:rsidRDefault="00000000">
                          <w:pPr>
                            <w:pStyle w:val="Huisstijl-Afzendgegevens"/>
                          </w:pPr>
                          <w:r w:rsidRPr="008D59C5">
                            <w:t>www.rijksoverheid.nl</w:t>
                          </w:r>
                        </w:p>
                        <w:p w14:paraId="2BF3E409" w14:textId="77777777" w:rsidR="00CD5856" w:rsidRDefault="00000000">
                          <w:pPr>
                            <w:pStyle w:val="Huisstijl-ReferentiegegevenskopW2"/>
                          </w:pPr>
                          <w:r w:rsidRPr="008D59C5">
                            <w:t>Kenmerk</w:t>
                          </w:r>
                        </w:p>
                        <w:p w14:paraId="467FFF8A" w14:textId="77777777" w:rsidR="00CD5856" w:rsidRDefault="00000000">
                          <w:pPr>
                            <w:pStyle w:val="Huisstijl-Referentiegegevens"/>
                          </w:pPr>
                          <w:bookmarkStart w:id="0" w:name="_Hlk117784077"/>
                          <w:r>
                            <w:t>4337843-1093725-PZ</w:t>
                          </w:r>
                          <w:r w:rsidR="00374E11">
                            <w:t>o</w:t>
                          </w:r>
                        </w:p>
                        <w:bookmarkEnd w:id="0"/>
                        <w:p w14:paraId="377B3BE8" w14:textId="77777777" w:rsidR="00CD5856" w:rsidRDefault="00000000">
                          <w:pPr>
                            <w:pStyle w:val="Huisstijl-ReferentiegegevenskopW1"/>
                          </w:pPr>
                          <w:r w:rsidRPr="008D59C5">
                            <w:t>Bijlage(n)</w:t>
                          </w:r>
                        </w:p>
                        <w:p w14:paraId="0DB606E8" w14:textId="77777777" w:rsidR="00694342" w:rsidRPr="00694342" w:rsidRDefault="00000000" w:rsidP="00694342">
                          <w:pPr>
                            <w:pStyle w:val="Huisstijl-Referentiegegevens"/>
                          </w:pPr>
                          <w:r>
                            <w:t>1</w:t>
                          </w:r>
                        </w:p>
                        <w:p w14:paraId="1B339AAC" w14:textId="77777777" w:rsidR="00215CB5" w:rsidRDefault="00215CB5">
                          <w:pPr>
                            <w:pStyle w:val="Huisstijl-ReferentiegegevenskopW1"/>
                          </w:pPr>
                        </w:p>
                        <w:p w14:paraId="25C1684A" w14:textId="77777777" w:rsidR="00CD5856" w:rsidRDefault="00000000">
                          <w:pPr>
                            <w:pStyle w:val="Huisstijl-ReferentiegegevenskopW1"/>
                          </w:pPr>
                          <w:r>
                            <w:t>Kenmerk afzender</w:t>
                          </w:r>
                        </w:p>
                        <w:p w14:paraId="07CAB461" w14:textId="77777777" w:rsidR="00CD5856" w:rsidRDefault="00CD5856">
                          <w:pPr>
                            <w:pStyle w:val="Huisstijl-Referentiegegevens"/>
                          </w:pPr>
                        </w:p>
                        <w:p w14:paraId="0676AA62" w14:textId="77777777" w:rsidR="00CD5856" w:rsidRDefault="00000000">
                          <w:pPr>
                            <w:pStyle w:val="Huisstijl-Algemenevoorwaarden"/>
                          </w:pPr>
                          <w:r>
                            <w:t>Correspondentie uitsluitend richten aan het retouradres met vermelding van de datum en het kenmerk van deze brief.</w:t>
                          </w:r>
                        </w:p>
                        <w:p w14:paraId="11732D79"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4EDB7"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67F856C7" w14:textId="77777777" w:rsidR="00CD5856" w:rsidRDefault="00000000">
                    <w:pPr>
                      <w:pStyle w:val="Huisstijl-AfzendgegevensW1"/>
                    </w:pPr>
                    <w:r>
                      <w:t>Bezoekadres</w:t>
                    </w:r>
                  </w:p>
                  <w:p w14:paraId="3D2609D4" w14:textId="77777777" w:rsidR="00CD5856" w:rsidRDefault="00000000">
                    <w:pPr>
                      <w:pStyle w:val="Huisstijl-Afzendgegevens"/>
                    </w:pPr>
                    <w:r>
                      <w:t>Parnassusplein 5</w:t>
                    </w:r>
                  </w:p>
                  <w:p w14:paraId="7753D55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62B7351" w14:textId="77777777" w:rsidR="00CD5856" w:rsidRDefault="00000000">
                    <w:pPr>
                      <w:pStyle w:val="Huisstijl-Afzendgegevens"/>
                    </w:pPr>
                    <w:r w:rsidRPr="008D59C5">
                      <w:t>www.rijksoverheid.nl</w:t>
                    </w:r>
                  </w:p>
                  <w:p w14:paraId="2BF3E409" w14:textId="77777777" w:rsidR="00CD5856" w:rsidRDefault="00000000">
                    <w:pPr>
                      <w:pStyle w:val="Huisstijl-ReferentiegegevenskopW2"/>
                    </w:pPr>
                    <w:r w:rsidRPr="008D59C5">
                      <w:t>Kenmerk</w:t>
                    </w:r>
                  </w:p>
                  <w:p w14:paraId="467FFF8A" w14:textId="77777777" w:rsidR="00CD5856" w:rsidRDefault="00000000">
                    <w:pPr>
                      <w:pStyle w:val="Huisstijl-Referentiegegevens"/>
                    </w:pPr>
                    <w:bookmarkStart w:id="1" w:name="_Hlk117784077"/>
                    <w:r>
                      <w:t>4337843-1093725-PZ</w:t>
                    </w:r>
                    <w:r w:rsidR="00374E11">
                      <w:t>o</w:t>
                    </w:r>
                  </w:p>
                  <w:bookmarkEnd w:id="1"/>
                  <w:p w14:paraId="377B3BE8" w14:textId="77777777" w:rsidR="00CD5856" w:rsidRDefault="00000000">
                    <w:pPr>
                      <w:pStyle w:val="Huisstijl-ReferentiegegevenskopW1"/>
                    </w:pPr>
                    <w:r w:rsidRPr="008D59C5">
                      <w:t>Bijlage(n)</w:t>
                    </w:r>
                  </w:p>
                  <w:p w14:paraId="0DB606E8" w14:textId="77777777" w:rsidR="00694342" w:rsidRPr="00694342" w:rsidRDefault="00000000" w:rsidP="00694342">
                    <w:pPr>
                      <w:pStyle w:val="Huisstijl-Referentiegegevens"/>
                    </w:pPr>
                    <w:r>
                      <w:t>1</w:t>
                    </w:r>
                  </w:p>
                  <w:p w14:paraId="1B339AAC" w14:textId="77777777" w:rsidR="00215CB5" w:rsidRDefault="00215CB5">
                    <w:pPr>
                      <w:pStyle w:val="Huisstijl-ReferentiegegevenskopW1"/>
                    </w:pPr>
                  </w:p>
                  <w:p w14:paraId="25C1684A" w14:textId="77777777" w:rsidR="00CD5856" w:rsidRDefault="00000000">
                    <w:pPr>
                      <w:pStyle w:val="Huisstijl-ReferentiegegevenskopW1"/>
                    </w:pPr>
                    <w:r>
                      <w:t>Kenmerk afzender</w:t>
                    </w:r>
                  </w:p>
                  <w:p w14:paraId="07CAB461" w14:textId="77777777" w:rsidR="00CD5856" w:rsidRDefault="00CD5856">
                    <w:pPr>
                      <w:pStyle w:val="Huisstijl-Referentiegegevens"/>
                    </w:pPr>
                  </w:p>
                  <w:p w14:paraId="0676AA62" w14:textId="77777777" w:rsidR="00CD5856" w:rsidRDefault="00000000">
                    <w:pPr>
                      <w:pStyle w:val="Huisstijl-Algemenevoorwaarden"/>
                    </w:pPr>
                    <w:r>
                      <w:t>Correspondentie uitsluitend richten aan het retouradres met vermelding van de datum en het kenmerk van deze brief.</w:t>
                    </w:r>
                  </w:p>
                  <w:p w14:paraId="11732D79"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1108A8D" wp14:editId="1D56D82E">
              <wp:simplePos x="0" y="0"/>
              <wp:positionH relativeFrom="page">
                <wp:posOffset>1008380</wp:posOffset>
              </wp:positionH>
              <wp:positionV relativeFrom="page">
                <wp:posOffset>3384550</wp:posOffset>
              </wp:positionV>
              <wp:extent cx="4104005" cy="179705"/>
              <wp:effectExtent l="8255" t="12700" r="12065" b="7620"/>
              <wp:wrapNone/>
              <wp:docPr id="186687610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56C15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08A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856C15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2A033D8" wp14:editId="721F61CD">
              <wp:simplePos x="0" y="0"/>
              <wp:positionH relativeFrom="page">
                <wp:posOffset>1008380</wp:posOffset>
              </wp:positionH>
              <wp:positionV relativeFrom="page">
                <wp:posOffset>1944370</wp:posOffset>
              </wp:positionV>
              <wp:extent cx="3347720" cy="1080135"/>
              <wp:effectExtent l="8255" t="10795" r="6350" b="13970"/>
              <wp:wrapNone/>
              <wp:docPr id="11748245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61ED95B" w14:textId="77777777" w:rsidR="00A17A30" w:rsidRPr="007539FC" w:rsidRDefault="00000000" w:rsidP="00A17A30">
                          <w:pPr>
                            <w:outlineLvl w:val="0"/>
                          </w:pPr>
                          <w:r w:rsidRPr="007539FC">
                            <w:t>De Voorzitter van de Tweede Kamer</w:t>
                          </w:r>
                        </w:p>
                        <w:p w14:paraId="08853E0C" w14:textId="77777777" w:rsidR="00A17A30" w:rsidRPr="00FE3A63" w:rsidRDefault="00000000" w:rsidP="00A17A30">
                          <w:pPr>
                            <w:rPr>
                              <w:lang w:val="de-DE"/>
                            </w:rPr>
                          </w:pPr>
                          <w:r w:rsidRPr="00FE3A63">
                            <w:rPr>
                              <w:lang w:val="de-DE"/>
                            </w:rPr>
                            <w:t xml:space="preserve">der </w:t>
                          </w:r>
                          <w:proofErr w:type="spellStart"/>
                          <w:r w:rsidRPr="00FE3A63">
                            <w:rPr>
                              <w:lang w:val="de-DE"/>
                            </w:rPr>
                            <w:t>Staten-Generaal</w:t>
                          </w:r>
                          <w:proofErr w:type="spellEnd"/>
                        </w:p>
                        <w:p w14:paraId="7AA9F87F" w14:textId="77777777" w:rsidR="00A17A30" w:rsidRPr="00FE3A63" w:rsidRDefault="00000000" w:rsidP="00A17A30">
                          <w:pPr>
                            <w:rPr>
                              <w:lang w:val="de-DE"/>
                            </w:rPr>
                          </w:pPr>
                          <w:r w:rsidRPr="00FE3A63">
                            <w:rPr>
                              <w:lang w:val="de-DE"/>
                            </w:rPr>
                            <w:t>Postbus 20018</w:t>
                          </w:r>
                        </w:p>
                        <w:p w14:paraId="65AF0B6F" w14:textId="77777777" w:rsidR="00A17A30" w:rsidRPr="00FE3A63" w:rsidRDefault="00000000" w:rsidP="00A17A30">
                          <w:pPr>
                            <w:rPr>
                              <w:lang w:val="de-DE"/>
                            </w:rPr>
                          </w:pPr>
                          <w:r w:rsidRPr="00FE3A63">
                            <w:rPr>
                              <w:lang w:val="de-DE"/>
                            </w:rPr>
                            <w:t>2500 EA  DEN HAAG</w:t>
                          </w:r>
                        </w:p>
                        <w:p w14:paraId="07567F5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033D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61ED95B" w14:textId="77777777" w:rsidR="00A17A30" w:rsidRPr="007539FC" w:rsidRDefault="00000000" w:rsidP="00A17A30">
                    <w:pPr>
                      <w:outlineLvl w:val="0"/>
                    </w:pPr>
                    <w:r w:rsidRPr="007539FC">
                      <w:t>De Voorzitter van de Tweede Kamer</w:t>
                    </w:r>
                  </w:p>
                  <w:p w14:paraId="08853E0C" w14:textId="77777777" w:rsidR="00A17A30" w:rsidRPr="00FE3A63" w:rsidRDefault="00000000" w:rsidP="00A17A30">
                    <w:pPr>
                      <w:rPr>
                        <w:lang w:val="de-DE"/>
                      </w:rPr>
                    </w:pPr>
                    <w:r w:rsidRPr="00FE3A63">
                      <w:rPr>
                        <w:lang w:val="de-DE"/>
                      </w:rPr>
                      <w:t xml:space="preserve">der </w:t>
                    </w:r>
                    <w:proofErr w:type="spellStart"/>
                    <w:r w:rsidRPr="00FE3A63">
                      <w:rPr>
                        <w:lang w:val="de-DE"/>
                      </w:rPr>
                      <w:t>Staten-Generaal</w:t>
                    </w:r>
                    <w:proofErr w:type="spellEnd"/>
                  </w:p>
                  <w:p w14:paraId="7AA9F87F" w14:textId="77777777" w:rsidR="00A17A30" w:rsidRPr="00FE3A63" w:rsidRDefault="00000000" w:rsidP="00A17A30">
                    <w:pPr>
                      <w:rPr>
                        <w:lang w:val="de-DE"/>
                      </w:rPr>
                    </w:pPr>
                    <w:r w:rsidRPr="00FE3A63">
                      <w:rPr>
                        <w:lang w:val="de-DE"/>
                      </w:rPr>
                      <w:t>Postbus 20018</w:t>
                    </w:r>
                  </w:p>
                  <w:p w14:paraId="65AF0B6F" w14:textId="77777777" w:rsidR="00A17A30" w:rsidRPr="00FE3A63" w:rsidRDefault="00000000" w:rsidP="00A17A30">
                    <w:pPr>
                      <w:rPr>
                        <w:lang w:val="de-DE"/>
                      </w:rPr>
                    </w:pPr>
                    <w:r w:rsidRPr="00FE3A63">
                      <w:rPr>
                        <w:lang w:val="de-DE"/>
                      </w:rPr>
                      <w:t>2500 EA  DEN HAAG</w:t>
                    </w:r>
                  </w:p>
                  <w:p w14:paraId="07567F5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6F1992B" wp14:editId="77CB9482">
              <wp:simplePos x="0" y="0"/>
              <wp:positionH relativeFrom="page">
                <wp:posOffset>1008380</wp:posOffset>
              </wp:positionH>
              <wp:positionV relativeFrom="page">
                <wp:posOffset>1713865</wp:posOffset>
              </wp:positionV>
              <wp:extent cx="3590925" cy="144145"/>
              <wp:effectExtent l="8255" t="8890" r="10795" b="8890"/>
              <wp:wrapNone/>
              <wp:docPr id="203887574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7666CB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1992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7666CB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B8C6" w14:textId="4DAF3630" w:rsidR="00CD5856" w:rsidRDefault="00115815">
    <w:pPr>
      <w:pStyle w:val="Koptekst"/>
    </w:pPr>
    <w:r>
      <w:rPr>
        <w:noProof/>
        <w:lang w:eastAsia="nl-NL" w:bidi="ar-SA"/>
      </w:rPr>
      <mc:AlternateContent>
        <mc:Choice Requires="wps">
          <w:drawing>
            <wp:anchor distT="0" distB="0" distL="114300" distR="114300" simplePos="0" relativeHeight="251659264" behindDoc="0" locked="0" layoutInCell="1" allowOverlap="1" wp14:anchorId="18D1A18F" wp14:editId="6D8CCD5C">
              <wp:simplePos x="0" y="0"/>
              <wp:positionH relativeFrom="page">
                <wp:posOffset>5922645</wp:posOffset>
              </wp:positionH>
              <wp:positionV relativeFrom="page">
                <wp:posOffset>1936750</wp:posOffset>
              </wp:positionV>
              <wp:extent cx="1259840" cy="8009890"/>
              <wp:effectExtent l="7620" t="12700" r="8890" b="6985"/>
              <wp:wrapNone/>
              <wp:docPr id="1369334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B33800" w14:textId="77777777" w:rsidR="00CD5856" w:rsidRDefault="00000000">
                          <w:pPr>
                            <w:pStyle w:val="Huisstijl-ReferentiegegevenskopW2"/>
                          </w:pPr>
                          <w:r w:rsidRPr="008D59C5">
                            <w:t>Kenmerk</w:t>
                          </w:r>
                        </w:p>
                        <w:p w14:paraId="5E78118B" w14:textId="77777777" w:rsidR="00C95CA9" w:rsidRPr="00C95CA9" w:rsidRDefault="00000000" w:rsidP="00C95CA9">
                          <w:pPr>
                            <w:pStyle w:val="Huisstijl-Referentiegegevens"/>
                          </w:pPr>
                          <w:r w:rsidRPr="00C95CA9">
                            <w:t>4337843-1093725-PZ</w:t>
                          </w:r>
                          <w:r w:rsidR="00374E11">
                            <w:t>o</w:t>
                          </w:r>
                        </w:p>
                        <w:p w14:paraId="3F45EE8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1A18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8B33800" w14:textId="77777777" w:rsidR="00CD5856" w:rsidRDefault="00000000">
                    <w:pPr>
                      <w:pStyle w:val="Huisstijl-ReferentiegegevenskopW2"/>
                    </w:pPr>
                    <w:r w:rsidRPr="008D59C5">
                      <w:t>Kenmerk</w:t>
                    </w:r>
                  </w:p>
                  <w:p w14:paraId="5E78118B" w14:textId="77777777" w:rsidR="00C95CA9" w:rsidRPr="00C95CA9" w:rsidRDefault="00000000" w:rsidP="00C95CA9">
                    <w:pPr>
                      <w:pStyle w:val="Huisstijl-Referentiegegevens"/>
                    </w:pPr>
                    <w:r w:rsidRPr="00C95CA9">
                      <w:t>4337843-1093725-PZ</w:t>
                    </w:r>
                    <w:r w:rsidR="00374E11">
                      <w:t>o</w:t>
                    </w:r>
                  </w:p>
                  <w:p w14:paraId="3F45EE8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D2FB13C" wp14:editId="15EA5FD8">
              <wp:simplePos x="0" y="0"/>
              <wp:positionH relativeFrom="page">
                <wp:posOffset>5922645</wp:posOffset>
              </wp:positionH>
              <wp:positionV relativeFrom="page">
                <wp:posOffset>10225405</wp:posOffset>
              </wp:positionV>
              <wp:extent cx="1259840" cy="213995"/>
              <wp:effectExtent l="7620" t="5080" r="8890" b="9525"/>
              <wp:wrapNone/>
              <wp:docPr id="206896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0302569" w14:textId="5B98BA3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B24A4">
                            <w:fldChar w:fldCharType="begin"/>
                          </w:r>
                          <w:r>
                            <w:instrText xml:space="preserve"> SECTIONPAGES  \* Arabic  \* MERGEFORMAT </w:instrText>
                          </w:r>
                          <w:r w:rsidR="00EB24A4">
                            <w:fldChar w:fldCharType="separate"/>
                          </w:r>
                          <w:r w:rsidR="001D6A7D">
                            <w:rPr>
                              <w:noProof/>
                            </w:rPr>
                            <w:t>4</w:t>
                          </w:r>
                          <w:r w:rsidR="00EB24A4">
                            <w:rPr>
                              <w:noProof/>
                            </w:rPr>
                            <w:fldChar w:fldCharType="end"/>
                          </w:r>
                        </w:p>
                        <w:p w14:paraId="4217E843" w14:textId="77777777" w:rsidR="00CD5856" w:rsidRDefault="00CD5856"/>
                        <w:p w14:paraId="2A36383E" w14:textId="77777777" w:rsidR="00CD5856" w:rsidRDefault="00CD5856">
                          <w:pPr>
                            <w:pStyle w:val="Huisstijl-Paginanummer"/>
                          </w:pPr>
                        </w:p>
                        <w:p w14:paraId="7D187D8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FB13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0302569" w14:textId="5B98BA3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B24A4">
                      <w:fldChar w:fldCharType="begin"/>
                    </w:r>
                    <w:r>
                      <w:instrText xml:space="preserve"> SECTIONPAGES  \* Arabic  \* MERGEFORMAT </w:instrText>
                    </w:r>
                    <w:r w:rsidR="00EB24A4">
                      <w:fldChar w:fldCharType="separate"/>
                    </w:r>
                    <w:r w:rsidR="001D6A7D">
                      <w:rPr>
                        <w:noProof/>
                      </w:rPr>
                      <w:t>4</w:t>
                    </w:r>
                    <w:r w:rsidR="00EB24A4">
                      <w:rPr>
                        <w:noProof/>
                      </w:rPr>
                      <w:fldChar w:fldCharType="end"/>
                    </w:r>
                  </w:p>
                  <w:p w14:paraId="4217E843" w14:textId="77777777" w:rsidR="00CD5856" w:rsidRDefault="00CD5856"/>
                  <w:p w14:paraId="2A36383E" w14:textId="77777777" w:rsidR="00CD5856" w:rsidRDefault="00CD5856">
                    <w:pPr>
                      <w:pStyle w:val="Huisstijl-Paginanummer"/>
                    </w:pPr>
                  </w:p>
                  <w:p w14:paraId="7D187D8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963D" w14:textId="517085AA" w:rsidR="00CD5856" w:rsidRDefault="00115815">
    <w:pPr>
      <w:pStyle w:val="Koptekst"/>
    </w:pPr>
    <w:r>
      <w:rPr>
        <w:noProof/>
        <w:lang w:eastAsia="nl-NL" w:bidi="ar-SA"/>
      </w:rPr>
      <mc:AlternateContent>
        <mc:Choice Requires="wps">
          <w:drawing>
            <wp:anchor distT="0" distB="0" distL="114300" distR="114300" simplePos="0" relativeHeight="251664384" behindDoc="0" locked="0" layoutInCell="1" allowOverlap="1" wp14:anchorId="69AF0CCE" wp14:editId="6488068F">
              <wp:simplePos x="0" y="0"/>
              <wp:positionH relativeFrom="page">
                <wp:posOffset>1009650</wp:posOffset>
              </wp:positionH>
              <wp:positionV relativeFrom="page">
                <wp:posOffset>3768725</wp:posOffset>
              </wp:positionV>
              <wp:extent cx="4103370" cy="457200"/>
              <wp:effectExtent l="9525" t="6350" r="11430" b="12700"/>
              <wp:wrapTopAndBottom/>
              <wp:docPr id="346946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A8794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5510B">
                                <w:t>26 juni 2014</w:t>
                              </w:r>
                            </w:sdtContent>
                          </w:sdt>
                        </w:p>
                        <w:p w14:paraId="7A42146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4158B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AF0CC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A8794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5510B">
                          <w:t>26 juni 2014</w:t>
                        </w:r>
                      </w:sdtContent>
                    </w:sdt>
                  </w:p>
                  <w:p w14:paraId="7A42146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4158B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B8B3C02" wp14:editId="278A1EA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8C5AA60" wp14:editId="5226254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C71E1B4" wp14:editId="7D02D4CB">
              <wp:simplePos x="0" y="0"/>
              <wp:positionH relativeFrom="page">
                <wp:posOffset>5922645</wp:posOffset>
              </wp:positionH>
              <wp:positionV relativeFrom="page">
                <wp:posOffset>1964690</wp:posOffset>
              </wp:positionV>
              <wp:extent cx="1259840" cy="8009890"/>
              <wp:effectExtent l="7620" t="12065" r="8890" b="7620"/>
              <wp:wrapNone/>
              <wp:docPr id="38842375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244E68" w14:textId="77777777" w:rsidR="00CD5856" w:rsidRDefault="00000000">
                          <w:pPr>
                            <w:pStyle w:val="Huisstijl-Afzendgegevens"/>
                          </w:pPr>
                          <w:r w:rsidRPr="008D59C5">
                            <w:t>Rijnstraat 50</w:t>
                          </w:r>
                        </w:p>
                        <w:p w14:paraId="6EE0D281" w14:textId="77777777" w:rsidR="00CD5856" w:rsidRDefault="00000000">
                          <w:pPr>
                            <w:pStyle w:val="Huisstijl-Afzendgegevens"/>
                          </w:pPr>
                          <w:r w:rsidRPr="008D59C5">
                            <w:t>Den Haag</w:t>
                          </w:r>
                        </w:p>
                        <w:p w14:paraId="41F8A031" w14:textId="77777777" w:rsidR="00CD5856" w:rsidRDefault="00000000">
                          <w:pPr>
                            <w:pStyle w:val="Huisstijl-Afzendgegevens"/>
                          </w:pPr>
                          <w:r w:rsidRPr="008D59C5">
                            <w:t>www.rijksoverheid.nl</w:t>
                          </w:r>
                        </w:p>
                        <w:p w14:paraId="7A263F0E" w14:textId="77777777" w:rsidR="00CD5856" w:rsidRDefault="00000000">
                          <w:pPr>
                            <w:pStyle w:val="Huisstijl-AfzendgegevenskopW1"/>
                          </w:pPr>
                          <w:r>
                            <w:t>Contactpersoon</w:t>
                          </w:r>
                        </w:p>
                        <w:p w14:paraId="284DF253" w14:textId="77777777" w:rsidR="00CD5856" w:rsidRDefault="00000000">
                          <w:pPr>
                            <w:pStyle w:val="Huisstijl-Afzendgegevens"/>
                          </w:pPr>
                          <w:r w:rsidRPr="008D59C5">
                            <w:t>ing. J.A. Ramlal</w:t>
                          </w:r>
                        </w:p>
                        <w:p w14:paraId="515625E7" w14:textId="77777777" w:rsidR="00CD5856" w:rsidRDefault="00000000">
                          <w:pPr>
                            <w:pStyle w:val="Huisstijl-Afzendgegevens"/>
                          </w:pPr>
                          <w:r w:rsidRPr="008D59C5">
                            <w:t>ja.ramlal@minvws.nl</w:t>
                          </w:r>
                        </w:p>
                        <w:p w14:paraId="70F90142" w14:textId="77777777" w:rsidR="00CD5856" w:rsidRDefault="00000000">
                          <w:pPr>
                            <w:pStyle w:val="Huisstijl-ReferentiegegevenskopW2"/>
                          </w:pPr>
                          <w:r>
                            <w:t>Ons kenmerk</w:t>
                          </w:r>
                        </w:p>
                        <w:p w14:paraId="1BB221DD" w14:textId="77777777" w:rsidR="00CD5856" w:rsidRDefault="00000000">
                          <w:pPr>
                            <w:pStyle w:val="Huisstijl-Referentiegegevens"/>
                          </w:pPr>
                          <w:r>
                            <w:t>KENMERK</w:t>
                          </w:r>
                        </w:p>
                        <w:p w14:paraId="1BC9C985" w14:textId="77777777" w:rsidR="00CD5856" w:rsidRDefault="00000000">
                          <w:pPr>
                            <w:pStyle w:val="Huisstijl-ReferentiegegevenskopW1"/>
                          </w:pPr>
                          <w:r>
                            <w:t>Uw kenmerk</w:t>
                          </w:r>
                        </w:p>
                        <w:p w14:paraId="2744A99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1E1B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F244E68" w14:textId="77777777" w:rsidR="00CD5856" w:rsidRDefault="00000000">
                    <w:pPr>
                      <w:pStyle w:val="Huisstijl-Afzendgegevens"/>
                    </w:pPr>
                    <w:r w:rsidRPr="008D59C5">
                      <w:t>Rijnstraat 50</w:t>
                    </w:r>
                  </w:p>
                  <w:p w14:paraId="6EE0D281" w14:textId="77777777" w:rsidR="00CD5856" w:rsidRDefault="00000000">
                    <w:pPr>
                      <w:pStyle w:val="Huisstijl-Afzendgegevens"/>
                    </w:pPr>
                    <w:r w:rsidRPr="008D59C5">
                      <w:t>Den Haag</w:t>
                    </w:r>
                  </w:p>
                  <w:p w14:paraId="41F8A031" w14:textId="77777777" w:rsidR="00CD5856" w:rsidRDefault="00000000">
                    <w:pPr>
                      <w:pStyle w:val="Huisstijl-Afzendgegevens"/>
                    </w:pPr>
                    <w:r w:rsidRPr="008D59C5">
                      <w:t>www.rijksoverheid.nl</w:t>
                    </w:r>
                  </w:p>
                  <w:p w14:paraId="7A263F0E" w14:textId="77777777" w:rsidR="00CD5856" w:rsidRDefault="00000000">
                    <w:pPr>
                      <w:pStyle w:val="Huisstijl-AfzendgegevenskopW1"/>
                    </w:pPr>
                    <w:r>
                      <w:t>Contactpersoon</w:t>
                    </w:r>
                  </w:p>
                  <w:p w14:paraId="284DF253" w14:textId="77777777" w:rsidR="00CD5856" w:rsidRDefault="00000000">
                    <w:pPr>
                      <w:pStyle w:val="Huisstijl-Afzendgegevens"/>
                    </w:pPr>
                    <w:r w:rsidRPr="008D59C5">
                      <w:t>ing. J.A. Ramlal</w:t>
                    </w:r>
                  </w:p>
                  <w:p w14:paraId="515625E7" w14:textId="77777777" w:rsidR="00CD5856" w:rsidRDefault="00000000">
                    <w:pPr>
                      <w:pStyle w:val="Huisstijl-Afzendgegevens"/>
                    </w:pPr>
                    <w:r w:rsidRPr="008D59C5">
                      <w:t>ja.ramlal@minvws.nl</w:t>
                    </w:r>
                  </w:p>
                  <w:p w14:paraId="70F90142" w14:textId="77777777" w:rsidR="00CD5856" w:rsidRDefault="00000000">
                    <w:pPr>
                      <w:pStyle w:val="Huisstijl-ReferentiegegevenskopW2"/>
                    </w:pPr>
                    <w:r>
                      <w:t>Ons kenmerk</w:t>
                    </w:r>
                  </w:p>
                  <w:p w14:paraId="1BB221DD" w14:textId="77777777" w:rsidR="00CD5856" w:rsidRDefault="00000000">
                    <w:pPr>
                      <w:pStyle w:val="Huisstijl-Referentiegegevens"/>
                    </w:pPr>
                    <w:r>
                      <w:t>KENMERK</w:t>
                    </w:r>
                  </w:p>
                  <w:p w14:paraId="1BC9C985" w14:textId="77777777" w:rsidR="00CD5856" w:rsidRDefault="00000000">
                    <w:pPr>
                      <w:pStyle w:val="Huisstijl-ReferentiegegevenskopW1"/>
                    </w:pPr>
                    <w:r>
                      <w:t>Uw kenmerk</w:t>
                    </w:r>
                  </w:p>
                  <w:p w14:paraId="2744A99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EC6AFD" wp14:editId="62BCE775">
              <wp:simplePos x="0" y="0"/>
              <wp:positionH relativeFrom="page">
                <wp:posOffset>1008380</wp:posOffset>
              </wp:positionH>
              <wp:positionV relativeFrom="page">
                <wp:posOffset>1942465</wp:posOffset>
              </wp:positionV>
              <wp:extent cx="2988310" cy="1080135"/>
              <wp:effectExtent l="8255" t="8890" r="13335" b="6350"/>
              <wp:wrapNone/>
              <wp:docPr id="86050562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281AF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C6AF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281AF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3D15962" wp14:editId="3405E1B8">
              <wp:simplePos x="0" y="0"/>
              <wp:positionH relativeFrom="page">
                <wp:posOffset>5922645</wp:posOffset>
              </wp:positionH>
              <wp:positionV relativeFrom="page">
                <wp:posOffset>10224770</wp:posOffset>
              </wp:positionV>
              <wp:extent cx="730885" cy="107950"/>
              <wp:effectExtent l="7620" t="13970" r="13970" b="11430"/>
              <wp:wrapNone/>
              <wp:docPr id="14983835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A9B481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74E11">
                            <w:fldChar w:fldCharType="begin"/>
                          </w:r>
                          <w:r>
                            <w:instrText xml:space="preserve"> SECTIONPAGES  \* Arabic  \* MERGEFORMAT </w:instrText>
                          </w:r>
                          <w:r w:rsidR="00374E11">
                            <w:fldChar w:fldCharType="separate"/>
                          </w:r>
                          <w:r w:rsidR="00374E11">
                            <w:rPr>
                              <w:noProof/>
                            </w:rPr>
                            <w:t>7</w:t>
                          </w:r>
                          <w:r w:rsidR="00374E1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1596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A9B481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374E11">
                      <w:fldChar w:fldCharType="begin"/>
                    </w:r>
                    <w:r>
                      <w:instrText xml:space="preserve"> SECTIONPAGES  \* Arabic  \* MERGEFORMAT </w:instrText>
                    </w:r>
                    <w:r w:rsidR="00374E11">
                      <w:fldChar w:fldCharType="separate"/>
                    </w:r>
                    <w:r w:rsidR="00374E11">
                      <w:rPr>
                        <w:noProof/>
                      </w:rPr>
                      <w:t>7</w:t>
                    </w:r>
                    <w:r w:rsidR="00374E11">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15EC68A" wp14:editId="317C9934">
              <wp:simplePos x="0" y="0"/>
              <wp:positionH relativeFrom="page">
                <wp:posOffset>1008380</wp:posOffset>
              </wp:positionH>
              <wp:positionV relativeFrom="page">
                <wp:posOffset>3384550</wp:posOffset>
              </wp:positionV>
              <wp:extent cx="4104005" cy="179705"/>
              <wp:effectExtent l="8255" t="12700" r="12065" b="7620"/>
              <wp:wrapNone/>
              <wp:docPr id="86003715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E8307C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EC68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E8307C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BF36FFB" wp14:editId="1A31F7A0">
              <wp:simplePos x="0" y="0"/>
              <wp:positionH relativeFrom="page">
                <wp:posOffset>1008380</wp:posOffset>
              </wp:positionH>
              <wp:positionV relativeFrom="page">
                <wp:posOffset>1715135</wp:posOffset>
              </wp:positionV>
              <wp:extent cx="3590925" cy="144145"/>
              <wp:effectExtent l="8255" t="10160" r="10795" b="7620"/>
              <wp:wrapNone/>
              <wp:docPr id="187829211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F33F9E"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36FF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3F33F9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04EFB54">
      <w:numFmt w:val="bullet"/>
      <w:lvlText w:val=""/>
      <w:lvlJc w:val="left"/>
      <w:pPr>
        <w:ind w:left="720" w:hanging="360"/>
      </w:pPr>
      <w:rPr>
        <w:rFonts w:ascii="Wingdings" w:eastAsia="DejaVu Sans" w:hAnsi="Wingdings" w:cs="Lohit Hindi" w:hint="default"/>
      </w:rPr>
    </w:lvl>
    <w:lvl w:ilvl="1" w:tplc="755E0C0E" w:tentative="1">
      <w:start w:val="1"/>
      <w:numFmt w:val="bullet"/>
      <w:lvlText w:val="o"/>
      <w:lvlJc w:val="left"/>
      <w:pPr>
        <w:ind w:left="1440" w:hanging="360"/>
      </w:pPr>
      <w:rPr>
        <w:rFonts w:ascii="Courier New" w:hAnsi="Courier New" w:cs="Courier New" w:hint="default"/>
      </w:rPr>
    </w:lvl>
    <w:lvl w:ilvl="2" w:tplc="D48EDA5A" w:tentative="1">
      <w:start w:val="1"/>
      <w:numFmt w:val="bullet"/>
      <w:lvlText w:val=""/>
      <w:lvlJc w:val="left"/>
      <w:pPr>
        <w:ind w:left="2160" w:hanging="360"/>
      </w:pPr>
      <w:rPr>
        <w:rFonts w:ascii="Wingdings" w:hAnsi="Wingdings" w:hint="default"/>
      </w:rPr>
    </w:lvl>
    <w:lvl w:ilvl="3" w:tplc="7292AF60" w:tentative="1">
      <w:start w:val="1"/>
      <w:numFmt w:val="bullet"/>
      <w:lvlText w:val=""/>
      <w:lvlJc w:val="left"/>
      <w:pPr>
        <w:ind w:left="2880" w:hanging="360"/>
      </w:pPr>
      <w:rPr>
        <w:rFonts w:ascii="Symbol" w:hAnsi="Symbol" w:hint="default"/>
      </w:rPr>
    </w:lvl>
    <w:lvl w:ilvl="4" w:tplc="7D640250" w:tentative="1">
      <w:start w:val="1"/>
      <w:numFmt w:val="bullet"/>
      <w:lvlText w:val="o"/>
      <w:lvlJc w:val="left"/>
      <w:pPr>
        <w:ind w:left="3600" w:hanging="360"/>
      </w:pPr>
      <w:rPr>
        <w:rFonts w:ascii="Courier New" w:hAnsi="Courier New" w:cs="Courier New" w:hint="default"/>
      </w:rPr>
    </w:lvl>
    <w:lvl w:ilvl="5" w:tplc="0632EF1A" w:tentative="1">
      <w:start w:val="1"/>
      <w:numFmt w:val="bullet"/>
      <w:lvlText w:val=""/>
      <w:lvlJc w:val="left"/>
      <w:pPr>
        <w:ind w:left="4320" w:hanging="360"/>
      </w:pPr>
      <w:rPr>
        <w:rFonts w:ascii="Wingdings" w:hAnsi="Wingdings" w:hint="default"/>
      </w:rPr>
    </w:lvl>
    <w:lvl w:ilvl="6" w:tplc="6A10498E" w:tentative="1">
      <w:start w:val="1"/>
      <w:numFmt w:val="bullet"/>
      <w:lvlText w:val=""/>
      <w:lvlJc w:val="left"/>
      <w:pPr>
        <w:ind w:left="5040" w:hanging="360"/>
      </w:pPr>
      <w:rPr>
        <w:rFonts w:ascii="Symbol" w:hAnsi="Symbol" w:hint="default"/>
      </w:rPr>
    </w:lvl>
    <w:lvl w:ilvl="7" w:tplc="4EE28FB6" w:tentative="1">
      <w:start w:val="1"/>
      <w:numFmt w:val="bullet"/>
      <w:lvlText w:val="o"/>
      <w:lvlJc w:val="left"/>
      <w:pPr>
        <w:ind w:left="5760" w:hanging="360"/>
      </w:pPr>
      <w:rPr>
        <w:rFonts w:ascii="Courier New" w:hAnsi="Courier New" w:cs="Courier New" w:hint="default"/>
      </w:rPr>
    </w:lvl>
    <w:lvl w:ilvl="8" w:tplc="A9A6F1EA" w:tentative="1">
      <w:start w:val="1"/>
      <w:numFmt w:val="bullet"/>
      <w:lvlText w:val=""/>
      <w:lvlJc w:val="left"/>
      <w:pPr>
        <w:ind w:left="6480" w:hanging="360"/>
      </w:pPr>
      <w:rPr>
        <w:rFonts w:ascii="Wingdings" w:hAnsi="Wingdings" w:hint="default"/>
      </w:rPr>
    </w:lvl>
  </w:abstractNum>
  <w:abstractNum w:abstractNumId="1" w15:restartNumberingAfterBreak="0">
    <w:nsid w:val="5C782180"/>
    <w:multiLevelType w:val="hybridMultilevel"/>
    <w:tmpl w:val="4E1A988C"/>
    <w:lvl w:ilvl="0" w:tplc="2A3E1450">
      <w:numFmt w:val="bullet"/>
      <w:lvlText w:val=""/>
      <w:lvlJc w:val="left"/>
      <w:pPr>
        <w:ind w:left="720" w:hanging="360"/>
      </w:pPr>
      <w:rPr>
        <w:rFonts w:ascii="Symbol" w:eastAsia="DejaVu Sans" w:hAnsi="Symbol" w:cs="Lohit Hindi" w:hint="default"/>
      </w:rPr>
    </w:lvl>
    <w:lvl w:ilvl="1" w:tplc="A8F41A5E" w:tentative="1">
      <w:start w:val="1"/>
      <w:numFmt w:val="bullet"/>
      <w:lvlText w:val="o"/>
      <w:lvlJc w:val="left"/>
      <w:pPr>
        <w:ind w:left="1440" w:hanging="360"/>
      </w:pPr>
      <w:rPr>
        <w:rFonts w:ascii="Courier New" w:hAnsi="Courier New" w:cs="Courier New" w:hint="default"/>
      </w:rPr>
    </w:lvl>
    <w:lvl w:ilvl="2" w:tplc="D2D61940" w:tentative="1">
      <w:start w:val="1"/>
      <w:numFmt w:val="bullet"/>
      <w:lvlText w:val=""/>
      <w:lvlJc w:val="left"/>
      <w:pPr>
        <w:ind w:left="2160" w:hanging="360"/>
      </w:pPr>
      <w:rPr>
        <w:rFonts w:ascii="Wingdings" w:hAnsi="Wingdings" w:hint="default"/>
      </w:rPr>
    </w:lvl>
    <w:lvl w:ilvl="3" w:tplc="046C1E0A" w:tentative="1">
      <w:start w:val="1"/>
      <w:numFmt w:val="bullet"/>
      <w:lvlText w:val=""/>
      <w:lvlJc w:val="left"/>
      <w:pPr>
        <w:ind w:left="2880" w:hanging="360"/>
      </w:pPr>
      <w:rPr>
        <w:rFonts w:ascii="Symbol" w:hAnsi="Symbol" w:hint="default"/>
      </w:rPr>
    </w:lvl>
    <w:lvl w:ilvl="4" w:tplc="CBD0640E" w:tentative="1">
      <w:start w:val="1"/>
      <w:numFmt w:val="bullet"/>
      <w:lvlText w:val="o"/>
      <w:lvlJc w:val="left"/>
      <w:pPr>
        <w:ind w:left="3600" w:hanging="360"/>
      </w:pPr>
      <w:rPr>
        <w:rFonts w:ascii="Courier New" w:hAnsi="Courier New" w:cs="Courier New" w:hint="default"/>
      </w:rPr>
    </w:lvl>
    <w:lvl w:ilvl="5" w:tplc="DF869644" w:tentative="1">
      <w:start w:val="1"/>
      <w:numFmt w:val="bullet"/>
      <w:lvlText w:val=""/>
      <w:lvlJc w:val="left"/>
      <w:pPr>
        <w:ind w:left="4320" w:hanging="360"/>
      </w:pPr>
      <w:rPr>
        <w:rFonts w:ascii="Wingdings" w:hAnsi="Wingdings" w:hint="default"/>
      </w:rPr>
    </w:lvl>
    <w:lvl w:ilvl="6" w:tplc="4DF0403E" w:tentative="1">
      <w:start w:val="1"/>
      <w:numFmt w:val="bullet"/>
      <w:lvlText w:val=""/>
      <w:lvlJc w:val="left"/>
      <w:pPr>
        <w:ind w:left="5040" w:hanging="360"/>
      </w:pPr>
      <w:rPr>
        <w:rFonts w:ascii="Symbol" w:hAnsi="Symbol" w:hint="default"/>
      </w:rPr>
    </w:lvl>
    <w:lvl w:ilvl="7" w:tplc="D8688C7C" w:tentative="1">
      <w:start w:val="1"/>
      <w:numFmt w:val="bullet"/>
      <w:lvlText w:val="o"/>
      <w:lvlJc w:val="left"/>
      <w:pPr>
        <w:ind w:left="5760" w:hanging="360"/>
      </w:pPr>
      <w:rPr>
        <w:rFonts w:ascii="Courier New" w:hAnsi="Courier New" w:cs="Courier New" w:hint="default"/>
      </w:rPr>
    </w:lvl>
    <w:lvl w:ilvl="8" w:tplc="E482CCE6" w:tentative="1">
      <w:start w:val="1"/>
      <w:numFmt w:val="bullet"/>
      <w:lvlText w:val=""/>
      <w:lvlJc w:val="left"/>
      <w:pPr>
        <w:ind w:left="6480" w:hanging="360"/>
      </w:pPr>
      <w:rPr>
        <w:rFonts w:ascii="Wingdings" w:hAnsi="Wingdings" w:hint="default"/>
      </w:rPr>
    </w:lvl>
  </w:abstractNum>
  <w:abstractNum w:abstractNumId="2" w15:restartNumberingAfterBreak="0">
    <w:nsid w:val="6BA84905"/>
    <w:multiLevelType w:val="hybridMultilevel"/>
    <w:tmpl w:val="12AA4A62"/>
    <w:lvl w:ilvl="0" w:tplc="DDA2135A">
      <w:numFmt w:val="bullet"/>
      <w:lvlText w:val=""/>
      <w:lvlJc w:val="left"/>
      <w:pPr>
        <w:ind w:left="720" w:hanging="360"/>
      </w:pPr>
      <w:rPr>
        <w:rFonts w:ascii="Symbol" w:eastAsia="DejaVu Sans" w:hAnsi="Symbol" w:cs="Lohit Hindi" w:hint="default"/>
      </w:rPr>
    </w:lvl>
    <w:lvl w:ilvl="1" w:tplc="A3A696BC" w:tentative="1">
      <w:start w:val="1"/>
      <w:numFmt w:val="bullet"/>
      <w:lvlText w:val="o"/>
      <w:lvlJc w:val="left"/>
      <w:pPr>
        <w:ind w:left="1440" w:hanging="360"/>
      </w:pPr>
      <w:rPr>
        <w:rFonts w:ascii="Courier New" w:hAnsi="Courier New" w:cs="Courier New" w:hint="default"/>
      </w:rPr>
    </w:lvl>
    <w:lvl w:ilvl="2" w:tplc="2BD28E88" w:tentative="1">
      <w:start w:val="1"/>
      <w:numFmt w:val="bullet"/>
      <w:lvlText w:val=""/>
      <w:lvlJc w:val="left"/>
      <w:pPr>
        <w:ind w:left="2160" w:hanging="360"/>
      </w:pPr>
      <w:rPr>
        <w:rFonts w:ascii="Wingdings" w:hAnsi="Wingdings" w:hint="default"/>
      </w:rPr>
    </w:lvl>
    <w:lvl w:ilvl="3" w:tplc="5E80DA22" w:tentative="1">
      <w:start w:val="1"/>
      <w:numFmt w:val="bullet"/>
      <w:lvlText w:val=""/>
      <w:lvlJc w:val="left"/>
      <w:pPr>
        <w:ind w:left="2880" w:hanging="360"/>
      </w:pPr>
      <w:rPr>
        <w:rFonts w:ascii="Symbol" w:hAnsi="Symbol" w:hint="default"/>
      </w:rPr>
    </w:lvl>
    <w:lvl w:ilvl="4" w:tplc="D5607C04" w:tentative="1">
      <w:start w:val="1"/>
      <w:numFmt w:val="bullet"/>
      <w:lvlText w:val="o"/>
      <w:lvlJc w:val="left"/>
      <w:pPr>
        <w:ind w:left="3600" w:hanging="360"/>
      </w:pPr>
      <w:rPr>
        <w:rFonts w:ascii="Courier New" w:hAnsi="Courier New" w:cs="Courier New" w:hint="default"/>
      </w:rPr>
    </w:lvl>
    <w:lvl w:ilvl="5" w:tplc="1E34F424" w:tentative="1">
      <w:start w:val="1"/>
      <w:numFmt w:val="bullet"/>
      <w:lvlText w:val=""/>
      <w:lvlJc w:val="left"/>
      <w:pPr>
        <w:ind w:left="4320" w:hanging="360"/>
      </w:pPr>
      <w:rPr>
        <w:rFonts w:ascii="Wingdings" w:hAnsi="Wingdings" w:hint="default"/>
      </w:rPr>
    </w:lvl>
    <w:lvl w:ilvl="6" w:tplc="C396C3BE" w:tentative="1">
      <w:start w:val="1"/>
      <w:numFmt w:val="bullet"/>
      <w:lvlText w:val=""/>
      <w:lvlJc w:val="left"/>
      <w:pPr>
        <w:ind w:left="5040" w:hanging="360"/>
      </w:pPr>
      <w:rPr>
        <w:rFonts w:ascii="Symbol" w:hAnsi="Symbol" w:hint="default"/>
      </w:rPr>
    </w:lvl>
    <w:lvl w:ilvl="7" w:tplc="09D22A0A" w:tentative="1">
      <w:start w:val="1"/>
      <w:numFmt w:val="bullet"/>
      <w:lvlText w:val="o"/>
      <w:lvlJc w:val="left"/>
      <w:pPr>
        <w:ind w:left="5760" w:hanging="360"/>
      </w:pPr>
      <w:rPr>
        <w:rFonts w:ascii="Courier New" w:hAnsi="Courier New" w:cs="Courier New" w:hint="default"/>
      </w:rPr>
    </w:lvl>
    <w:lvl w:ilvl="8" w:tplc="16D68534" w:tentative="1">
      <w:start w:val="1"/>
      <w:numFmt w:val="bullet"/>
      <w:lvlText w:val=""/>
      <w:lvlJc w:val="left"/>
      <w:pPr>
        <w:ind w:left="6480" w:hanging="360"/>
      </w:pPr>
      <w:rPr>
        <w:rFonts w:ascii="Wingdings" w:hAnsi="Wingdings" w:hint="default"/>
      </w:rPr>
    </w:lvl>
  </w:abstractNum>
  <w:abstractNum w:abstractNumId="3" w15:restartNumberingAfterBreak="0">
    <w:nsid w:val="6EF91DBB"/>
    <w:multiLevelType w:val="hybridMultilevel"/>
    <w:tmpl w:val="52CA9EC4"/>
    <w:lvl w:ilvl="0" w:tplc="3EDE5B78">
      <w:start w:val="1"/>
      <w:numFmt w:val="decimal"/>
      <w:lvlText w:val="%1."/>
      <w:lvlJc w:val="left"/>
      <w:pPr>
        <w:ind w:left="720" w:hanging="360"/>
      </w:pPr>
      <w:rPr>
        <w:rFonts w:hint="default"/>
      </w:rPr>
    </w:lvl>
    <w:lvl w:ilvl="1" w:tplc="914C8378" w:tentative="1">
      <w:start w:val="1"/>
      <w:numFmt w:val="lowerLetter"/>
      <w:lvlText w:val="%2."/>
      <w:lvlJc w:val="left"/>
      <w:pPr>
        <w:ind w:left="1440" w:hanging="360"/>
      </w:pPr>
    </w:lvl>
    <w:lvl w:ilvl="2" w:tplc="178247BA" w:tentative="1">
      <w:start w:val="1"/>
      <w:numFmt w:val="lowerRoman"/>
      <w:lvlText w:val="%3."/>
      <w:lvlJc w:val="right"/>
      <w:pPr>
        <w:ind w:left="2160" w:hanging="180"/>
      </w:pPr>
    </w:lvl>
    <w:lvl w:ilvl="3" w:tplc="320EB5C4" w:tentative="1">
      <w:start w:val="1"/>
      <w:numFmt w:val="decimal"/>
      <w:lvlText w:val="%4."/>
      <w:lvlJc w:val="left"/>
      <w:pPr>
        <w:ind w:left="2880" w:hanging="360"/>
      </w:pPr>
    </w:lvl>
    <w:lvl w:ilvl="4" w:tplc="9DCADBB6" w:tentative="1">
      <w:start w:val="1"/>
      <w:numFmt w:val="lowerLetter"/>
      <w:lvlText w:val="%5."/>
      <w:lvlJc w:val="left"/>
      <w:pPr>
        <w:ind w:left="3600" w:hanging="360"/>
      </w:pPr>
    </w:lvl>
    <w:lvl w:ilvl="5" w:tplc="51AEDFBC" w:tentative="1">
      <w:start w:val="1"/>
      <w:numFmt w:val="lowerRoman"/>
      <w:lvlText w:val="%6."/>
      <w:lvlJc w:val="right"/>
      <w:pPr>
        <w:ind w:left="4320" w:hanging="180"/>
      </w:pPr>
    </w:lvl>
    <w:lvl w:ilvl="6" w:tplc="EFCE4988" w:tentative="1">
      <w:start w:val="1"/>
      <w:numFmt w:val="decimal"/>
      <w:lvlText w:val="%7."/>
      <w:lvlJc w:val="left"/>
      <w:pPr>
        <w:ind w:left="5040" w:hanging="360"/>
      </w:pPr>
    </w:lvl>
    <w:lvl w:ilvl="7" w:tplc="344A5318" w:tentative="1">
      <w:start w:val="1"/>
      <w:numFmt w:val="lowerLetter"/>
      <w:lvlText w:val="%8."/>
      <w:lvlJc w:val="left"/>
      <w:pPr>
        <w:ind w:left="5760" w:hanging="360"/>
      </w:pPr>
    </w:lvl>
    <w:lvl w:ilvl="8" w:tplc="3C12FE6E" w:tentative="1">
      <w:start w:val="1"/>
      <w:numFmt w:val="lowerRoman"/>
      <w:lvlText w:val="%9."/>
      <w:lvlJc w:val="right"/>
      <w:pPr>
        <w:ind w:left="6480" w:hanging="180"/>
      </w:pPr>
    </w:lvl>
  </w:abstractNum>
  <w:num w:numId="1" w16cid:durableId="579632403">
    <w:abstractNumId w:val="0"/>
  </w:num>
  <w:num w:numId="2" w16cid:durableId="429278334">
    <w:abstractNumId w:val="2"/>
  </w:num>
  <w:num w:numId="3" w16cid:durableId="1344630114">
    <w:abstractNumId w:val="3"/>
  </w:num>
  <w:num w:numId="4" w16cid:durableId="135646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5CA"/>
    <w:rsid w:val="000211A2"/>
    <w:rsid w:val="00034261"/>
    <w:rsid w:val="000344CB"/>
    <w:rsid w:val="00050D5B"/>
    <w:rsid w:val="00055C1A"/>
    <w:rsid w:val="00060BE7"/>
    <w:rsid w:val="0009345E"/>
    <w:rsid w:val="00095E96"/>
    <w:rsid w:val="000B1832"/>
    <w:rsid w:val="000B45B1"/>
    <w:rsid w:val="000C29E1"/>
    <w:rsid w:val="000D0CCB"/>
    <w:rsid w:val="000D6D8A"/>
    <w:rsid w:val="000E2F12"/>
    <w:rsid w:val="000E54B6"/>
    <w:rsid w:val="000F33C3"/>
    <w:rsid w:val="001031C0"/>
    <w:rsid w:val="00113778"/>
    <w:rsid w:val="00115815"/>
    <w:rsid w:val="0011772F"/>
    <w:rsid w:val="00125BDF"/>
    <w:rsid w:val="00155826"/>
    <w:rsid w:val="00161E75"/>
    <w:rsid w:val="00165FA6"/>
    <w:rsid w:val="00172CD9"/>
    <w:rsid w:val="001B41E1"/>
    <w:rsid w:val="001B7303"/>
    <w:rsid w:val="001D6A7D"/>
    <w:rsid w:val="00215CB5"/>
    <w:rsid w:val="002245EF"/>
    <w:rsid w:val="00233FEF"/>
    <w:rsid w:val="00235AED"/>
    <w:rsid w:val="00241BB9"/>
    <w:rsid w:val="00297795"/>
    <w:rsid w:val="002B1D9F"/>
    <w:rsid w:val="002B504F"/>
    <w:rsid w:val="002C327A"/>
    <w:rsid w:val="002C791E"/>
    <w:rsid w:val="002F4886"/>
    <w:rsid w:val="00304DAD"/>
    <w:rsid w:val="00334C45"/>
    <w:rsid w:val="003451E2"/>
    <w:rsid w:val="00347F1B"/>
    <w:rsid w:val="00347F69"/>
    <w:rsid w:val="00374E11"/>
    <w:rsid w:val="00375380"/>
    <w:rsid w:val="00391717"/>
    <w:rsid w:val="003B287C"/>
    <w:rsid w:val="003B48D4"/>
    <w:rsid w:val="003C472B"/>
    <w:rsid w:val="003C6ED5"/>
    <w:rsid w:val="003C700C"/>
    <w:rsid w:val="003C7185"/>
    <w:rsid w:val="003D27F8"/>
    <w:rsid w:val="003F0E69"/>
    <w:rsid w:val="003F3A47"/>
    <w:rsid w:val="00405819"/>
    <w:rsid w:val="0043480A"/>
    <w:rsid w:val="00437B5F"/>
    <w:rsid w:val="004509BE"/>
    <w:rsid w:val="0045486D"/>
    <w:rsid w:val="00463DBC"/>
    <w:rsid w:val="004934A8"/>
    <w:rsid w:val="004E002B"/>
    <w:rsid w:val="004F0B09"/>
    <w:rsid w:val="00516D6A"/>
    <w:rsid w:val="00523C02"/>
    <w:rsid w:val="00544135"/>
    <w:rsid w:val="005600D7"/>
    <w:rsid w:val="00561F44"/>
    <w:rsid w:val="005677D6"/>
    <w:rsid w:val="00582E97"/>
    <w:rsid w:val="00587714"/>
    <w:rsid w:val="005C3CD4"/>
    <w:rsid w:val="005D327A"/>
    <w:rsid w:val="0063430D"/>
    <w:rsid w:val="0063555A"/>
    <w:rsid w:val="0064238A"/>
    <w:rsid w:val="0065510B"/>
    <w:rsid w:val="0068363F"/>
    <w:rsid w:val="00686885"/>
    <w:rsid w:val="006922AC"/>
    <w:rsid w:val="00694342"/>
    <w:rsid w:val="00697032"/>
    <w:rsid w:val="006A6851"/>
    <w:rsid w:val="006B16C1"/>
    <w:rsid w:val="006E45B0"/>
    <w:rsid w:val="00713ED5"/>
    <w:rsid w:val="0074764C"/>
    <w:rsid w:val="007539FC"/>
    <w:rsid w:val="00763E81"/>
    <w:rsid w:val="00776965"/>
    <w:rsid w:val="007A4F37"/>
    <w:rsid w:val="007A681B"/>
    <w:rsid w:val="007B028B"/>
    <w:rsid w:val="007B6A41"/>
    <w:rsid w:val="007D0F21"/>
    <w:rsid w:val="007D23C6"/>
    <w:rsid w:val="007E36BA"/>
    <w:rsid w:val="007E36E2"/>
    <w:rsid w:val="007F2450"/>
    <w:rsid w:val="007F380D"/>
    <w:rsid w:val="007F4A98"/>
    <w:rsid w:val="00850A3A"/>
    <w:rsid w:val="00860A6C"/>
    <w:rsid w:val="00864AC1"/>
    <w:rsid w:val="0087691C"/>
    <w:rsid w:val="00893C24"/>
    <w:rsid w:val="008A1A0D"/>
    <w:rsid w:val="008A21F4"/>
    <w:rsid w:val="008C7B3E"/>
    <w:rsid w:val="008D59C5"/>
    <w:rsid w:val="008D618A"/>
    <w:rsid w:val="008E210E"/>
    <w:rsid w:val="008E4B89"/>
    <w:rsid w:val="008F33AD"/>
    <w:rsid w:val="00930F9B"/>
    <w:rsid w:val="00960E2B"/>
    <w:rsid w:val="00985A65"/>
    <w:rsid w:val="009A31BF"/>
    <w:rsid w:val="009B2459"/>
    <w:rsid w:val="009B7639"/>
    <w:rsid w:val="009C4777"/>
    <w:rsid w:val="009D3C77"/>
    <w:rsid w:val="009D7D63"/>
    <w:rsid w:val="009F419D"/>
    <w:rsid w:val="009F77C6"/>
    <w:rsid w:val="00A17A30"/>
    <w:rsid w:val="00A20BB7"/>
    <w:rsid w:val="00A265EB"/>
    <w:rsid w:val="00A52DBE"/>
    <w:rsid w:val="00A8233A"/>
    <w:rsid w:val="00A83BE3"/>
    <w:rsid w:val="00AA61EA"/>
    <w:rsid w:val="00AE33CB"/>
    <w:rsid w:val="00AE6F5F"/>
    <w:rsid w:val="00AF6BEC"/>
    <w:rsid w:val="00B8296E"/>
    <w:rsid w:val="00B82F43"/>
    <w:rsid w:val="00B942D1"/>
    <w:rsid w:val="00BA7566"/>
    <w:rsid w:val="00BC481F"/>
    <w:rsid w:val="00BC653B"/>
    <w:rsid w:val="00BD75C1"/>
    <w:rsid w:val="00C3438D"/>
    <w:rsid w:val="00C62B6C"/>
    <w:rsid w:val="00C75F87"/>
    <w:rsid w:val="00C81260"/>
    <w:rsid w:val="00C95CA9"/>
    <w:rsid w:val="00CA061B"/>
    <w:rsid w:val="00CD4AED"/>
    <w:rsid w:val="00CD5856"/>
    <w:rsid w:val="00CE1E6F"/>
    <w:rsid w:val="00CF03FE"/>
    <w:rsid w:val="00CF0F2E"/>
    <w:rsid w:val="00CF3E82"/>
    <w:rsid w:val="00D02445"/>
    <w:rsid w:val="00D26611"/>
    <w:rsid w:val="00D54679"/>
    <w:rsid w:val="00D66C40"/>
    <w:rsid w:val="00D67BAF"/>
    <w:rsid w:val="00D8326D"/>
    <w:rsid w:val="00D95247"/>
    <w:rsid w:val="00DA15A1"/>
    <w:rsid w:val="00DC7639"/>
    <w:rsid w:val="00DE2258"/>
    <w:rsid w:val="00E14328"/>
    <w:rsid w:val="00E1490C"/>
    <w:rsid w:val="00E37122"/>
    <w:rsid w:val="00E56592"/>
    <w:rsid w:val="00E85195"/>
    <w:rsid w:val="00E87DA6"/>
    <w:rsid w:val="00E95C23"/>
    <w:rsid w:val="00EA272D"/>
    <w:rsid w:val="00EA275E"/>
    <w:rsid w:val="00EA2E75"/>
    <w:rsid w:val="00EB24A4"/>
    <w:rsid w:val="00EE23CE"/>
    <w:rsid w:val="00EE2A9D"/>
    <w:rsid w:val="00F05FCA"/>
    <w:rsid w:val="00F179BD"/>
    <w:rsid w:val="00F32EA9"/>
    <w:rsid w:val="00F56EBE"/>
    <w:rsid w:val="00F72360"/>
    <w:rsid w:val="00F847BF"/>
    <w:rsid w:val="00F87E88"/>
    <w:rsid w:val="00FB2FCD"/>
    <w:rsid w:val="00FC776C"/>
    <w:rsid w:val="00FD036B"/>
    <w:rsid w:val="00FE3A6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694342"/>
    <w:rPr>
      <w:color w:val="0000FF" w:themeColor="hyperlink"/>
      <w:u w:val="single"/>
    </w:rPr>
  </w:style>
  <w:style w:type="paragraph" w:styleId="Voetnoottekst">
    <w:name w:val="footnote text"/>
    <w:basedOn w:val="Standaard"/>
    <w:link w:val="VoetnoottekstChar"/>
    <w:uiPriority w:val="99"/>
    <w:semiHidden/>
    <w:unhideWhenUsed/>
    <w:rsid w:val="0069434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9434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694342"/>
    <w:rPr>
      <w:vertAlign w:val="superscript"/>
    </w:rPr>
  </w:style>
  <w:style w:type="paragraph" w:styleId="Lijstalinea">
    <w:name w:val="List Paragraph"/>
    <w:basedOn w:val="Standaard"/>
    <w:uiPriority w:val="34"/>
    <w:rsid w:val="00694342"/>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45492_22/" TargetMode="External"/><Relationship Id="rId1" Type="http://schemas.openxmlformats.org/officeDocument/2006/relationships/hyperlink" Target="https://wetten.overheid.nl/BWBR0020326/2025-01-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1482</ap:Words>
  <ap:Characters>8154</ap:Characters>
  <ap:DocSecurity>0</ap:DocSecurity>
  <ap:Lines>67</ap:Lines>
  <ap:Paragraphs>19</ap:Paragraphs>
  <ap:ScaleCrop>false</ap:ScaleCrop>
  <ap:LinksUpToDate>false</ap:LinksUpToDate>
  <ap:CharactersWithSpaces>9617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2026-02-09T13:18:00.0000000Z</dcterms:created>
  <dcterms:modified xsi:type="dcterms:W3CDTF">2026-02-09T13:18:00.0000000Z</dcterms:modified>
  <dc:description>------------------------</dc:description>
  <dc:subject/>
  <dc:title/>
  <keywords/>
  <version/>
  <category/>
</coreProperties>
</file>