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C20" w:rsidR="00620EA6" w:rsidP="00620EA6" w:rsidRDefault="00620EA6" w14:paraId="391A0ABA" w14:textId="77777777">
      <w:pPr>
        <w:spacing w:after="0" w:line="240" w:lineRule="auto"/>
        <w:ind w:left="2124" w:hanging="2124"/>
        <w:rPr>
          <w:rFonts w:ascii="Times New Roman" w:hAnsi="Times New Roman" w:eastAsia="Times New Roman" w:cs="Times New Roman"/>
          <w:b/>
          <w:color w:val="000000"/>
          <w:sz w:val="24"/>
          <w:szCs w:val="24"/>
          <w:lang w:eastAsia="nl-NL"/>
        </w:rPr>
      </w:pPr>
      <w:r w:rsidRPr="005C2C20">
        <w:rPr>
          <w:rFonts w:ascii="Times New Roman" w:hAnsi="Times New Roman" w:eastAsia="Times New Roman" w:cs="Times New Roman"/>
          <w:b/>
          <w:color w:val="000000"/>
          <w:sz w:val="24"/>
          <w:szCs w:val="24"/>
          <w:lang w:eastAsia="nl-NL"/>
        </w:rPr>
        <w:t>21501-31</w:t>
      </w:r>
      <w:r w:rsidRPr="005C2C20">
        <w:rPr>
          <w:rFonts w:ascii="Times New Roman" w:hAnsi="Times New Roman" w:eastAsia="Times New Roman" w:cs="Times New Roman"/>
          <w:b/>
          <w:color w:val="000000"/>
          <w:sz w:val="24"/>
          <w:szCs w:val="24"/>
          <w:lang w:eastAsia="nl-NL"/>
        </w:rPr>
        <w:tab/>
        <w:t>Raad voor de Werkgelegenheid, Sociaal Beleid, Volksgezondheid en Consumentenzaken</w:t>
      </w:r>
    </w:p>
    <w:p w:rsidRPr="005C2C20" w:rsidR="00620EA6" w:rsidP="00620EA6" w:rsidRDefault="00620EA6" w14:paraId="371A64ED" w14:textId="77777777">
      <w:pPr>
        <w:spacing w:after="0" w:line="240" w:lineRule="auto"/>
        <w:rPr>
          <w:rFonts w:ascii="Times New Roman" w:hAnsi="Times New Roman" w:eastAsia="Times New Roman" w:cs="Times New Roman"/>
          <w:b/>
          <w:color w:val="000000"/>
          <w:sz w:val="24"/>
          <w:szCs w:val="24"/>
          <w:lang w:eastAsia="nl-NL"/>
        </w:rPr>
      </w:pPr>
    </w:p>
    <w:p w:rsidRPr="005C2C20" w:rsidR="00620EA6" w:rsidP="00620EA6" w:rsidRDefault="00620EA6" w14:paraId="0A9EAC65" w14:textId="77777777">
      <w:pPr>
        <w:spacing w:after="0" w:line="240" w:lineRule="auto"/>
        <w:rPr>
          <w:rFonts w:ascii="Times New Roman" w:hAnsi="Times New Roman" w:eastAsia="Times New Roman" w:cs="Times New Roman"/>
          <w:b/>
          <w:color w:val="000000"/>
          <w:sz w:val="24"/>
          <w:szCs w:val="24"/>
          <w:lang w:eastAsia="nl-NL"/>
        </w:rPr>
      </w:pPr>
      <w:r w:rsidRPr="005C2C20">
        <w:rPr>
          <w:rFonts w:ascii="Times New Roman" w:hAnsi="Times New Roman" w:eastAsia="Times New Roman" w:cs="Times New Roman"/>
          <w:b/>
          <w:color w:val="000000"/>
          <w:sz w:val="24"/>
          <w:szCs w:val="24"/>
          <w:lang w:eastAsia="nl-NL"/>
        </w:rPr>
        <w:t xml:space="preserve">Nr. </w:t>
      </w:r>
    </w:p>
    <w:p w:rsidRPr="005C2C20" w:rsidR="00620EA6" w:rsidP="00620EA6" w:rsidRDefault="00620EA6" w14:paraId="04485F6F" w14:textId="77777777">
      <w:pPr>
        <w:spacing w:after="0" w:line="240" w:lineRule="auto"/>
        <w:rPr>
          <w:rFonts w:ascii="Times New Roman" w:hAnsi="Times New Roman" w:eastAsia="Times New Roman" w:cs="Times New Roman"/>
          <w:b/>
          <w:color w:val="000000"/>
          <w:sz w:val="24"/>
          <w:szCs w:val="24"/>
          <w:lang w:eastAsia="nl-NL"/>
        </w:rPr>
      </w:pPr>
    </w:p>
    <w:p w:rsidRPr="005C2C20" w:rsidR="00620EA6" w:rsidP="00620EA6" w:rsidRDefault="00620EA6" w14:paraId="6781D666" w14:textId="77777777">
      <w:pPr>
        <w:spacing w:after="0" w:line="240" w:lineRule="auto"/>
        <w:rPr>
          <w:rFonts w:ascii="Times New Roman" w:hAnsi="Times New Roman" w:eastAsia="Times New Roman" w:cs="Times New Roman"/>
          <w:b/>
          <w:color w:val="000000"/>
          <w:sz w:val="24"/>
          <w:szCs w:val="24"/>
          <w:lang w:eastAsia="nl-NL"/>
        </w:rPr>
      </w:pPr>
    </w:p>
    <w:p w:rsidRPr="005C2C20" w:rsidR="00620EA6" w:rsidP="00620EA6" w:rsidRDefault="00620EA6" w14:paraId="7B0B0648" w14:textId="77777777">
      <w:pPr>
        <w:spacing w:after="0" w:line="240" w:lineRule="auto"/>
        <w:rPr>
          <w:rFonts w:ascii="Times New Roman" w:hAnsi="Times New Roman" w:eastAsia="Times New Roman" w:cs="Times New Roman"/>
          <w:b/>
          <w:color w:val="000000"/>
          <w:sz w:val="24"/>
          <w:szCs w:val="24"/>
          <w:lang w:eastAsia="nl-NL"/>
        </w:rPr>
      </w:pPr>
      <w:r w:rsidRPr="005C2C20">
        <w:rPr>
          <w:rFonts w:ascii="Times New Roman" w:hAnsi="Times New Roman" w:eastAsia="Times New Roman" w:cs="Times New Roman"/>
          <w:b/>
          <w:color w:val="000000"/>
          <w:sz w:val="24"/>
          <w:szCs w:val="24"/>
          <w:lang w:eastAsia="nl-NL"/>
        </w:rPr>
        <w:t>VERSLAG VAN EEN SCHRIFTELIJK OVERLEG</w:t>
      </w:r>
    </w:p>
    <w:p w:rsidRPr="005C2C20" w:rsidR="00620EA6" w:rsidP="00620EA6" w:rsidRDefault="00620EA6" w14:paraId="70FCE254" w14:textId="77777777">
      <w:pPr>
        <w:spacing w:after="0" w:line="240" w:lineRule="auto"/>
        <w:rPr>
          <w:rFonts w:ascii="Times New Roman" w:hAnsi="Times New Roman" w:eastAsia="Times New Roman" w:cs="Times New Roman"/>
          <w:color w:val="000000"/>
          <w:sz w:val="24"/>
          <w:szCs w:val="24"/>
          <w:lang w:eastAsia="nl-NL"/>
        </w:rPr>
      </w:pPr>
      <w:r w:rsidRPr="005C2C20">
        <w:rPr>
          <w:rFonts w:ascii="Times New Roman" w:hAnsi="Times New Roman" w:eastAsia="Times New Roman" w:cs="Times New Roman"/>
          <w:color w:val="000000"/>
          <w:sz w:val="24"/>
          <w:szCs w:val="24"/>
          <w:lang w:eastAsia="nl-NL"/>
        </w:rPr>
        <w:t>Vastgesteld … 2026</w:t>
      </w:r>
    </w:p>
    <w:p w:rsidRPr="005C2C20" w:rsidR="00620EA6" w:rsidP="00620EA6" w:rsidRDefault="00620EA6" w14:paraId="30839931" w14:textId="77777777">
      <w:pPr>
        <w:spacing w:after="0" w:line="240" w:lineRule="auto"/>
        <w:rPr>
          <w:rFonts w:ascii="Times New Roman" w:hAnsi="Times New Roman" w:eastAsia="Times New Roman" w:cs="Times New Roman"/>
          <w:color w:val="000000"/>
          <w:sz w:val="24"/>
          <w:szCs w:val="24"/>
          <w:lang w:eastAsia="nl-NL"/>
        </w:rPr>
      </w:pPr>
    </w:p>
    <w:p w:rsidRPr="005C2C20" w:rsidR="00620EA6" w:rsidP="00620EA6" w:rsidRDefault="00620EA6" w14:paraId="4398BD33"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de op 2 februari 2026 ontvangen Geannoteerde Agenda Informele Raad WSB d.d. 12-13 februari 2026 te Cyprus (Kamerstuk 21501-31, nr. 810). </w:t>
      </w:r>
    </w:p>
    <w:p w:rsidRPr="005C2C20" w:rsidR="00620EA6" w:rsidP="00620EA6" w:rsidRDefault="00620EA6" w14:paraId="559F238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5C2C20" w:rsidR="00620EA6" w:rsidP="00620EA6" w:rsidRDefault="00620EA6" w14:paraId="5523796A"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Bij brief van</w:t>
      </w:r>
      <w:proofErr w:type="gramStart"/>
      <w:r w:rsidRPr="005C2C20">
        <w:rPr>
          <w:rFonts w:ascii="Times New Roman" w:hAnsi="Times New Roman" w:eastAsia="Times New Roman" w:cs="Times New Roman"/>
          <w:sz w:val="24"/>
          <w:szCs w:val="24"/>
          <w:lang w:eastAsia="nl-NL"/>
        </w:rPr>
        <w:t xml:space="preserve"> ….</w:t>
      </w:r>
      <w:proofErr w:type="gramEnd"/>
      <w:r w:rsidRPr="005C2C20">
        <w:rPr>
          <w:rFonts w:ascii="Times New Roman" w:hAnsi="Times New Roman" w:eastAsia="Times New Roman" w:cs="Times New Roman"/>
          <w:sz w:val="24"/>
          <w:szCs w:val="24"/>
          <w:lang w:eastAsia="nl-NL"/>
        </w:rPr>
        <w:t>. 2026 heeft de minister van Sociale Zaken en Werkgelegenheid deze beantwoord. De vragen en opmerkingen van de fracties en de antwoorden van de minister zijn hieronder afgedrukt.</w:t>
      </w:r>
    </w:p>
    <w:p w:rsidRPr="005C2C20" w:rsidR="00620EA6" w:rsidP="00620EA6" w:rsidRDefault="00620EA6" w14:paraId="4CF5C341" w14:textId="77777777">
      <w:pPr>
        <w:spacing w:after="0" w:line="240" w:lineRule="auto"/>
        <w:rPr>
          <w:rFonts w:ascii="Times New Roman" w:hAnsi="Times New Roman" w:eastAsia="Times New Roman" w:cs="Times New Roman"/>
          <w:sz w:val="24"/>
          <w:szCs w:val="24"/>
          <w:lang w:eastAsia="nl-NL"/>
        </w:rPr>
      </w:pPr>
    </w:p>
    <w:p w:rsidRPr="005C2C20" w:rsidR="00620EA6" w:rsidP="00620EA6" w:rsidRDefault="00620EA6" w14:paraId="0B507619"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De fungerend voorzitter van de commissie,</w:t>
      </w:r>
    </w:p>
    <w:p w:rsidRPr="005C2C20" w:rsidR="00620EA6" w:rsidP="00620EA6" w:rsidRDefault="00620EA6" w14:paraId="28CF5C9F"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Van der Burg</w:t>
      </w:r>
    </w:p>
    <w:p w:rsidRPr="005C2C20" w:rsidR="00620EA6" w:rsidP="00620EA6" w:rsidRDefault="00620EA6" w14:paraId="36211ACD" w14:textId="77777777">
      <w:pPr>
        <w:spacing w:after="0" w:line="240" w:lineRule="auto"/>
        <w:rPr>
          <w:rFonts w:ascii="Times New Roman" w:hAnsi="Times New Roman" w:eastAsia="Times New Roman" w:cs="Times New Roman"/>
          <w:sz w:val="24"/>
          <w:szCs w:val="24"/>
          <w:lang w:eastAsia="nl-NL"/>
        </w:rPr>
      </w:pPr>
    </w:p>
    <w:p w:rsidRPr="005C2C20" w:rsidR="00620EA6" w:rsidP="00620EA6" w:rsidRDefault="00620EA6" w14:paraId="2F0DF88D"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Adjunct-griffier van de commissie,</w:t>
      </w:r>
    </w:p>
    <w:p w:rsidRPr="005C2C20" w:rsidR="00620EA6" w:rsidP="00620EA6" w:rsidRDefault="00620EA6" w14:paraId="4604F70A"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Van den Broek</w:t>
      </w:r>
    </w:p>
    <w:p w:rsidRPr="005C2C20" w:rsidR="00620EA6" w:rsidP="00620EA6" w:rsidRDefault="00620EA6" w14:paraId="47860EDA" w14:textId="77777777">
      <w:pPr>
        <w:spacing w:after="0" w:line="240" w:lineRule="auto"/>
        <w:rPr>
          <w:rFonts w:ascii="Times New Roman" w:hAnsi="Times New Roman" w:eastAsia="Times New Roman" w:cs="Times New Roman"/>
          <w:b/>
          <w:sz w:val="24"/>
          <w:szCs w:val="24"/>
          <w:lang w:eastAsia="nl-NL"/>
        </w:rPr>
      </w:pPr>
    </w:p>
    <w:p w:rsidRPr="005C2C20" w:rsidR="00620EA6" w:rsidP="00620EA6" w:rsidRDefault="00620EA6" w14:paraId="7CF4A153" w14:textId="77777777">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Inhoudsopgave</w:t>
      </w:r>
    </w:p>
    <w:p w:rsidRPr="005C2C20" w:rsidR="00620EA6" w:rsidP="00620EA6" w:rsidRDefault="00620EA6" w14:paraId="4FDDEF14" w14:textId="77777777">
      <w:pPr>
        <w:spacing w:after="0" w:line="240" w:lineRule="auto"/>
        <w:rPr>
          <w:rFonts w:ascii="Times New Roman" w:hAnsi="Times New Roman" w:eastAsia="Times New Roman" w:cs="Times New Roman"/>
          <w:b/>
          <w:sz w:val="24"/>
          <w:szCs w:val="24"/>
          <w:lang w:eastAsia="nl-NL"/>
        </w:rPr>
      </w:pPr>
    </w:p>
    <w:p w:rsidRPr="005C2C20" w:rsidR="00620EA6" w:rsidP="00620EA6" w:rsidRDefault="00620EA6" w14:paraId="1029AAE9" w14:textId="77777777">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I</w:t>
      </w:r>
      <w:r w:rsidRPr="005C2C20">
        <w:rPr>
          <w:rFonts w:ascii="Times New Roman" w:hAnsi="Times New Roman" w:eastAsia="Times New Roman" w:cs="Times New Roman"/>
          <w:b/>
          <w:sz w:val="24"/>
          <w:szCs w:val="24"/>
          <w:lang w:eastAsia="nl-NL"/>
        </w:rPr>
        <w:tab/>
        <w:t>Vragen en opmerkingen vanuit de fracties</w:t>
      </w:r>
    </w:p>
    <w:p w:rsidRPr="005C2C20" w:rsidR="00620EA6" w:rsidP="00620EA6" w:rsidRDefault="00620EA6" w14:paraId="2AE25C30" w14:textId="33C0223D">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ab/>
        <w:t>Vragen en opmerkingen van de leden van de D66-fractie</w:t>
      </w:r>
      <w:r w:rsidRPr="005C2C20">
        <w:rPr>
          <w:rFonts w:ascii="Times New Roman" w:hAnsi="Times New Roman" w:eastAsia="Times New Roman" w:cs="Times New Roman"/>
          <w:b/>
          <w:sz w:val="24"/>
          <w:szCs w:val="24"/>
          <w:lang w:eastAsia="nl-NL"/>
        </w:rPr>
        <w:br/>
      </w:r>
    </w:p>
    <w:p w:rsidRPr="005C2C20" w:rsidR="5ABA6FB6" w:rsidP="009636B4" w:rsidRDefault="5ABA6FB6" w14:paraId="01AFEDA0" w14:textId="2836C02C">
      <w:pPr>
        <w:rPr>
          <w:rFonts w:ascii="Times New Roman" w:hAnsi="Times New Roman" w:eastAsia="Calibri" w:cs="Times New Roman"/>
          <w:sz w:val="24"/>
          <w:szCs w:val="24"/>
        </w:rPr>
      </w:pPr>
      <w:r w:rsidRPr="005C2C20">
        <w:rPr>
          <w:rFonts w:ascii="Times New Roman" w:hAnsi="Times New Roman" w:eastAsia="Calibri" w:cs="Times New Roman"/>
          <w:sz w:val="24"/>
          <w:szCs w:val="24"/>
        </w:rPr>
        <w:t>De leden van de D66-fractie hebben met belangstelling kennisgenomen van de stukken ten behoeve van de Informele Raad voor Werkgelegenheid en Sociaal Beleid op 12 en 13 februari 2026. Deze leden hebben naar aanleiding van de stukken enkele vragen.</w:t>
      </w:r>
    </w:p>
    <w:p w:rsidRPr="005C2C20" w:rsidR="5ABA6FB6" w:rsidP="009636B4" w:rsidRDefault="00C4206C" w14:paraId="1CC24B86" w14:textId="7307C24D">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De leden van de D66-fractie constateren dat in</w:t>
      </w:r>
      <w:r w:rsidRPr="005C2C20" w:rsidR="5ABA6FB6">
        <w:rPr>
          <w:rFonts w:ascii="Times New Roman" w:hAnsi="Times New Roman" w:eastAsia="Calibri" w:cs="Times New Roman"/>
          <w:b/>
          <w:sz w:val="24"/>
          <w:szCs w:val="24"/>
        </w:rPr>
        <w:t xml:space="preserve"> het kader van Europese Anti-Armoedestrategie vanuit het Europees Parlement onder meer de suggestie </w:t>
      </w:r>
      <w:r w:rsidRPr="005C2C20">
        <w:rPr>
          <w:rFonts w:ascii="Times New Roman" w:hAnsi="Times New Roman" w:eastAsia="Calibri" w:cs="Times New Roman"/>
          <w:b/>
          <w:sz w:val="24"/>
          <w:szCs w:val="24"/>
        </w:rPr>
        <w:t xml:space="preserve">wordt </w:t>
      </w:r>
      <w:r w:rsidRPr="005C2C20" w:rsidR="5ABA6FB6">
        <w:rPr>
          <w:rFonts w:ascii="Times New Roman" w:hAnsi="Times New Roman" w:eastAsia="Calibri" w:cs="Times New Roman"/>
          <w:b/>
          <w:sz w:val="24"/>
          <w:szCs w:val="24"/>
        </w:rPr>
        <w:t xml:space="preserve">gedaan om een </w:t>
      </w:r>
      <w:r w:rsidRPr="005C2C20">
        <w:rPr>
          <w:rFonts w:ascii="Times New Roman" w:hAnsi="Times New Roman" w:eastAsia="Calibri" w:cs="Times New Roman"/>
          <w:b/>
          <w:sz w:val="24"/>
          <w:szCs w:val="24"/>
        </w:rPr>
        <w:t>Europese Unie (</w:t>
      </w:r>
      <w:r w:rsidRPr="005C2C20" w:rsidR="5ABA6FB6">
        <w:rPr>
          <w:rFonts w:ascii="Times New Roman" w:hAnsi="Times New Roman" w:eastAsia="Calibri" w:cs="Times New Roman"/>
          <w:b/>
          <w:sz w:val="24"/>
          <w:szCs w:val="24"/>
        </w:rPr>
        <w:t>EU</w:t>
      </w:r>
      <w:r w:rsidRPr="005C2C20">
        <w:rPr>
          <w:rFonts w:ascii="Times New Roman" w:hAnsi="Times New Roman" w:eastAsia="Calibri" w:cs="Times New Roman"/>
          <w:b/>
          <w:sz w:val="24"/>
          <w:szCs w:val="24"/>
        </w:rPr>
        <w:t>-)</w:t>
      </w:r>
      <w:r w:rsidRPr="005C2C20" w:rsidR="5ABA6FB6">
        <w:rPr>
          <w:rFonts w:ascii="Times New Roman" w:hAnsi="Times New Roman" w:eastAsia="Calibri" w:cs="Times New Roman"/>
          <w:b/>
          <w:sz w:val="24"/>
          <w:szCs w:val="24"/>
        </w:rPr>
        <w:t>richtlijn te introduceren op het vlak van toereikende minimuminkomens en sociale inclusie ("</w:t>
      </w:r>
      <w:proofErr w:type="spellStart"/>
      <w:r w:rsidRPr="005C2C20" w:rsidR="5ABA6FB6">
        <w:rPr>
          <w:rFonts w:ascii="Times New Roman" w:hAnsi="Times New Roman" w:eastAsia="Calibri" w:cs="Times New Roman"/>
          <w:b/>
          <w:sz w:val="24"/>
          <w:szCs w:val="24"/>
        </w:rPr>
        <w:t>an</w:t>
      </w:r>
      <w:proofErr w:type="spellEnd"/>
      <w:r w:rsidRPr="005C2C20" w:rsidR="5ABA6FB6">
        <w:rPr>
          <w:rFonts w:ascii="Times New Roman" w:hAnsi="Times New Roman" w:eastAsia="Calibri" w:cs="Times New Roman"/>
          <w:b/>
          <w:sz w:val="24"/>
          <w:szCs w:val="24"/>
        </w:rPr>
        <w:t xml:space="preserve"> EU </w:t>
      </w:r>
      <w:proofErr w:type="spellStart"/>
      <w:r w:rsidRPr="005C2C20" w:rsidR="5ABA6FB6">
        <w:rPr>
          <w:rFonts w:ascii="Times New Roman" w:hAnsi="Times New Roman" w:eastAsia="Calibri" w:cs="Times New Roman"/>
          <w:b/>
          <w:sz w:val="24"/>
          <w:szCs w:val="24"/>
        </w:rPr>
        <w:t>directive</w:t>
      </w:r>
      <w:proofErr w:type="spellEnd"/>
      <w:r w:rsidRPr="005C2C20" w:rsidR="5ABA6FB6">
        <w:rPr>
          <w:rFonts w:ascii="Times New Roman" w:hAnsi="Times New Roman" w:eastAsia="Calibri" w:cs="Times New Roman"/>
          <w:b/>
          <w:sz w:val="24"/>
          <w:szCs w:val="24"/>
        </w:rPr>
        <w:t xml:space="preserve"> on adequate minimum </w:t>
      </w:r>
      <w:proofErr w:type="spellStart"/>
      <w:r w:rsidRPr="005C2C20" w:rsidR="5ABA6FB6">
        <w:rPr>
          <w:rFonts w:ascii="Times New Roman" w:hAnsi="Times New Roman" w:eastAsia="Calibri" w:cs="Times New Roman"/>
          <w:b/>
          <w:sz w:val="24"/>
          <w:szCs w:val="24"/>
        </w:rPr>
        <w:t>income</w:t>
      </w:r>
      <w:proofErr w:type="spellEnd"/>
      <w:r w:rsidRPr="005C2C20" w:rsidR="5ABA6FB6">
        <w:rPr>
          <w:rFonts w:ascii="Times New Roman" w:hAnsi="Times New Roman" w:eastAsia="Calibri" w:cs="Times New Roman"/>
          <w:b/>
          <w:sz w:val="24"/>
          <w:szCs w:val="24"/>
        </w:rPr>
        <w:t xml:space="preserve"> </w:t>
      </w:r>
      <w:proofErr w:type="spellStart"/>
      <w:r w:rsidRPr="005C2C20" w:rsidR="5ABA6FB6">
        <w:rPr>
          <w:rFonts w:ascii="Times New Roman" w:hAnsi="Times New Roman" w:eastAsia="Calibri" w:cs="Times New Roman"/>
          <w:b/>
          <w:sz w:val="24"/>
          <w:szCs w:val="24"/>
        </w:rPr>
        <w:t>and</w:t>
      </w:r>
      <w:proofErr w:type="spellEnd"/>
      <w:r w:rsidRPr="005C2C20" w:rsidR="5ABA6FB6">
        <w:rPr>
          <w:rFonts w:ascii="Times New Roman" w:hAnsi="Times New Roman" w:eastAsia="Calibri" w:cs="Times New Roman"/>
          <w:b/>
          <w:sz w:val="24"/>
          <w:szCs w:val="24"/>
        </w:rPr>
        <w:t xml:space="preserve"> </w:t>
      </w:r>
      <w:proofErr w:type="spellStart"/>
      <w:r w:rsidRPr="005C2C20" w:rsidR="5ABA6FB6">
        <w:rPr>
          <w:rFonts w:ascii="Times New Roman" w:hAnsi="Times New Roman" w:eastAsia="Calibri" w:cs="Times New Roman"/>
          <w:b/>
          <w:sz w:val="24"/>
          <w:szCs w:val="24"/>
        </w:rPr>
        <w:t>active</w:t>
      </w:r>
      <w:proofErr w:type="spellEnd"/>
      <w:r w:rsidRPr="005C2C20" w:rsidR="5ABA6FB6">
        <w:rPr>
          <w:rFonts w:ascii="Times New Roman" w:hAnsi="Times New Roman" w:eastAsia="Calibri" w:cs="Times New Roman"/>
          <w:b/>
          <w:sz w:val="24"/>
          <w:szCs w:val="24"/>
        </w:rPr>
        <w:t xml:space="preserve"> </w:t>
      </w:r>
      <w:proofErr w:type="spellStart"/>
      <w:r w:rsidRPr="005C2C20" w:rsidR="5ABA6FB6">
        <w:rPr>
          <w:rFonts w:ascii="Times New Roman" w:hAnsi="Times New Roman" w:eastAsia="Calibri" w:cs="Times New Roman"/>
          <w:b/>
          <w:sz w:val="24"/>
          <w:szCs w:val="24"/>
        </w:rPr>
        <w:t>social</w:t>
      </w:r>
      <w:proofErr w:type="spellEnd"/>
      <w:r w:rsidRPr="005C2C20" w:rsidR="5ABA6FB6">
        <w:rPr>
          <w:rFonts w:ascii="Times New Roman" w:hAnsi="Times New Roman" w:eastAsia="Calibri" w:cs="Times New Roman"/>
          <w:b/>
          <w:sz w:val="24"/>
          <w:szCs w:val="24"/>
        </w:rPr>
        <w:t xml:space="preserve"> </w:t>
      </w:r>
      <w:proofErr w:type="spellStart"/>
      <w:r w:rsidRPr="005C2C20" w:rsidR="5ABA6FB6">
        <w:rPr>
          <w:rFonts w:ascii="Times New Roman" w:hAnsi="Times New Roman" w:eastAsia="Calibri" w:cs="Times New Roman"/>
          <w:b/>
          <w:sz w:val="24"/>
          <w:szCs w:val="24"/>
        </w:rPr>
        <w:t>inclusion</w:t>
      </w:r>
      <w:proofErr w:type="spellEnd"/>
      <w:r w:rsidRPr="005C2C20" w:rsidR="5ABA6FB6">
        <w:rPr>
          <w:rFonts w:ascii="Times New Roman" w:hAnsi="Times New Roman" w:eastAsia="Calibri" w:cs="Times New Roman"/>
          <w:b/>
          <w:sz w:val="24"/>
          <w:szCs w:val="24"/>
        </w:rPr>
        <w:t xml:space="preserve">"). </w:t>
      </w:r>
      <w:r w:rsidRPr="005C2C20">
        <w:rPr>
          <w:rFonts w:ascii="Times New Roman" w:hAnsi="Times New Roman" w:eastAsia="Calibri" w:cs="Times New Roman"/>
          <w:b/>
          <w:sz w:val="24"/>
          <w:szCs w:val="24"/>
        </w:rPr>
        <w:t xml:space="preserve">Deze leden </w:t>
      </w:r>
      <w:r w:rsidRPr="005C2C20" w:rsidR="5ABA6FB6">
        <w:rPr>
          <w:rFonts w:ascii="Times New Roman" w:hAnsi="Times New Roman" w:eastAsia="Calibri" w:cs="Times New Roman"/>
          <w:b/>
          <w:sz w:val="24"/>
          <w:szCs w:val="24"/>
        </w:rPr>
        <w:t xml:space="preserve">vragen hoe de </w:t>
      </w:r>
      <w:r w:rsidRPr="005C2C20">
        <w:rPr>
          <w:rFonts w:ascii="Times New Roman" w:hAnsi="Times New Roman" w:eastAsia="Calibri" w:cs="Times New Roman"/>
          <w:b/>
          <w:sz w:val="24"/>
          <w:szCs w:val="24"/>
        </w:rPr>
        <w:t>minister</w:t>
      </w:r>
      <w:r w:rsidRPr="005C2C20" w:rsidR="5ABA6FB6">
        <w:rPr>
          <w:rFonts w:ascii="Times New Roman" w:hAnsi="Times New Roman" w:eastAsia="Calibri" w:cs="Times New Roman"/>
          <w:b/>
          <w:sz w:val="24"/>
          <w:szCs w:val="24"/>
        </w:rPr>
        <w:t xml:space="preserve"> aankijkt tegen een mogelijk richtlijn over toereikend inkomen. Hoe zou een dergelijke leidraad zich bijvoorbeeld verhouden tot de recent aangenomen Wet implementatie EU-richtlijn toereikende minimumlonen en de hieraan ten grondslag liggende richtlijn, zo vragen deze leden. Gaat het om een soortgelijk mechanisme of zijn de details onvoldoende uitgewerkt om hierover uitspraken te kunnen doen?  </w:t>
      </w:r>
    </w:p>
    <w:p w:rsidRPr="005C2C20" w:rsidR="5ABA6FB6" w:rsidP="009636B4" w:rsidRDefault="5ABA6FB6" w14:paraId="3C50EB6D" w14:textId="13BA6196">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 xml:space="preserve">Uit de beraadslagingen lezen </w:t>
      </w:r>
      <w:r w:rsidRPr="005C2C20" w:rsidR="00896CE5">
        <w:rPr>
          <w:rFonts w:ascii="Times New Roman" w:hAnsi="Times New Roman" w:eastAsia="Calibri" w:cs="Times New Roman"/>
          <w:b/>
          <w:sz w:val="24"/>
          <w:szCs w:val="24"/>
        </w:rPr>
        <w:t>deze</w:t>
      </w:r>
      <w:r w:rsidRPr="005C2C20">
        <w:rPr>
          <w:rFonts w:ascii="Times New Roman" w:hAnsi="Times New Roman" w:eastAsia="Calibri" w:cs="Times New Roman"/>
          <w:b/>
          <w:sz w:val="24"/>
          <w:szCs w:val="24"/>
        </w:rPr>
        <w:t xml:space="preserve"> leden voorts dat eerdere voorstellen en teksten rondom de eerlijke verdeling van inkomen en vermogen zijn afgezwakt. </w:t>
      </w:r>
      <w:r w:rsidRPr="005C2C20" w:rsidR="00896CE5">
        <w:rPr>
          <w:rFonts w:ascii="Times New Roman" w:hAnsi="Times New Roman" w:eastAsia="Calibri" w:cs="Times New Roman"/>
          <w:b/>
          <w:sz w:val="24"/>
          <w:szCs w:val="24"/>
        </w:rPr>
        <w:t>Deze</w:t>
      </w:r>
      <w:r w:rsidRPr="005C2C20">
        <w:rPr>
          <w:rFonts w:ascii="Times New Roman" w:hAnsi="Times New Roman" w:eastAsia="Calibri" w:cs="Times New Roman"/>
          <w:b/>
          <w:sz w:val="24"/>
          <w:szCs w:val="24"/>
        </w:rPr>
        <w:t xml:space="preserve"> leden vragen wat de </w:t>
      </w:r>
      <w:r w:rsidRPr="005C2C20" w:rsidR="00896CE5">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vindt van het al dan niet opnemen van voorstellen rondom inkomens- en vermogensongelijkheid.</w:t>
      </w:r>
    </w:p>
    <w:p w:rsidRPr="005C2C20" w:rsidR="004D600A" w:rsidP="009636B4" w:rsidRDefault="004D600A" w14:paraId="4D60CC64" w14:textId="77777777">
      <w:pPr>
        <w:rPr>
          <w:rFonts w:ascii="Times New Roman" w:hAnsi="Times New Roman" w:eastAsia="Calibri" w:cs="Times New Roman"/>
          <w:b/>
          <w:sz w:val="24"/>
          <w:szCs w:val="24"/>
        </w:rPr>
      </w:pPr>
    </w:p>
    <w:p w:rsidR="00E62203" w:rsidP="009636B4" w:rsidRDefault="00DE4F95" w14:paraId="5DECBDC3" w14:textId="0791201B">
      <w:pPr>
        <w:rPr>
          <w:rFonts w:ascii="Times New Roman" w:hAnsi="Times New Roman" w:eastAsia="Calibri" w:cs="Times New Roman"/>
          <w:sz w:val="24"/>
          <w:szCs w:val="24"/>
        </w:rPr>
      </w:pPr>
      <w:r w:rsidRPr="005C2C20">
        <w:rPr>
          <w:rFonts w:ascii="Times New Roman" w:hAnsi="Times New Roman" w:eastAsia="Calibri" w:cs="Times New Roman"/>
          <w:sz w:val="24"/>
          <w:szCs w:val="24"/>
        </w:rPr>
        <w:lastRenderedPageBreak/>
        <w:t>De</w:t>
      </w:r>
      <w:r w:rsidRPr="005C2C20" w:rsidR="00AF3183">
        <w:rPr>
          <w:rFonts w:ascii="Times New Roman" w:hAnsi="Times New Roman" w:eastAsia="Calibri" w:cs="Times New Roman"/>
          <w:sz w:val="24"/>
          <w:szCs w:val="24"/>
        </w:rPr>
        <w:t xml:space="preserve"> </w:t>
      </w:r>
      <w:r w:rsidR="00E62203">
        <w:rPr>
          <w:rFonts w:ascii="Times New Roman" w:hAnsi="Times New Roman" w:eastAsia="Calibri" w:cs="Times New Roman"/>
          <w:sz w:val="24"/>
          <w:szCs w:val="24"/>
        </w:rPr>
        <w:t>publicatie</w:t>
      </w:r>
      <w:r w:rsidRPr="005C2C20" w:rsidR="00E62203">
        <w:rPr>
          <w:rFonts w:ascii="Times New Roman" w:hAnsi="Times New Roman" w:eastAsia="Calibri" w:cs="Times New Roman"/>
          <w:sz w:val="24"/>
          <w:szCs w:val="24"/>
        </w:rPr>
        <w:t xml:space="preserve"> </w:t>
      </w:r>
      <w:r w:rsidRPr="005C2C20" w:rsidR="009040FA">
        <w:rPr>
          <w:rFonts w:ascii="Times New Roman" w:hAnsi="Times New Roman" w:eastAsia="Calibri" w:cs="Times New Roman"/>
          <w:sz w:val="24"/>
          <w:szCs w:val="24"/>
        </w:rPr>
        <w:t>van een nieuwe</w:t>
      </w:r>
      <w:r w:rsidR="004347CA">
        <w:rPr>
          <w:rFonts w:ascii="Times New Roman" w:hAnsi="Times New Roman" w:eastAsia="Calibri" w:cs="Times New Roman"/>
          <w:sz w:val="24"/>
          <w:szCs w:val="24"/>
        </w:rPr>
        <w:t xml:space="preserve"> </w:t>
      </w:r>
      <w:r w:rsidRPr="005C2C20" w:rsidR="009040FA">
        <w:rPr>
          <w:rFonts w:ascii="Times New Roman" w:hAnsi="Times New Roman" w:eastAsia="Calibri" w:cs="Times New Roman"/>
          <w:sz w:val="24"/>
          <w:szCs w:val="24"/>
        </w:rPr>
        <w:t xml:space="preserve">Richtlijn </w:t>
      </w:r>
      <w:r w:rsidRPr="005C2C20">
        <w:rPr>
          <w:rFonts w:ascii="Times New Roman" w:hAnsi="Times New Roman" w:eastAsia="Calibri" w:cs="Times New Roman"/>
          <w:sz w:val="24"/>
          <w:szCs w:val="24"/>
        </w:rPr>
        <w:t xml:space="preserve">is </w:t>
      </w:r>
      <w:r w:rsidRPr="005C2C20" w:rsidR="004D600A">
        <w:rPr>
          <w:rFonts w:ascii="Times New Roman" w:hAnsi="Times New Roman" w:eastAsia="Calibri" w:cs="Times New Roman"/>
          <w:sz w:val="24"/>
          <w:szCs w:val="24"/>
        </w:rPr>
        <w:t xml:space="preserve">voor zover bekend </w:t>
      </w:r>
      <w:r w:rsidRPr="005C2C20">
        <w:rPr>
          <w:rFonts w:ascii="Times New Roman" w:hAnsi="Times New Roman" w:eastAsia="Calibri" w:cs="Times New Roman"/>
          <w:sz w:val="24"/>
          <w:szCs w:val="24"/>
        </w:rPr>
        <w:t>niet aan de orde</w:t>
      </w:r>
      <w:r w:rsidRPr="005C2C20" w:rsidR="00AF3183">
        <w:rPr>
          <w:rFonts w:ascii="Times New Roman" w:hAnsi="Times New Roman" w:eastAsia="Calibri" w:cs="Times New Roman"/>
          <w:sz w:val="24"/>
          <w:szCs w:val="24"/>
        </w:rPr>
        <w:t xml:space="preserve">. </w:t>
      </w:r>
      <w:r w:rsidR="00E62203">
        <w:rPr>
          <w:rFonts w:ascii="Times New Roman" w:hAnsi="Times New Roman" w:eastAsia="Calibri" w:cs="Times New Roman"/>
          <w:sz w:val="24"/>
          <w:szCs w:val="24"/>
        </w:rPr>
        <w:t>De Europese Commissie heeft in de bijlage bij het Commissiewerkprogramma gesteld dat de EU-strategie tegen armoede niet-wetgevend van aard zal zijn.</w:t>
      </w:r>
      <w:r w:rsidR="00E62203">
        <w:rPr>
          <w:rStyle w:val="Voetnootmarkering"/>
          <w:rFonts w:ascii="Times New Roman" w:hAnsi="Times New Roman" w:eastAsia="Calibri" w:cs="Times New Roman"/>
          <w:sz w:val="24"/>
          <w:szCs w:val="24"/>
        </w:rPr>
        <w:footnoteReference w:id="2"/>
      </w:r>
      <w:r w:rsidR="00E62203">
        <w:rPr>
          <w:rFonts w:ascii="Times New Roman" w:hAnsi="Times New Roman" w:eastAsia="Calibri" w:cs="Times New Roman"/>
          <w:sz w:val="24"/>
          <w:szCs w:val="24"/>
        </w:rPr>
        <w:t xml:space="preserve"> </w:t>
      </w:r>
    </w:p>
    <w:p w:rsidR="00097046" w:rsidP="009636B4" w:rsidRDefault="00F8771F" w14:paraId="2E06C9FD" w14:textId="5ADFA4E7">
      <w:pPr>
        <w:rPr>
          <w:rFonts w:ascii="Times New Roman" w:hAnsi="Times New Roman" w:eastAsia="Calibri" w:cs="Times New Roman"/>
          <w:sz w:val="24"/>
          <w:szCs w:val="24"/>
        </w:rPr>
      </w:pPr>
      <w:r>
        <w:rPr>
          <w:rFonts w:ascii="Times New Roman" w:hAnsi="Times New Roman" w:eastAsia="Calibri" w:cs="Times New Roman"/>
          <w:sz w:val="24"/>
          <w:szCs w:val="24"/>
        </w:rPr>
        <w:t>I</w:t>
      </w:r>
      <w:r w:rsidR="00E62203">
        <w:rPr>
          <w:rFonts w:ascii="Times New Roman" w:hAnsi="Times New Roman" w:eastAsia="Calibri" w:cs="Times New Roman"/>
          <w:sz w:val="24"/>
          <w:szCs w:val="24"/>
        </w:rPr>
        <w:t xml:space="preserve">n EU-verband </w:t>
      </w:r>
      <w:r>
        <w:rPr>
          <w:rFonts w:ascii="Times New Roman" w:hAnsi="Times New Roman" w:eastAsia="Calibri" w:cs="Times New Roman"/>
          <w:sz w:val="24"/>
          <w:szCs w:val="24"/>
        </w:rPr>
        <w:t xml:space="preserve">wordt </w:t>
      </w:r>
      <w:r w:rsidR="00E62203">
        <w:rPr>
          <w:rFonts w:ascii="Times New Roman" w:hAnsi="Times New Roman" w:eastAsia="Calibri" w:cs="Times New Roman"/>
          <w:sz w:val="24"/>
          <w:szCs w:val="24"/>
        </w:rPr>
        <w:t xml:space="preserve">vaker gesproken over bijstandsstelsels </w:t>
      </w:r>
      <w:r w:rsidR="00097046">
        <w:rPr>
          <w:rFonts w:ascii="Times New Roman" w:hAnsi="Times New Roman" w:eastAsia="Calibri" w:cs="Times New Roman"/>
          <w:sz w:val="24"/>
          <w:szCs w:val="24"/>
        </w:rPr>
        <w:t>en sociale inclusie.</w:t>
      </w:r>
      <w:r w:rsidR="00943B15">
        <w:rPr>
          <w:rFonts w:ascii="Times New Roman" w:hAnsi="Times New Roman" w:eastAsia="Calibri" w:cs="Times New Roman"/>
          <w:sz w:val="24"/>
          <w:szCs w:val="24"/>
        </w:rPr>
        <w:t xml:space="preserve"> </w:t>
      </w:r>
      <w:r w:rsidRPr="005C2C20" w:rsidR="00943B15">
        <w:rPr>
          <w:rFonts w:ascii="Times New Roman" w:hAnsi="Times New Roman" w:eastAsia="Calibri" w:cs="Times New Roman"/>
          <w:sz w:val="24"/>
          <w:szCs w:val="24"/>
        </w:rPr>
        <w:t>Door het stimuleren van effectieve kennisdeling op dit gebied kunnen lidstaten van elkaar leren.</w:t>
      </w:r>
      <w:r w:rsidR="00097046">
        <w:rPr>
          <w:rFonts w:ascii="Times New Roman" w:hAnsi="Times New Roman" w:eastAsia="Calibri" w:cs="Times New Roman"/>
          <w:sz w:val="24"/>
          <w:szCs w:val="24"/>
        </w:rPr>
        <w:t xml:space="preserve"> Zo is t</w:t>
      </w:r>
      <w:r w:rsidR="00E62203">
        <w:rPr>
          <w:rFonts w:ascii="Times New Roman" w:hAnsi="Times New Roman" w:eastAsia="Calibri" w:cs="Times New Roman"/>
          <w:sz w:val="24"/>
          <w:szCs w:val="24"/>
        </w:rPr>
        <w:t>ijdens</w:t>
      </w:r>
      <w:r w:rsidRPr="005C2C20" w:rsidR="004D600A">
        <w:rPr>
          <w:rFonts w:ascii="Times New Roman" w:hAnsi="Times New Roman" w:eastAsia="Calibri" w:cs="Times New Roman"/>
          <w:sz w:val="24"/>
          <w:szCs w:val="24"/>
        </w:rPr>
        <w:t xml:space="preserve"> </w:t>
      </w:r>
      <w:r w:rsidRPr="005C2C20" w:rsidR="00AF3183">
        <w:rPr>
          <w:rFonts w:ascii="Times New Roman" w:hAnsi="Times New Roman" w:eastAsia="Calibri" w:cs="Times New Roman"/>
          <w:sz w:val="24"/>
          <w:szCs w:val="24"/>
        </w:rPr>
        <w:t xml:space="preserve">de Raad WSB </w:t>
      </w:r>
      <w:r w:rsidRPr="005C2C20" w:rsidR="004D600A">
        <w:rPr>
          <w:rFonts w:ascii="Times New Roman" w:hAnsi="Times New Roman" w:eastAsia="Calibri" w:cs="Times New Roman"/>
          <w:sz w:val="24"/>
          <w:szCs w:val="24"/>
        </w:rPr>
        <w:t>van</w:t>
      </w:r>
      <w:r w:rsidRPr="005C2C20" w:rsidR="00AF3183">
        <w:rPr>
          <w:rFonts w:ascii="Times New Roman" w:hAnsi="Times New Roman" w:eastAsia="Calibri" w:cs="Times New Roman"/>
          <w:sz w:val="24"/>
          <w:szCs w:val="24"/>
        </w:rPr>
        <w:t xml:space="preserve"> 1 december jl. het eerste rapport over de stand van </w:t>
      </w:r>
      <w:r w:rsidRPr="005C2C20" w:rsidR="004D600A">
        <w:rPr>
          <w:rFonts w:ascii="Times New Roman" w:hAnsi="Times New Roman" w:eastAsia="Calibri" w:cs="Times New Roman"/>
          <w:sz w:val="24"/>
          <w:szCs w:val="24"/>
        </w:rPr>
        <w:t xml:space="preserve">de 27 </w:t>
      </w:r>
      <w:r w:rsidRPr="005C2C20" w:rsidR="00AF3183">
        <w:rPr>
          <w:rFonts w:ascii="Times New Roman" w:hAnsi="Times New Roman" w:eastAsia="Calibri" w:cs="Times New Roman"/>
          <w:sz w:val="24"/>
          <w:szCs w:val="24"/>
        </w:rPr>
        <w:t xml:space="preserve">sociale </w:t>
      </w:r>
      <w:r w:rsidR="00AF3183">
        <w:rPr>
          <w:rFonts w:ascii="Times New Roman" w:hAnsi="Times New Roman" w:eastAsia="Calibri" w:cs="Times New Roman"/>
          <w:sz w:val="24"/>
          <w:szCs w:val="24"/>
        </w:rPr>
        <w:t>bijstand</w:t>
      </w:r>
      <w:r>
        <w:rPr>
          <w:rFonts w:ascii="Times New Roman" w:hAnsi="Times New Roman" w:eastAsia="Calibri" w:cs="Times New Roman"/>
          <w:sz w:val="24"/>
          <w:szCs w:val="24"/>
        </w:rPr>
        <w:t>s</w:t>
      </w:r>
      <w:r w:rsidR="00AF3183">
        <w:rPr>
          <w:rFonts w:ascii="Times New Roman" w:hAnsi="Times New Roman" w:eastAsia="Calibri" w:cs="Times New Roman"/>
          <w:sz w:val="24"/>
          <w:szCs w:val="24"/>
        </w:rPr>
        <w:t>stelsels</w:t>
      </w:r>
      <w:r w:rsidRPr="005C2C20" w:rsidR="00DE4F95">
        <w:rPr>
          <w:rStyle w:val="Voetnootmarkering"/>
          <w:rFonts w:ascii="Times New Roman" w:hAnsi="Times New Roman" w:eastAsia="Calibri" w:cs="Times New Roman"/>
          <w:sz w:val="24"/>
          <w:szCs w:val="24"/>
        </w:rPr>
        <w:footnoteReference w:id="3"/>
      </w:r>
      <w:r w:rsidRPr="005C2C20" w:rsidR="00AF3183">
        <w:rPr>
          <w:rFonts w:ascii="Times New Roman" w:hAnsi="Times New Roman" w:eastAsia="Calibri" w:cs="Times New Roman"/>
          <w:sz w:val="24"/>
          <w:szCs w:val="24"/>
        </w:rPr>
        <w:t xml:space="preserve"> besproken, </w:t>
      </w:r>
      <w:r w:rsidRPr="005C2C20" w:rsidR="004D600A">
        <w:rPr>
          <w:rFonts w:ascii="Times New Roman" w:hAnsi="Times New Roman" w:eastAsia="Calibri" w:cs="Times New Roman"/>
          <w:sz w:val="24"/>
          <w:szCs w:val="24"/>
        </w:rPr>
        <w:t xml:space="preserve">op basis van de </w:t>
      </w:r>
      <w:r w:rsidRPr="005C2C20" w:rsidR="00AF3183">
        <w:rPr>
          <w:rFonts w:ascii="Times New Roman" w:hAnsi="Times New Roman" w:eastAsia="Calibri" w:cs="Times New Roman"/>
          <w:sz w:val="24"/>
          <w:szCs w:val="24"/>
        </w:rPr>
        <w:t>Raadsaanbeveling</w:t>
      </w:r>
      <w:r w:rsidRPr="005C2C20" w:rsidR="00244631">
        <w:rPr>
          <w:rStyle w:val="Voetnootmarkering"/>
          <w:rFonts w:ascii="Times New Roman" w:hAnsi="Times New Roman" w:eastAsia="Calibri" w:cs="Times New Roman"/>
          <w:sz w:val="24"/>
          <w:szCs w:val="24"/>
        </w:rPr>
        <w:footnoteReference w:id="4"/>
      </w:r>
      <w:r w:rsidRPr="005C2C20" w:rsidR="00AF3183">
        <w:rPr>
          <w:rFonts w:ascii="Times New Roman" w:hAnsi="Times New Roman" w:eastAsia="Calibri" w:cs="Times New Roman"/>
          <w:sz w:val="24"/>
          <w:szCs w:val="24"/>
        </w:rPr>
        <w:t xml:space="preserve"> </w:t>
      </w:r>
      <w:r w:rsidRPr="005C2C20" w:rsidR="004D600A">
        <w:rPr>
          <w:rFonts w:ascii="Times New Roman" w:hAnsi="Times New Roman" w:eastAsia="Calibri" w:cs="Times New Roman"/>
          <w:sz w:val="24"/>
          <w:szCs w:val="24"/>
        </w:rPr>
        <w:t xml:space="preserve">die de Raad WSB in 2023 hierover </w:t>
      </w:r>
      <w:r w:rsidRPr="005C2C20" w:rsidR="00AF3183">
        <w:rPr>
          <w:rFonts w:ascii="Times New Roman" w:hAnsi="Times New Roman" w:eastAsia="Calibri" w:cs="Times New Roman"/>
          <w:sz w:val="24"/>
          <w:szCs w:val="24"/>
        </w:rPr>
        <w:t>aannam. Zoals toegelicht in de Geannoteerde Agenda</w:t>
      </w:r>
      <w:r w:rsidRPr="005C2C20" w:rsidR="00244631">
        <w:rPr>
          <w:rStyle w:val="Voetnootmarkering"/>
          <w:rFonts w:ascii="Times New Roman" w:hAnsi="Times New Roman" w:eastAsia="Calibri" w:cs="Times New Roman"/>
          <w:sz w:val="24"/>
          <w:szCs w:val="24"/>
        </w:rPr>
        <w:footnoteReference w:id="5"/>
      </w:r>
      <w:r w:rsidRPr="005C2C20" w:rsidR="00AF3183">
        <w:rPr>
          <w:rFonts w:ascii="Times New Roman" w:hAnsi="Times New Roman" w:eastAsia="Calibri" w:cs="Times New Roman"/>
          <w:sz w:val="24"/>
          <w:szCs w:val="24"/>
        </w:rPr>
        <w:t xml:space="preserve"> en het daaropvolgend verslag</w:t>
      </w:r>
      <w:r w:rsidRPr="005C2C20" w:rsidR="00244631">
        <w:rPr>
          <w:rStyle w:val="Voetnootmarkering"/>
          <w:rFonts w:ascii="Times New Roman" w:hAnsi="Times New Roman" w:eastAsia="Calibri" w:cs="Times New Roman"/>
          <w:sz w:val="24"/>
          <w:szCs w:val="24"/>
        </w:rPr>
        <w:footnoteReference w:id="6"/>
      </w:r>
      <w:r w:rsidRPr="005C2C20" w:rsidR="00AF3183">
        <w:rPr>
          <w:rFonts w:ascii="Times New Roman" w:hAnsi="Times New Roman" w:eastAsia="Calibri" w:cs="Times New Roman"/>
          <w:sz w:val="24"/>
          <w:szCs w:val="24"/>
        </w:rPr>
        <w:t xml:space="preserve"> kon Nederland zich in de aangenomen kernboodschappen vinden. Het ging hierbij onder andere om het erkennen van het belang van een adequaat niveau van minimuminkomensondersteuning bij het bestrijden van armoede en sociale uitsluiting. </w:t>
      </w:r>
      <w:r w:rsidRPr="005C2C20" w:rsidR="00DE4F95">
        <w:rPr>
          <w:rFonts w:ascii="Times New Roman" w:hAnsi="Times New Roman" w:eastAsia="Calibri" w:cs="Times New Roman"/>
          <w:sz w:val="24"/>
          <w:szCs w:val="24"/>
        </w:rPr>
        <w:t xml:space="preserve">Ook </w:t>
      </w:r>
      <w:r w:rsidRPr="005C2C20" w:rsidR="00244631">
        <w:rPr>
          <w:rFonts w:ascii="Times New Roman" w:hAnsi="Times New Roman" w:eastAsia="Calibri" w:cs="Times New Roman"/>
          <w:sz w:val="24"/>
          <w:szCs w:val="24"/>
        </w:rPr>
        <w:t xml:space="preserve">omarmde de Raad </w:t>
      </w:r>
      <w:r w:rsidRPr="005C2C20" w:rsidR="00DE4F95">
        <w:rPr>
          <w:rFonts w:ascii="Times New Roman" w:hAnsi="Times New Roman" w:eastAsia="Calibri" w:cs="Times New Roman"/>
          <w:sz w:val="24"/>
          <w:szCs w:val="24"/>
        </w:rPr>
        <w:t xml:space="preserve">de oproep om </w:t>
      </w:r>
      <w:r w:rsidRPr="005C2C20" w:rsidR="00AF3183">
        <w:rPr>
          <w:rFonts w:ascii="Times New Roman" w:hAnsi="Times New Roman" w:eastAsia="Calibri" w:cs="Times New Roman"/>
          <w:sz w:val="24"/>
          <w:szCs w:val="24"/>
        </w:rPr>
        <w:t xml:space="preserve">werk te maken van de geïdentificeerde uitdagingen om het EU-doel </w:t>
      </w:r>
      <w:r w:rsidR="00097046">
        <w:rPr>
          <w:rFonts w:ascii="Times New Roman" w:hAnsi="Times New Roman" w:eastAsia="Calibri" w:cs="Times New Roman"/>
          <w:sz w:val="24"/>
          <w:szCs w:val="24"/>
        </w:rPr>
        <w:t>te halen</w:t>
      </w:r>
      <w:r w:rsidRPr="00AF3183" w:rsidR="00AF3183">
        <w:rPr>
          <w:rFonts w:ascii="Times New Roman" w:hAnsi="Times New Roman" w:eastAsia="Calibri" w:cs="Times New Roman"/>
          <w:sz w:val="24"/>
          <w:szCs w:val="24"/>
        </w:rPr>
        <w:t xml:space="preserve"> </w:t>
      </w:r>
      <w:r w:rsidRPr="005C2C20" w:rsidR="00AF3183">
        <w:rPr>
          <w:rFonts w:ascii="Times New Roman" w:hAnsi="Times New Roman" w:eastAsia="Calibri" w:cs="Times New Roman"/>
          <w:sz w:val="24"/>
          <w:szCs w:val="24"/>
        </w:rPr>
        <w:t>om het aantal mensen met risico op armoede en sociale uitsluiting te verlagen met minstens 15 miljoen in 2030.</w:t>
      </w:r>
    </w:p>
    <w:p w:rsidR="00097046" w:rsidP="009636B4" w:rsidRDefault="00DE4F95" w14:paraId="1C42633B" w14:textId="69258893">
      <w:pPr>
        <w:rPr>
          <w:rFonts w:ascii="Times New Roman" w:hAnsi="Times New Roman" w:eastAsia="Calibri" w:cs="Times New Roman"/>
          <w:sz w:val="24"/>
          <w:szCs w:val="24"/>
        </w:rPr>
      </w:pPr>
      <w:r w:rsidRPr="005C2C20">
        <w:rPr>
          <w:rFonts w:ascii="Times New Roman" w:hAnsi="Times New Roman" w:eastAsia="Calibri" w:cs="Times New Roman"/>
          <w:sz w:val="24"/>
          <w:szCs w:val="24"/>
        </w:rPr>
        <w:t>Het kabinet blijft zich</w:t>
      </w:r>
      <w:r w:rsidRPr="005C2C20" w:rsidR="00AF3183">
        <w:rPr>
          <w:rFonts w:ascii="Times New Roman" w:hAnsi="Times New Roman" w:eastAsia="Calibri" w:cs="Times New Roman"/>
          <w:sz w:val="24"/>
          <w:szCs w:val="24"/>
        </w:rPr>
        <w:t xml:space="preserve"> </w:t>
      </w:r>
      <w:r w:rsidRPr="005C2C20" w:rsidR="00244631">
        <w:rPr>
          <w:rFonts w:ascii="Times New Roman" w:hAnsi="Times New Roman" w:eastAsia="Calibri" w:cs="Times New Roman"/>
          <w:sz w:val="24"/>
          <w:szCs w:val="24"/>
        </w:rPr>
        <w:t xml:space="preserve">in Nederland </w:t>
      </w:r>
      <w:r w:rsidRPr="005C2C20" w:rsidR="00AF3183">
        <w:rPr>
          <w:rFonts w:ascii="Times New Roman" w:hAnsi="Times New Roman" w:eastAsia="Calibri" w:cs="Times New Roman"/>
          <w:sz w:val="24"/>
          <w:szCs w:val="24"/>
        </w:rPr>
        <w:t>in</w:t>
      </w:r>
      <w:r w:rsidRPr="005C2C20">
        <w:rPr>
          <w:rFonts w:ascii="Times New Roman" w:hAnsi="Times New Roman" w:eastAsia="Calibri" w:cs="Times New Roman"/>
          <w:sz w:val="24"/>
          <w:szCs w:val="24"/>
        </w:rPr>
        <w:t>zetten</w:t>
      </w:r>
      <w:r w:rsidRPr="005C2C20" w:rsidR="00AF3183">
        <w:rPr>
          <w:rFonts w:ascii="Times New Roman" w:hAnsi="Times New Roman" w:eastAsia="Calibri" w:cs="Times New Roman"/>
          <w:sz w:val="24"/>
          <w:szCs w:val="24"/>
        </w:rPr>
        <w:t xml:space="preserve"> voor het vergroten van de bestaanszekerheid van mensen</w:t>
      </w:r>
      <w:r w:rsidRPr="005C2C20">
        <w:rPr>
          <w:rFonts w:ascii="Times New Roman" w:hAnsi="Times New Roman" w:eastAsia="Calibri" w:cs="Times New Roman"/>
          <w:sz w:val="24"/>
          <w:szCs w:val="24"/>
        </w:rPr>
        <w:t xml:space="preserve"> en is van mening dat de </w:t>
      </w:r>
      <w:r w:rsidRPr="005C2C20" w:rsidR="00AF3183">
        <w:rPr>
          <w:rFonts w:ascii="Times New Roman" w:hAnsi="Times New Roman" w:eastAsia="Calibri" w:cs="Times New Roman"/>
          <w:sz w:val="24"/>
          <w:szCs w:val="24"/>
        </w:rPr>
        <w:t xml:space="preserve">opstap naar werk de beste weg uit armoede is en </w:t>
      </w:r>
      <w:r w:rsidR="00F8771F">
        <w:rPr>
          <w:rFonts w:ascii="Times New Roman" w:hAnsi="Times New Roman" w:eastAsia="Calibri" w:cs="Times New Roman"/>
          <w:sz w:val="24"/>
          <w:szCs w:val="24"/>
        </w:rPr>
        <w:t xml:space="preserve">dat </w:t>
      </w:r>
      <w:r w:rsidRPr="005C2C20" w:rsidR="00AF3183">
        <w:rPr>
          <w:rFonts w:ascii="Times New Roman" w:hAnsi="Times New Roman" w:eastAsia="Calibri" w:cs="Times New Roman"/>
          <w:sz w:val="24"/>
          <w:szCs w:val="24"/>
        </w:rPr>
        <w:t>daarom (meer) werken meer moet lonen. Het kabinet werkt daarnaast aan verdere vereenvoudiging van de inkomensondersteuning</w:t>
      </w:r>
      <w:r w:rsidRPr="005C2C20" w:rsidR="00244631">
        <w:rPr>
          <w:rFonts w:ascii="Times New Roman" w:hAnsi="Times New Roman" w:eastAsia="Calibri" w:cs="Times New Roman"/>
          <w:sz w:val="24"/>
          <w:szCs w:val="24"/>
        </w:rPr>
        <w:t>.</w:t>
      </w:r>
    </w:p>
    <w:p w:rsidRPr="005C2C20" w:rsidR="00820DFB" w:rsidP="009636B4" w:rsidRDefault="00097046" w14:paraId="0087CDEA" w14:textId="53CFB147">
      <w:pPr>
        <w:rPr>
          <w:rFonts w:ascii="Times New Roman" w:hAnsi="Times New Roman" w:eastAsia="Calibri" w:cs="Times New Roman"/>
          <w:sz w:val="24"/>
          <w:szCs w:val="24"/>
        </w:rPr>
      </w:pPr>
      <w:r>
        <w:rPr>
          <w:rFonts w:ascii="Times New Roman" w:hAnsi="Times New Roman" w:eastAsia="Calibri" w:cs="Times New Roman"/>
          <w:sz w:val="24"/>
          <w:szCs w:val="24"/>
        </w:rPr>
        <w:t>Bij het tegengaan van armoede zijn ook</w:t>
      </w:r>
      <w:r w:rsidRPr="00097046">
        <w:rPr>
          <w:rFonts w:ascii="Times New Roman" w:hAnsi="Times New Roman" w:eastAsia="Calibri" w:cs="Times New Roman"/>
          <w:bCs/>
          <w:sz w:val="24"/>
          <w:szCs w:val="24"/>
        </w:rPr>
        <w:t xml:space="preserve"> </w:t>
      </w:r>
      <w:r w:rsidRPr="00863E00">
        <w:rPr>
          <w:rFonts w:ascii="Times New Roman" w:hAnsi="Times New Roman" w:eastAsia="Calibri" w:cs="Times New Roman"/>
          <w:bCs/>
          <w:sz w:val="24"/>
          <w:szCs w:val="24"/>
        </w:rPr>
        <w:t>inkomens- en vermogensongelijkheid</w:t>
      </w:r>
      <w:r>
        <w:rPr>
          <w:rFonts w:ascii="Times New Roman" w:hAnsi="Times New Roman" w:eastAsia="Calibri" w:cs="Times New Roman"/>
          <w:bCs/>
          <w:sz w:val="24"/>
          <w:szCs w:val="24"/>
        </w:rPr>
        <w:t xml:space="preserve"> relevant. Na publicatie van de strategie zal d</w:t>
      </w:r>
      <w:r w:rsidR="00664E4C">
        <w:rPr>
          <w:rFonts w:ascii="Times New Roman" w:hAnsi="Times New Roman" w:eastAsia="Calibri" w:cs="Times New Roman"/>
          <w:bCs/>
          <w:sz w:val="24"/>
          <w:szCs w:val="24"/>
        </w:rPr>
        <w:t>e</w:t>
      </w:r>
      <w:r>
        <w:rPr>
          <w:rFonts w:ascii="Times New Roman" w:hAnsi="Times New Roman" w:eastAsia="Calibri" w:cs="Times New Roman"/>
          <w:bCs/>
          <w:sz w:val="24"/>
          <w:szCs w:val="24"/>
        </w:rPr>
        <w:t xml:space="preserve"> Kamer </w:t>
      </w:r>
      <w:proofErr w:type="gramStart"/>
      <w:r w:rsidR="00F8771F">
        <w:rPr>
          <w:rFonts w:ascii="Times New Roman" w:hAnsi="Times New Roman" w:eastAsia="Calibri" w:cs="Times New Roman"/>
          <w:bCs/>
          <w:sz w:val="24"/>
          <w:szCs w:val="24"/>
        </w:rPr>
        <w:t>middels</w:t>
      </w:r>
      <w:proofErr w:type="gramEnd"/>
      <w:r w:rsidR="00F8771F">
        <w:rPr>
          <w:rFonts w:ascii="Times New Roman" w:hAnsi="Times New Roman" w:eastAsia="Calibri" w:cs="Times New Roman"/>
          <w:bCs/>
          <w:sz w:val="24"/>
          <w:szCs w:val="24"/>
        </w:rPr>
        <w:t xml:space="preserve"> een BNC-fiche,</w:t>
      </w:r>
      <w:r>
        <w:rPr>
          <w:rFonts w:ascii="Times New Roman" w:hAnsi="Times New Roman" w:eastAsia="Calibri" w:cs="Times New Roman"/>
          <w:bCs/>
          <w:sz w:val="24"/>
          <w:szCs w:val="24"/>
        </w:rPr>
        <w:t xml:space="preserve"> nader worden geïnformeerd over de kabinetsappreciatie. </w:t>
      </w:r>
    </w:p>
    <w:p w:rsidRPr="005C2C20" w:rsidR="00397617" w:rsidP="009636B4" w:rsidRDefault="5ABA6FB6" w14:paraId="5BEF3E2E" w14:textId="1F59EF0F">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 xml:space="preserve">De leden van de D66-fractie lezen in de </w:t>
      </w:r>
      <w:proofErr w:type="spellStart"/>
      <w:r w:rsidRPr="005C2C20">
        <w:rPr>
          <w:rFonts w:ascii="Times New Roman" w:hAnsi="Times New Roman" w:eastAsia="Calibri" w:cs="Times New Roman"/>
          <w:b/>
          <w:sz w:val="24"/>
          <w:szCs w:val="24"/>
        </w:rPr>
        <w:t>one</w:t>
      </w:r>
      <w:proofErr w:type="spellEnd"/>
      <w:r w:rsidRPr="005C2C20">
        <w:rPr>
          <w:rFonts w:ascii="Times New Roman" w:hAnsi="Times New Roman" w:eastAsia="Calibri" w:cs="Times New Roman"/>
          <w:b/>
          <w:sz w:val="24"/>
          <w:szCs w:val="24"/>
        </w:rPr>
        <w:t xml:space="preserve">-pager over de Europese armoedeaanpak dat de </w:t>
      </w:r>
      <w:r w:rsidRPr="005C2C20" w:rsidR="00105D99">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graag aandacht uit ziet gaan naar “</w:t>
      </w:r>
      <w:proofErr w:type="spellStart"/>
      <w:r w:rsidRPr="005C2C20">
        <w:rPr>
          <w:rFonts w:ascii="Times New Roman" w:hAnsi="Times New Roman" w:eastAsia="Calibri" w:cs="Times New Roman"/>
          <w:b/>
          <w:sz w:val="24"/>
          <w:szCs w:val="24"/>
        </w:rPr>
        <w:t>comprehensive</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policies</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that</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promote</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social</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inclusion</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labour</w:t>
      </w:r>
      <w:proofErr w:type="spellEnd"/>
      <w:r w:rsidRPr="005C2C20">
        <w:rPr>
          <w:rFonts w:ascii="Times New Roman" w:hAnsi="Times New Roman" w:eastAsia="Calibri" w:cs="Times New Roman"/>
          <w:b/>
          <w:sz w:val="24"/>
          <w:szCs w:val="24"/>
        </w:rPr>
        <w:t xml:space="preserve"> market </w:t>
      </w:r>
      <w:proofErr w:type="spellStart"/>
      <w:r w:rsidRPr="005C2C20">
        <w:rPr>
          <w:rFonts w:ascii="Times New Roman" w:hAnsi="Times New Roman" w:eastAsia="Calibri" w:cs="Times New Roman"/>
          <w:b/>
          <w:sz w:val="24"/>
          <w:szCs w:val="24"/>
        </w:rPr>
        <w:t>integration</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and</w:t>
      </w:r>
      <w:proofErr w:type="spellEnd"/>
      <w:r w:rsidRPr="005C2C20">
        <w:rPr>
          <w:rFonts w:ascii="Times New Roman" w:hAnsi="Times New Roman" w:eastAsia="Calibri" w:cs="Times New Roman"/>
          <w:b/>
          <w:sz w:val="24"/>
          <w:szCs w:val="24"/>
        </w:rPr>
        <w:t xml:space="preserve"> skills development”. Deze leden vragen welke rol en toegevoegde waarde de </w:t>
      </w:r>
      <w:r w:rsidRPr="005C2C20" w:rsidR="00105D99">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hier ziet weggelegd voor de </w:t>
      </w:r>
      <w:r w:rsidRPr="005C2C20" w:rsidR="00105D99">
        <w:rPr>
          <w:rFonts w:ascii="Times New Roman" w:hAnsi="Times New Roman" w:eastAsia="Calibri" w:cs="Times New Roman"/>
          <w:b/>
          <w:sz w:val="24"/>
          <w:szCs w:val="24"/>
        </w:rPr>
        <w:t>EU.</w:t>
      </w:r>
      <w:r w:rsidRPr="005C2C20">
        <w:rPr>
          <w:rFonts w:ascii="Times New Roman" w:hAnsi="Times New Roman" w:eastAsia="Calibri" w:cs="Times New Roman"/>
          <w:b/>
          <w:sz w:val="24"/>
          <w:szCs w:val="24"/>
        </w:rPr>
        <w:t xml:space="preserve"> In de </w:t>
      </w:r>
      <w:proofErr w:type="spellStart"/>
      <w:r w:rsidRPr="005C2C20">
        <w:rPr>
          <w:rFonts w:ascii="Times New Roman" w:hAnsi="Times New Roman" w:eastAsia="Calibri" w:cs="Times New Roman"/>
          <w:b/>
          <w:sz w:val="24"/>
          <w:szCs w:val="24"/>
        </w:rPr>
        <w:t>one</w:t>
      </w:r>
      <w:proofErr w:type="spellEnd"/>
      <w:r w:rsidRPr="005C2C20">
        <w:rPr>
          <w:rFonts w:ascii="Times New Roman" w:hAnsi="Times New Roman" w:eastAsia="Calibri" w:cs="Times New Roman"/>
          <w:b/>
          <w:sz w:val="24"/>
          <w:szCs w:val="24"/>
        </w:rPr>
        <w:t xml:space="preserve">-pager staat daarnaast dat de The European Child </w:t>
      </w:r>
      <w:proofErr w:type="spellStart"/>
      <w:r w:rsidRPr="005C2C20">
        <w:rPr>
          <w:rFonts w:ascii="Times New Roman" w:hAnsi="Times New Roman" w:eastAsia="Calibri" w:cs="Times New Roman"/>
          <w:b/>
          <w:sz w:val="24"/>
          <w:szCs w:val="24"/>
        </w:rPr>
        <w:t>Guarantee</w:t>
      </w:r>
      <w:proofErr w:type="spellEnd"/>
      <w:r w:rsidRPr="005C2C20">
        <w:rPr>
          <w:rFonts w:ascii="Times New Roman" w:hAnsi="Times New Roman" w:eastAsia="Calibri" w:cs="Times New Roman"/>
          <w:b/>
          <w:sz w:val="24"/>
          <w:szCs w:val="24"/>
        </w:rPr>
        <w:t xml:space="preserve"> heeft geleid tot “concrete tools </w:t>
      </w:r>
      <w:proofErr w:type="spellStart"/>
      <w:r w:rsidRPr="005C2C20">
        <w:rPr>
          <w:rFonts w:ascii="Times New Roman" w:hAnsi="Times New Roman" w:eastAsia="Calibri" w:cs="Times New Roman"/>
          <w:b/>
          <w:sz w:val="24"/>
          <w:szCs w:val="24"/>
        </w:rPr>
        <w:t>to</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combat</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child</w:t>
      </w:r>
      <w:proofErr w:type="spellEnd"/>
      <w:r w:rsidRPr="005C2C20">
        <w:rPr>
          <w:rFonts w:ascii="Times New Roman" w:hAnsi="Times New Roman" w:eastAsia="Calibri" w:cs="Times New Roman"/>
          <w:b/>
          <w:sz w:val="24"/>
          <w:szCs w:val="24"/>
        </w:rPr>
        <w:t xml:space="preserve"> </w:t>
      </w:r>
      <w:proofErr w:type="spellStart"/>
      <w:r w:rsidRPr="005C2C20">
        <w:rPr>
          <w:rFonts w:ascii="Times New Roman" w:hAnsi="Times New Roman" w:eastAsia="Calibri" w:cs="Times New Roman"/>
          <w:b/>
          <w:sz w:val="24"/>
          <w:szCs w:val="24"/>
        </w:rPr>
        <w:t>poverty</w:t>
      </w:r>
      <w:proofErr w:type="spellEnd"/>
      <w:r w:rsidRPr="005C2C20">
        <w:rPr>
          <w:rFonts w:ascii="Times New Roman" w:hAnsi="Times New Roman" w:eastAsia="Calibri" w:cs="Times New Roman"/>
          <w:b/>
          <w:sz w:val="24"/>
          <w:szCs w:val="24"/>
        </w:rPr>
        <w:t xml:space="preserve">”. Kan de </w:t>
      </w:r>
      <w:r w:rsidRPr="005C2C20" w:rsidR="00105D99">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hier voorbeelden van noemen, zo vragen deze leden.  </w:t>
      </w:r>
    </w:p>
    <w:p w:rsidRPr="005C2C20" w:rsidR="00155B38" w:rsidP="00B50BE1" w:rsidRDefault="00B50BE1" w14:paraId="58501AE4" w14:textId="36C75C45">
      <w:pPr>
        <w:rPr>
          <w:rFonts w:ascii="Times New Roman" w:hAnsi="Times New Roman" w:eastAsia="Calibri" w:cs="Times New Roman"/>
          <w:sz w:val="24"/>
          <w:szCs w:val="24"/>
        </w:rPr>
      </w:pPr>
      <w:r w:rsidRPr="005C2C20" w:rsidDel="00FB50A7">
        <w:rPr>
          <w:rFonts w:ascii="Times New Roman" w:hAnsi="Times New Roman" w:eastAsia="Calibri" w:cs="Times New Roman"/>
          <w:sz w:val="24"/>
          <w:szCs w:val="24"/>
        </w:rPr>
        <w:t>D</w:t>
      </w:r>
      <w:r w:rsidRPr="005C2C20">
        <w:rPr>
          <w:rFonts w:ascii="Times New Roman" w:hAnsi="Times New Roman" w:eastAsia="Calibri" w:cs="Times New Roman"/>
          <w:sz w:val="24"/>
          <w:szCs w:val="24"/>
        </w:rPr>
        <w:t xml:space="preserve">e Europese </w:t>
      </w:r>
      <w:r w:rsidRPr="005C2C20" w:rsidDel="00C13535">
        <w:rPr>
          <w:rFonts w:ascii="Times New Roman" w:hAnsi="Times New Roman" w:eastAsia="Calibri" w:cs="Times New Roman"/>
          <w:sz w:val="24"/>
          <w:szCs w:val="24"/>
        </w:rPr>
        <w:t>A</w:t>
      </w:r>
      <w:r w:rsidRPr="005C2C20">
        <w:rPr>
          <w:rFonts w:ascii="Times New Roman" w:hAnsi="Times New Roman" w:eastAsia="Calibri" w:cs="Times New Roman"/>
          <w:sz w:val="24"/>
          <w:szCs w:val="24"/>
        </w:rPr>
        <w:t>nti-Armoedestrategie</w:t>
      </w:r>
      <w:r w:rsidRPr="005C2C20" w:rsidR="00155B38">
        <w:rPr>
          <w:rFonts w:ascii="Times New Roman" w:hAnsi="Times New Roman" w:eastAsia="Calibri" w:cs="Times New Roman"/>
          <w:sz w:val="24"/>
          <w:szCs w:val="24"/>
        </w:rPr>
        <w:t xml:space="preserve"> is een initiatief van de Commissie dat</w:t>
      </w:r>
      <w:r w:rsidRPr="005C2C20">
        <w:rPr>
          <w:rFonts w:ascii="Times New Roman" w:hAnsi="Times New Roman" w:eastAsia="Calibri" w:cs="Times New Roman"/>
          <w:sz w:val="24"/>
          <w:szCs w:val="24"/>
        </w:rPr>
        <w:t xml:space="preserve"> lidstaten kan ondersteunen bij het maken van beleid </w:t>
      </w:r>
      <w:r w:rsidRPr="005C2C20" w:rsidR="00155B38">
        <w:rPr>
          <w:rFonts w:ascii="Times New Roman" w:hAnsi="Times New Roman" w:eastAsia="Calibri" w:cs="Times New Roman"/>
          <w:sz w:val="24"/>
          <w:szCs w:val="24"/>
        </w:rPr>
        <w:t>om armoede tegen te gaan</w:t>
      </w:r>
      <w:r w:rsidRPr="005C2C20">
        <w:rPr>
          <w:rFonts w:ascii="Times New Roman" w:hAnsi="Times New Roman" w:eastAsia="Calibri" w:cs="Times New Roman"/>
          <w:sz w:val="24"/>
          <w:szCs w:val="24"/>
        </w:rPr>
        <w:t xml:space="preserve"> op nationaal, regionaal of lokaal niveau. </w:t>
      </w:r>
      <w:r w:rsidRPr="005C2C20" w:rsidR="00A5173B">
        <w:rPr>
          <w:rFonts w:ascii="Times New Roman" w:hAnsi="Times New Roman" w:eastAsia="Calibri" w:cs="Times New Roman"/>
          <w:sz w:val="24"/>
          <w:szCs w:val="24"/>
        </w:rPr>
        <w:t>Publicatie van de strategie wordt verwacht</w:t>
      </w:r>
      <w:r w:rsidRPr="005C2C20">
        <w:rPr>
          <w:rFonts w:ascii="Times New Roman" w:hAnsi="Times New Roman" w:eastAsia="Calibri" w:cs="Times New Roman"/>
          <w:sz w:val="24"/>
          <w:szCs w:val="24"/>
        </w:rPr>
        <w:t xml:space="preserve"> </w:t>
      </w:r>
      <w:r w:rsidRPr="005C2C20" w:rsidR="00A5173B">
        <w:rPr>
          <w:rFonts w:ascii="Times New Roman" w:hAnsi="Times New Roman" w:eastAsia="Calibri" w:cs="Times New Roman"/>
          <w:sz w:val="24"/>
          <w:szCs w:val="24"/>
        </w:rPr>
        <w:t xml:space="preserve">in </w:t>
      </w:r>
      <w:r w:rsidRPr="005C2C20" w:rsidR="00CD10F7">
        <w:rPr>
          <w:rFonts w:ascii="Times New Roman" w:hAnsi="Times New Roman" w:eastAsia="Calibri" w:cs="Times New Roman"/>
          <w:sz w:val="24"/>
          <w:szCs w:val="24"/>
        </w:rPr>
        <w:t>het tweede kwartaal van 2026</w:t>
      </w:r>
      <w:r w:rsidRPr="005C2C20" w:rsidR="00A5173B">
        <w:rPr>
          <w:rFonts w:ascii="Times New Roman" w:hAnsi="Times New Roman" w:eastAsia="Calibri" w:cs="Times New Roman"/>
          <w:sz w:val="24"/>
          <w:szCs w:val="24"/>
        </w:rPr>
        <w:t xml:space="preserve">. </w:t>
      </w:r>
    </w:p>
    <w:p w:rsidRPr="005C2C20" w:rsidR="00B50BE1" w:rsidP="00B50BE1" w:rsidRDefault="00B50BE1" w14:paraId="61925F88" w14:textId="042D7BF8">
      <w:pPr>
        <w:rPr>
          <w:rFonts w:ascii="Times New Roman" w:hAnsi="Times New Roman" w:eastAsia="Calibri" w:cs="Times New Roman"/>
          <w:sz w:val="24"/>
          <w:szCs w:val="24"/>
        </w:rPr>
      </w:pPr>
      <w:r w:rsidRPr="005C2C20" w:rsidDel="00FB50A7">
        <w:rPr>
          <w:rFonts w:ascii="Times New Roman" w:hAnsi="Times New Roman" w:eastAsia="Calibri" w:cs="Times New Roman"/>
          <w:sz w:val="24"/>
          <w:szCs w:val="24"/>
        </w:rPr>
        <w:t xml:space="preserve">Conform de inzet in </w:t>
      </w:r>
      <w:proofErr w:type="gramStart"/>
      <w:r w:rsidRPr="005C2C20" w:rsidDel="00FB50A7">
        <w:rPr>
          <w:rFonts w:ascii="Times New Roman" w:hAnsi="Times New Roman" w:eastAsia="Calibri" w:cs="Times New Roman"/>
          <w:sz w:val="24"/>
          <w:szCs w:val="24"/>
        </w:rPr>
        <w:t xml:space="preserve">het </w:t>
      </w:r>
      <w:r w:rsidRPr="00863E00" w:rsidDel="00FB50A7">
        <w:rPr>
          <w:rFonts w:ascii="Times New Roman" w:hAnsi="Times New Roman" w:eastAsia="Calibri" w:cs="Times New Roman"/>
          <w:i/>
          <w:sz w:val="24"/>
          <w:szCs w:val="24"/>
        </w:rPr>
        <w:t>non-paper</w:t>
      </w:r>
      <w:proofErr w:type="gramEnd"/>
      <w:r w:rsidRPr="005C2C20" w:rsidDel="00FB50A7">
        <w:rPr>
          <w:rFonts w:ascii="Times New Roman" w:hAnsi="Times New Roman" w:eastAsia="Calibri" w:cs="Times New Roman"/>
          <w:sz w:val="24"/>
          <w:szCs w:val="24"/>
        </w:rPr>
        <w:t xml:space="preserve"> </w:t>
      </w:r>
      <w:r w:rsidRPr="005C2C20" w:rsidR="00155B38">
        <w:rPr>
          <w:rFonts w:ascii="Times New Roman" w:hAnsi="Times New Roman" w:eastAsia="Calibri" w:cs="Times New Roman"/>
          <w:sz w:val="24"/>
          <w:szCs w:val="24"/>
        </w:rPr>
        <w:t xml:space="preserve">benadrukt </w:t>
      </w:r>
      <w:r w:rsidRPr="005C2C20">
        <w:rPr>
          <w:rFonts w:ascii="Times New Roman" w:hAnsi="Times New Roman" w:eastAsia="Calibri" w:cs="Times New Roman"/>
          <w:sz w:val="24"/>
          <w:szCs w:val="24"/>
        </w:rPr>
        <w:t xml:space="preserve">het kabinet het belang </w:t>
      </w:r>
      <w:r w:rsidRPr="005C2C20" w:rsidR="00FB50A7">
        <w:rPr>
          <w:rFonts w:ascii="Times New Roman" w:hAnsi="Times New Roman" w:eastAsia="Calibri" w:cs="Times New Roman"/>
          <w:sz w:val="24"/>
          <w:szCs w:val="24"/>
        </w:rPr>
        <w:t>van</w:t>
      </w:r>
      <w:r w:rsidRPr="005C2C20">
        <w:rPr>
          <w:rFonts w:ascii="Times New Roman" w:hAnsi="Times New Roman" w:eastAsia="Calibri" w:cs="Times New Roman"/>
          <w:sz w:val="24"/>
          <w:szCs w:val="24"/>
        </w:rPr>
        <w:t xml:space="preserve"> een holistische benadering</w:t>
      </w:r>
      <w:r w:rsidRPr="005C2C20" w:rsidR="00FB50A7">
        <w:rPr>
          <w:rFonts w:ascii="Times New Roman" w:hAnsi="Times New Roman" w:eastAsia="Calibri" w:cs="Times New Roman"/>
          <w:sz w:val="24"/>
          <w:szCs w:val="24"/>
        </w:rPr>
        <w:t xml:space="preserve">, </w:t>
      </w:r>
      <w:r w:rsidRPr="005C2C20">
        <w:rPr>
          <w:rFonts w:ascii="Times New Roman" w:hAnsi="Times New Roman" w:eastAsia="Calibri" w:cs="Times New Roman"/>
          <w:sz w:val="24"/>
          <w:szCs w:val="24"/>
        </w:rPr>
        <w:t>gericht op de kernoorzaken van armoede</w:t>
      </w:r>
      <w:r w:rsidRPr="005C2C20" w:rsidR="00155B38">
        <w:rPr>
          <w:rFonts w:ascii="Times New Roman" w:hAnsi="Times New Roman" w:eastAsia="Calibri" w:cs="Times New Roman"/>
          <w:sz w:val="24"/>
          <w:szCs w:val="24"/>
        </w:rPr>
        <w:t xml:space="preserve"> </w:t>
      </w:r>
      <w:r w:rsidRPr="005C2C20">
        <w:rPr>
          <w:rFonts w:ascii="Times New Roman" w:hAnsi="Times New Roman" w:eastAsia="Calibri" w:cs="Times New Roman"/>
          <w:sz w:val="24"/>
          <w:szCs w:val="24"/>
        </w:rPr>
        <w:t xml:space="preserve">en niet op de symptomen ervan. Lidstaten staan voor gedeelde uitdagingen op dit terrein. </w:t>
      </w:r>
      <w:r w:rsidRPr="005C2C20" w:rsidR="00FB50A7">
        <w:rPr>
          <w:rFonts w:ascii="Times New Roman" w:hAnsi="Times New Roman" w:eastAsia="Calibri" w:cs="Times New Roman"/>
          <w:sz w:val="24"/>
          <w:szCs w:val="24"/>
        </w:rPr>
        <w:t xml:space="preserve">Door het stimuleren van effectieve kennisdeling op dit gebied kunnen lidstaten van elkaar leren. </w:t>
      </w:r>
      <w:r w:rsidRPr="005C2C20">
        <w:rPr>
          <w:rFonts w:ascii="Times New Roman" w:hAnsi="Times New Roman" w:eastAsia="Calibri" w:cs="Times New Roman"/>
          <w:sz w:val="24"/>
          <w:szCs w:val="24"/>
        </w:rPr>
        <w:t>Het kabinet is dan ook positief over een faciliterende rol voor de Europese Commissie</w:t>
      </w:r>
      <w:r w:rsidRPr="005C2C20" w:rsidR="00155B38">
        <w:rPr>
          <w:rFonts w:ascii="Times New Roman" w:hAnsi="Times New Roman" w:eastAsia="Calibri" w:cs="Times New Roman"/>
          <w:sz w:val="24"/>
          <w:szCs w:val="24"/>
        </w:rPr>
        <w:t xml:space="preserve"> via het delen van goede praktijken en </w:t>
      </w:r>
      <w:r w:rsidRPr="005C2C20" w:rsidR="00155B38">
        <w:rPr>
          <w:rFonts w:ascii="Times New Roman" w:hAnsi="Times New Roman" w:eastAsia="Calibri" w:cs="Times New Roman"/>
          <w:sz w:val="24"/>
          <w:szCs w:val="24"/>
        </w:rPr>
        <w:lastRenderedPageBreak/>
        <w:t xml:space="preserve">het organiseren van </w:t>
      </w:r>
      <w:r w:rsidRPr="005C2C20" w:rsidR="00155B38">
        <w:rPr>
          <w:rFonts w:ascii="Times New Roman" w:hAnsi="Times New Roman" w:eastAsia="Calibri" w:cs="Times New Roman"/>
          <w:i/>
          <w:sz w:val="24"/>
          <w:szCs w:val="24"/>
        </w:rPr>
        <w:t>peer-</w:t>
      </w:r>
      <w:proofErr w:type="spellStart"/>
      <w:r w:rsidRPr="005C2C20" w:rsidR="00155B38">
        <w:rPr>
          <w:rFonts w:ascii="Times New Roman" w:hAnsi="Times New Roman" w:eastAsia="Calibri" w:cs="Times New Roman"/>
          <w:i/>
          <w:sz w:val="24"/>
          <w:szCs w:val="24"/>
        </w:rPr>
        <w:t>learning</w:t>
      </w:r>
      <w:proofErr w:type="spellEnd"/>
      <w:r w:rsidRPr="005C2C20" w:rsidR="00155B38">
        <w:rPr>
          <w:rFonts w:ascii="Times New Roman" w:hAnsi="Times New Roman" w:eastAsia="Calibri" w:cs="Times New Roman"/>
          <w:sz w:val="24"/>
          <w:szCs w:val="24"/>
        </w:rPr>
        <w:t xml:space="preserve"> activiteiten</w:t>
      </w:r>
      <w:r w:rsidRPr="005C2C20">
        <w:rPr>
          <w:rFonts w:ascii="Times New Roman" w:hAnsi="Times New Roman" w:eastAsia="Calibri" w:cs="Times New Roman"/>
          <w:sz w:val="24"/>
          <w:szCs w:val="24"/>
        </w:rPr>
        <w:t xml:space="preserve">. </w:t>
      </w:r>
      <w:r w:rsidRPr="005C2C20" w:rsidR="00A5173B">
        <w:rPr>
          <w:rFonts w:ascii="Times New Roman" w:hAnsi="Times New Roman" w:eastAsia="Calibri" w:cs="Times New Roman"/>
          <w:sz w:val="24"/>
          <w:szCs w:val="24"/>
        </w:rPr>
        <w:t>Het kabinet heeft er daarbij oog voor dat er geen dubbele rapportageverplichtingen zullen ontstaan.</w:t>
      </w:r>
      <w:r w:rsidRPr="005C2C20">
        <w:rPr>
          <w:rFonts w:ascii="Times New Roman" w:hAnsi="Times New Roman" w:eastAsia="Calibri" w:cs="Times New Roman"/>
          <w:sz w:val="24"/>
          <w:szCs w:val="24"/>
        </w:rPr>
        <w:t xml:space="preserve"> </w:t>
      </w:r>
    </w:p>
    <w:p w:rsidR="00BC5407" w:rsidP="00FF4C21" w:rsidRDefault="00FF4C21" w14:paraId="15634C96" w14:textId="1347ECAB">
      <w:pPr>
        <w:rPr>
          <w:rFonts w:ascii="Times New Roman" w:hAnsi="Times New Roman" w:eastAsia="Calibri" w:cs="Times New Roman"/>
          <w:bCs/>
          <w:sz w:val="24"/>
          <w:szCs w:val="24"/>
        </w:rPr>
      </w:pPr>
      <w:bookmarkStart w:name="_Hlk221176599" w:id="0"/>
      <w:r w:rsidRPr="005C2C20">
        <w:rPr>
          <w:rFonts w:ascii="Times New Roman" w:hAnsi="Times New Roman" w:eastAsia="Calibri" w:cs="Times New Roman"/>
          <w:bCs/>
          <w:sz w:val="24"/>
          <w:szCs w:val="24"/>
        </w:rPr>
        <w:t>De Europese Kindergarantie biedt instrumenten om lidstaten te ondersteunen bij het waarborgen dat elk kind in Europa dat risico loopt op armoede</w:t>
      </w:r>
      <w:r w:rsidR="00331EEE">
        <w:rPr>
          <w:rFonts w:ascii="Times New Roman" w:hAnsi="Times New Roman" w:eastAsia="Calibri" w:cs="Times New Roman"/>
          <w:bCs/>
          <w:sz w:val="24"/>
          <w:szCs w:val="24"/>
        </w:rPr>
        <w:t>,</w:t>
      </w:r>
      <w:r w:rsidRPr="005C2C20">
        <w:rPr>
          <w:rFonts w:ascii="Times New Roman" w:hAnsi="Times New Roman" w:eastAsia="Calibri" w:cs="Times New Roman"/>
          <w:bCs/>
          <w:sz w:val="24"/>
          <w:szCs w:val="24"/>
        </w:rPr>
        <w:t xml:space="preserve"> toegang heeft tot essentiële diensten zoals huisvesting, zorg, onderwijs, kinderopvang en voeding. In het eerste kwartaal van 2026 wordt uw Kamer geïnformeerd over </w:t>
      </w:r>
      <w:r w:rsidR="00664E4C">
        <w:rPr>
          <w:rFonts w:ascii="Times New Roman" w:hAnsi="Times New Roman" w:eastAsia="Calibri" w:cs="Times New Roman"/>
          <w:bCs/>
          <w:sz w:val="24"/>
          <w:szCs w:val="24"/>
        </w:rPr>
        <w:t xml:space="preserve">de </w:t>
      </w:r>
      <w:r w:rsidRPr="005C2C20">
        <w:rPr>
          <w:rFonts w:ascii="Times New Roman" w:hAnsi="Times New Roman" w:eastAsia="Calibri" w:cs="Times New Roman"/>
          <w:bCs/>
          <w:sz w:val="24"/>
          <w:szCs w:val="24"/>
        </w:rPr>
        <w:t>voorgangsrapportage van het nationaal programma Armoede en Schulden</w:t>
      </w:r>
      <w:r w:rsidRPr="005C2C20">
        <w:rPr>
          <w:rFonts w:ascii="Times New Roman" w:hAnsi="Times New Roman" w:eastAsia="Calibri" w:cs="Times New Roman"/>
          <w:bCs/>
          <w:sz w:val="24"/>
          <w:szCs w:val="24"/>
          <w:vertAlign w:val="superscript"/>
        </w:rPr>
        <w:footnoteReference w:id="7"/>
      </w:r>
      <w:r w:rsidRPr="005C2C20">
        <w:rPr>
          <w:rFonts w:ascii="Times New Roman" w:hAnsi="Times New Roman" w:eastAsia="Calibri" w:cs="Times New Roman"/>
          <w:bCs/>
          <w:sz w:val="24"/>
          <w:szCs w:val="24"/>
        </w:rPr>
        <w:t xml:space="preserve">, met daarin de Tweede monitor Nationaal Plan Kindergarantie. In de voortgangsrapportage geeft het kabinet aan hoe </w:t>
      </w:r>
      <w:r w:rsidRPr="005C2C20" w:rsidR="00E356B9">
        <w:rPr>
          <w:rFonts w:ascii="Times New Roman" w:hAnsi="Times New Roman" w:eastAsia="Calibri" w:cs="Times New Roman"/>
          <w:bCs/>
          <w:sz w:val="24"/>
          <w:szCs w:val="24"/>
        </w:rPr>
        <w:t>de invulling</w:t>
      </w:r>
      <w:r w:rsidRPr="005C2C20">
        <w:rPr>
          <w:rFonts w:ascii="Times New Roman" w:hAnsi="Times New Roman" w:eastAsia="Calibri" w:cs="Times New Roman"/>
          <w:bCs/>
          <w:sz w:val="24"/>
          <w:szCs w:val="24"/>
        </w:rPr>
        <w:t xml:space="preserve"> geeft aan de Raadsaanbeveling over de Europese Kindergarantie. </w:t>
      </w:r>
    </w:p>
    <w:p w:rsidRPr="005C2C20" w:rsidR="00FF4C21" w:rsidP="00FF4C21" w:rsidRDefault="00FF4C21" w14:paraId="15068B67" w14:textId="534AF6D3">
      <w:pPr>
        <w:rPr>
          <w:rFonts w:ascii="Times New Roman" w:hAnsi="Times New Roman" w:eastAsia="Calibri" w:cs="Times New Roman"/>
          <w:bCs/>
          <w:sz w:val="24"/>
          <w:szCs w:val="24"/>
        </w:rPr>
      </w:pPr>
      <w:r w:rsidRPr="005C2C20">
        <w:rPr>
          <w:rFonts w:ascii="Times New Roman" w:hAnsi="Times New Roman" w:eastAsia="Calibri" w:cs="Times New Roman"/>
          <w:bCs/>
          <w:sz w:val="24"/>
          <w:szCs w:val="24"/>
        </w:rPr>
        <w:t xml:space="preserve">Een voorbeeld van een </w:t>
      </w:r>
      <w:r w:rsidR="00D06069">
        <w:rPr>
          <w:rFonts w:ascii="Times New Roman" w:hAnsi="Times New Roman" w:eastAsia="Calibri" w:cs="Times New Roman"/>
          <w:bCs/>
          <w:sz w:val="24"/>
          <w:szCs w:val="24"/>
        </w:rPr>
        <w:t>voorgestelde</w:t>
      </w:r>
      <w:r w:rsidRPr="00FF4C21">
        <w:rPr>
          <w:rFonts w:ascii="Times New Roman" w:hAnsi="Times New Roman" w:eastAsia="Calibri" w:cs="Times New Roman"/>
          <w:bCs/>
          <w:sz w:val="24"/>
          <w:szCs w:val="24"/>
        </w:rPr>
        <w:t xml:space="preserve"> </w:t>
      </w:r>
      <w:r w:rsidRPr="005C2C20">
        <w:rPr>
          <w:rFonts w:ascii="Times New Roman" w:hAnsi="Times New Roman" w:eastAsia="Calibri" w:cs="Times New Roman"/>
          <w:bCs/>
          <w:sz w:val="24"/>
          <w:szCs w:val="24"/>
        </w:rPr>
        <w:t xml:space="preserve">maatregel uit de Europese Kindergarantie is </w:t>
      </w:r>
      <w:r w:rsidRPr="005C2C20" w:rsidR="000E3037">
        <w:rPr>
          <w:rFonts w:ascii="Times New Roman" w:hAnsi="Times New Roman" w:eastAsia="Calibri" w:cs="Times New Roman"/>
          <w:bCs/>
          <w:sz w:val="24"/>
          <w:szCs w:val="24"/>
        </w:rPr>
        <w:t xml:space="preserve">om </w:t>
      </w:r>
      <w:r w:rsidRPr="005C2C20">
        <w:rPr>
          <w:rFonts w:ascii="Times New Roman" w:hAnsi="Times New Roman" w:eastAsia="Calibri" w:cs="Times New Roman"/>
          <w:bCs/>
          <w:sz w:val="24"/>
          <w:szCs w:val="24"/>
        </w:rPr>
        <w:t xml:space="preserve">ten minste één gezonde maaltijd per schooldag aan te bieden aan kinderen in nood. </w:t>
      </w:r>
      <w:r w:rsidR="000E3037">
        <w:rPr>
          <w:rFonts w:ascii="Times New Roman" w:hAnsi="Times New Roman" w:eastAsia="Calibri" w:cs="Times New Roman"/>
          <w:bCs/>
          <w:sz w:val="24"/>
          <w:szCs w:val="24"/>
        </w:rPr>
        <w:t>H</w:t>
      </w:r>
      <w:r w:rsidRPr="00FF4C21">
        <w:rPr>
          <w:rFonts w:ascii="Times New Roman" w:hAnsi="Times New Roman" w:eastAsia="Calibri" w:cs="Times New Roman"/>
          <w:bCs/>
          <w:sz w:val="24"/>
          <w:szCs w:val="24"/>
        </w:rPr>
        <w:t>et</w:t>
      </w:r>
      <w:r w:rsidR="00072748">
        <w:rPr>
          <w:rFonts w:ascii="Times New Roman" w:hAnsi="Times New Roman" w:eastAsia="Calibri" w:cs="Times New Roman"/>
          <w:bCs/>
          <w:sz w:val="24"/>
          <w:szCs w:val="24"/>
        </w:rPr>
        <w:t xml:space="preserve"> kabinet is in 2023 gestart met het</w:t>
      </w:r>
      <w:r w:rsidRPr="00FF4C21">
        <w:rPr>
          <w:rFonts w:ascii="Times New Roman" w:hAnsi="Times New Roman" w:eastAsia="Calibri" w:cs="Times New Roman"/>
          <w:bCs/>
          <w:sz w:val="24"/>
          <w:szCs w:val="24"/>
        </w:rPr>
        <w:t xml:space="preserve"> </w:t>
      </w:r>
      <w:r w:rsidRPr="005C2C20">
        <w:rPr>
          <w:rFonts w:ascii="Times New Roman" w:hAnsi="Times New Roman" w:eastAsia="Calibri" w:cs="Times New Roman"/>
          <w:bCs/>
          <w:sz w:val="24"/>
          <w:szCs w:val="24"/>
        </w:rPr>
        <w:t xml:space="preserve">programma Schoolmaaltijden in reactie op het toenemend aantal leerlingen dat met een lege maag in de klas zit. In 2024 is het programma voortgezet vanuit verschillende doelen: het verminderen van de effecten van kinderarmoede en het vergroten van het onderwijssucces van leerlingen. </w:t>
      </w:r>
    </w:p>
    <w:p w:rsidRPr="005C2C20" w:rsidR="5ABA6FB6" w:rsidP="009636B4" w:rsidRDefault="5ABA6FB6" w14:paraId="0A879264" w14:textId="39B71465">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 xml:space="preserve">Ten slotte lezen de leden van de D66-fractie dat Cyprus als EU-voorzitter de ambitie heeft uitgesproken om op Verordening 883 een akkoord te bereiken. De bezwaren van de </w:t>
      </w:r>
      <w:r w:rsidRPr="005C2C20" w:rsidR="00237B8C">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op de verordening zien voornamelijk toe op verruiming van de exportmogelijkheden in het werkloosheidshoofdstuk van het herzieningsvoorstel, zo lezen de leden in de geannoteerde agenda. Op hoeveel </w:t>
      </w:r>
      <w:r w:rsidRPr="005C2C20" w:rsidR="00237B8C">
        <w:rPr>
          <w:rFonts w:ascii="Times New Roman" w:hAnsi="Times New Roman" w:eastAsia="Calibri" w:cs="Times New Roman"/>
          <w:b/>
          <w:sz w:val="24"/>
          <w:szCs w:val="24"/>
        </w:rPr>
        <w:t>Werkloosheidswet (</w:t>
      </w:r>
      <w:r w:rsidRPr="005C2C20">
        <w:rPr>
          <w:rFonts w:ascii="Times New Roman" w:hAnsi="Times New Roman" w:eastAsia="Calibri" w:cs="Times New Roman"/>
          <w:b/>
          <w:sz w:val="24"/>
          <w:szCs w:val="24"/>
        </w:rPr>
        <w:t>WW</w:t>
      </w:r>
      <w:r w:rsidRPr="005C2C20" w:rsidR="00237B8C">
        <w:rPr>
          <w:rFonts w:ascii="Times New Roman" w:hAnsi="Times New Roman" w:eastAsia="Calibri" w:cs="Times New Roman"/>
          <w:b/>
          <w:sz w:val="24"/>
          <w:szCs w:val="24"/>
        </w:rPr>
        <w:t>-)</w:t>
      </w:r>
      <w:r w:rsidRPr="005C2C20">
        <w:rPr>
          <w:rFonts w:ascii="Times New Roman" w:hAnsi="Times New Roman" w:eastAsia="Calibri" w:cs="Times New Roman"/>
          <w:b/>
          <w:sz w:val="24"/>
          <w:szCs w:val="24"/>
        </w:rPr>
        <w:t xml:space="preserve">uitkeringen hebben deze eventuele verruimingen naar schatting betrekking? Zijn de bezwaren van het kabinet voornamelijk juridisch van aard of zijn er zorgen over de effecten op de uitvoering? Ook lezen </w:t>
      </w:r>
      <w:r w:rsidRPr="005C2C20" w:rsidR="00237B8C">
        <w:rPr>
          <w:rFonts w:ascii="Times New Roman" w:hAnsi="Times New Roman" w:eastAsia="Calibri" w:cs="Times New Roman"/>
          <w:b/>
          <w:sz w:val="24"/>
          <w:szCs w:val="24"/>
        </w:rPr>
        <w:t>deze</w:t>
      </w:r>
      <w:r w:rsidRPr="005C2C20">
        <w:rPr>
          <w:rFonts w:ascii="Times New Roman" w:hAnsi="Times New Roman" w:eastAsia="Calibri" w:cs="Times New Roman"/>
          <w:b/>
          <w:sz w:val="24"/>
          <w:szCs w:val="24"/>
        </w:rPr>
        <w:t xml:space="preserve"> leden dat </w:t>
      </w:r>
      <w:r w:rsidRPr="005C2C20" w:rsidR="00237B8C">
        <w:rPr>
          <w:rFonts w:ascii="Times New Roman" w:hAnsi="Times New Roman" w:eastAsia="Calibri" w:cs="Times New Roman"/>
          <w:b/>
          <w:sz w:val="24"/>
          <w:szCs w:val="24"/>
        </w:rPr>
        <w:t xml:space="preserve">de minister </w:t>
      </w:r>
      <w:r w:rsidRPr="005C2C20">
        <w:rPr>
          <w:rFonts w:ascii="Times New Roman" w:hAnsi="Times New Roman" w:eastAsia="Calibri" w:cs="Times New Roman"/>
          <w:b/>
          <w:sz w:val="24"/>
          <w:szCs w:val="24"/>
        </w:rPr>
        <w:t xml:space="preserve">in januari 2025 een non-paper heeft verspreid dat raakt aan dit onderwerp. </w:t>
      </w:r>
      <w:r w:rsidRPr="005C2C20" w:rsidR="00237B8C">
        <w:rPr>
          <w:rFonts w:ascii="Times New Roman" w:hAnsi="Times New Roman" w:eastAsia="Calibri" w:cs="Times New Roman"/>
          <w:b/>
          <w:sz w:val="24"/>
          <w:szCs w:val="24"/>
        </w:rPr>
        <w:t>De minister</w:t>
      </w:r>
      <w:r w:rsidRPr="005C2C20">
        <w:rPr>
          <w:rFonts w:ascii="Times New Roman" w:hAnsi="Times New Roman" w:eastAsia="Calibri" w:cs="Times New Roman"/>
          <w:b/>
          <w:sz w:val="24"/>
          <w:szCs w:val="24"/>
        </w:rPr>
        <w:t xml:space="preserve"> vindt dat de beoogde modernisering van de Verordening niet wordt bereikt met het huidige herzieningsvoorstel, zo lezen deze leden. Welke andere landen delen deze inschatting? Zijn er andere landen die onderdelen van het non-paper onderschrijven? Zo ja, welke?</w:t>
      </w:r>
    </w:p>
    <w:bookmarkEnd w:id="0"/>
    <w:p w:rsidRPr="00FD0E67" w:rsidR="003E3C99" w:rsidP="00D71B08" w:rsidRDefault="00076896" w14:paraId="77435124" w14:textId="58214244">
      <w:pPr>
        <w:spacing w:after="0"/>
        <w:rPr>
          <w:rFonts w:ascii="Times New Roman" w:hAnsi="Times New Roman" w:eastAsia="Calibri" w:cs="Times New Roman"/>
          <w:i/>
          <w:sz w:val="24"/>
          <w:szCs w:val="24"/>
          <w:highlight w:val="yellow"/>
        </w:rPr>
      </w:pPr>
      <w:r w:rsidRPr="00FD0E67">
        <w:rPr>
          <w:rFonts w:ascii="Times New Roman" w:hAnsi="Times New Roman" w:eastAsia="Calibri" w:cs="Times New Roman"/>
          <w:i/>
          <w:iCs/>
          <w:sz w:val="24"/>
          <w:szCs w:val="24"/>
          <w:highlight w:val="yellow"/>
        </w:rPr>
        <w:t>W</w:t>
      </w:r>
      <w:r w:rsidRPr="00FD0E67" w:rsidR="003E3C99">
        <w:rPr>
          <w:rFonts w:ascii="Times New Roman" w:hAnsi="Times New Roman" w:eastAsia="Calibri" w:cs="Times New Roman"/>
          <w:i/>
          <w:iCs/>
          <w:sz w:val="24"/>
          <w:szCs w:val="24"/>
          <w:highlight w:val="yellow"/>
        </w:rPr>
        <w:t>erkloosheidshoofdstuk</w:t>
      </w:r>
    </w:p>
    <w:p w:rsidRPr="00FD0E67" w:rsidR="00070A65" w:rsidP="00D71B08" w:rsidRDefault="00070A65" w14:paraId="676058E4" w14:textId="00A033FA">
      <w:pPr>
        <w:spacing w:after="0"/>
        <w:rPr>
          <w:rFonts w:ascii="Times New Roman" w:hAnsi="Times New Roman" w:eastAsia="Calibri" w:cs="Times New Roman"/>
          <w:sz w:val="24"/>
          <w:szCs w:val="24"/>
          <w:highlight w:val="yellow"/>
        </w:rPr>
      </w:pPr>
      <w:r w:rsidRPr="00FD0E67">
        <w:rPr>
          <w:rFonts w:ascii="Times New Roman" w:hAnsi="Times New Roman" w:eastAsia="Calibri" w:cs="Times New Roman"/>
          <w:sz w:val="24"/>
          <w:szCs w:val="24"/>
          <w:highlight w:val="yellow"/>
        </w:rPr>
        <w:t xml:space="preserve">De bezwaren van het kabinet tegen de verruiming van de exportmogelijkheden in het werkloosheidshoofdstuk van het herzieningsvoorstel zijn </w:t>
      </w:r>
      <w:r w:rsidRPr="00FD0E67" w:rsidR="00BC3932">
        <w:rPr>
          <w:rFonts w:ascii="Times New Roman" w:hAnsi="Times New Roman" w:eastAsia="Calibri" w:cs="Times New Roman"/>
          <w:sz w:val="24"/>
          <w:szCs w:val="24"/>
          <w:highlight w:val="yellow"/>
        </w:rPr>
        <w:t>in beginsel niet</w:t>
      </w:r>
      <w:r w:rsidRPr="00FD0E67">
        <w:rPr>
          <w:rFonts w:ascii="Times New Roman" w:hAnsi="Times New Roman" w:eastAsia="Calibri" w:cs="Times New Roman"/>
          <w:sz w:val="24"/>
          <w:szCs w:val="24"/>
          <w:highlight w:val="yellow"/>
        </w:rPr>
        <w:t xml:space="preserve"> juridisch van aard. Nederland vindt dat de voorgestelde ve</w:t>
      </w:r>
      <w:r w:rsidRPr="00FD0E67" w:rsidR="00BD0590">
        <w:rPr>
          <w:rFonts w:ascii="Times New Roman" w:hAnsi="Times New Roman" w:eastAsia="Calibri" w:cs="Times New Roman"/>
          <w:sz w:val="24"/>
          <w:szCs w:val="24"/>
          <w:highlight w:val="yellow"/>
        </w:rPr>
        <w:t>rruiming</w:t>
      </w:r>
      <w:r w:rsidRPr="00FD0E67">
        <w:rPr>
          <w:rFonts w:ascii="Times New Roman" w:hAnsi="Times New Roman" w:eastAsia="Calibri" w:cs="Times New Roman"/>
          <w:sz w:val="24"/>
          <w:szCs w:val="24"/>
          <w:highlight w:val="yellow"/>
        </w:rPr>
        <w:t xml:space="preserve"> van de export van werkloosheidsuitkeringen</w:t>
      </w:r>
      <w:r w:rsidRPr="00FD0E67" w:rsidR="003F5403">
        <w:rPr>
          <w:rFonts w:ascii="Times New Roman" w:hAnsi="Times New Roman" w:eastAsia="Calibri" w:cs="Times New Roman"/>
          <w:sz w:val="24"/>
          <w:szCs w:val="24"/>
          <w:highlight w:val="yellow"/>
        </w:rPr>
        <w:t xml:space="preserve"> </w:t>
      </w:r>
      <w:r w:rsidRPr="00FD0E67">
        <w:rPr>
          <w:rFonts w:ascii="Times New Roman" w:hAnsi="Times New Roman" w:eastAsia="Calibri" w:cs="Times New Roman"/>
          <w:sz w:val="24"/>
          <w:szCs w:val="24"/>
          <w:highlight w:val="yellow"/>
        </w:rPr>
        <w:t>niet aansluit bij het doel van werkloosheidsuitkeringen als tijdelijke loondervingsuitkering</w:t>
      </w:r>
      <w:r w:rsidRPr="00FD0E67" w:rsidR="00331EEE">
        <w:rPr>
          <w:rFonts w:ascii="Times New Roman" w:hAnsi="Times New Roman" w:eastAsia="Calibri" w:cs="Times New Roman"/>
          <w:sz w:val="24"/>
          <w:szCs w:val="24"/>
          <w:highlight w:val="yellow"/>
        </w:rPr>
        <w:t xml:space="preserve">. Daarbij zal </w:t>
      </w:r>
      <w:r w:rsidRPr="00FD0E67" w:rsidR="00BC3932">
        <w:rPr>
          <w:rFonts w:ascii="Times New Roman" w:hAnsi="Times New Roman" w:eastAsia="Calibri" w:cs="Times New Roman"/>
          <w:sz w:val="24"/>
          <w:szCs w:val="24"/>
          <w:highlight w:val="yellow"/>
        </w:rPr>
        <w:t xml:space="preserve">het vinden van werk voorop </w:t>
      </w:r>
      <w:r w:rsidRPr="00FD0E67" w:rsidR="00331EEE">
        <w:rPr>
          <w:rFonts w:ascii="Times New Roman" w:hAnsi="Times New Roman" w:eastAsia="Calibri" w:cs="Times New Roman"/>
          <w:sz w:val="24"/>
          <w:szCs w:val="24"/>
          <w:highlight w:val="yellow"/>
        </w:rPr>
        <w:t xml:space="preserve">moeten </w:t>
      </w:r>
      <w:r w:rsidRPr="00FD0E67" w:rsidR="00BC3932">
        <w:rPr>
          <w:rFonts w:ascii="Times New Roman" w:hAnsi="Times New Roman" w:eastAsia="Calibri" w:cs="Times New Roman"/>
          <w:sz w:val="24"/>
          <w:szCs w:val="24"/>
          <w:highlight w:val="yellow"/>
        </w:rPr>
        <w:t>staat</w:t>
      </w:r>
      <w:r w:rsidRPr="00FD0E67">
        <w:rPr>
          <w:rFonts w:ascii="Times New Roman" w:hAnsi="Times New Roman" w:eastAsia="Calibri" w:cs="Times New Roman"/>
          <w:sz w:val="24"/>
          <w:szCs w:val="24"/>
          <w:highlight w:val="yellow"/>
        </w:rPr>
        <w:t xml:space="preserve">. Het kabinet </w:t>
      </w:r>
      <w:r w:rsidRPr="00FD0E67" w:rsidR="00BC3932">
        <w:rPr>
          <w:rFonts w:ascii="Times New Roman" w:hAnsi="Times New Roman" w:eastAsia="Calibri" w:cs="Times New Roman"/>
          <w:sz w:val="24"/>
          <w:szCs w:val="24"/>
          <w:highlight w:val="yellow"/>
        </w:rPr>
        <w:t xml:space="preserve">vindt </w:t>
      </w:r>
      <w:r w:rsidRPr="00FD0E67">
        <w:rPr>
          <w:rFonts w:ascii="Times New Roman" w:hAnsi="Times New Roman" w:eastAsia="Calibri" w:cs="Times New Roman"/>
          <w:sz w:val="24"/>
          <w:szCs w:val="24"/>
          <w:highlight w:val="yellow"/>
        </w:rPr>
        <w:t>dat</w:t>
      </w:r>
      <w:r w:rsidRPr="00FD0E67" w:rsidR="00BC3932">
        <w:rPr>
          <w:rFonts w:ascii="Times New Roman" w:hAnsi="Times New Roman" w:eastAsia="Calibri" w:cs="Times New Roman"/>
          <w:sz w:val="24"/>
          <w:szCs w:val="24"/>
          <w:highlight w:val="yellow"/>
        </w:rPr>
        <w:t xml:space="preserve"> dit uitgangspunt ook geldt bij WW-gerechtigden die in het buitenland verblijven.</w:t>
      </w:r>
      <w:r w:rsidRPr="00FD0E67">
        <w:rPr>
          <w:rFonts w:ascii="Times New Roman" w:hAnsi="Times New Roman" w:eastAsia="Calibri" w:cs="Times New Roman"/>
          <w:sz w:val="24"/>
          <w:szCs w:val="24"/>
          <w:highlight w:val="yellow"/>
        </w:rPr>
        <w:t xml:space="preserve"> </w:t>
      </w:r>
      <w:r w:rsidRPr="00FD0E67" w:rsidR="00331EEE">
        <w:rPr>
          <w:rFonts w:ascii="Times New Roman" w:hAnsi="Times New Roman" w:eastAsia="Calibri" w:cs="Times New Roman"/>
          <w:sz w:val="24"/>
          <w:szCs w:val="24"/>
          <w:highlight w:val="yellow"/>
        </w:rPr>
        <w:t xml:space="preserve">Het kabinet ziet dan ook graag dat het voorstel daar voldoende </w:t>
      </w:r>
      <w:r w:rsidRPr="00FD0E67" w:rsidR="005B428C">
        <w:rPr>
          <w:rFonts w:ascii="Times New Roman" w:hAnsi="Times New Roman" w:eastAsia="Calibri" w:cs="Times New Roman"/>
          <w:sz w:val="24"/>
          <w:szCs w:val="24"/>
          <w:highlight w:val="yellow"/>
        </w:rPr>
        <w:t>waarborgen</w:t>
      </w:r>
      <w:r w:rsidRPr="00FD0E67" w:rsidR="00331EEE">
        <w:rPr>
          <w:rFonts w:ascii="Times New Roman" w:hAnsi="Times New Roman" w:eastAsia="Calibri" w:cs="Times New Roman"/>
          <w:sz w:val="24"/>
          <w:szCs w:val="24"/>
          <w:highlight w:val="yellow"/>
        </w:rPr>
        <w:t xml:space="preserve"> voor bevat.</w:t>
      </w:r>
      <w:r w:rsidRPr="00FD0E67">
        <w:rPr>
          <w:rFonts w:ascii="Times New Roman" w:hAnsi="Times New Roman" w:eastAsia="Calibri" w:cs="Times New Roman"/>
          <w:sz w:val="24"/>
          <w:szCs w:val="24"/>
          <w:highlight w:val="yellow"/>
        </w:rPr>
        <w:t xml:space="preserve"> </w:t>
      </w:r>
    </w:p>
    <w:p w:rsidRPr="00FD0E67" w:rsidR="003E3C99" w:rsidP="003E3C99" w:rsidRDefault="003E3C99" w14:paraId="040947C5" w14:textId="77777777">
      <w:pPr>
        <w:spacing w:after="0"/>
        <w:rPr>
          <w:rFonts w:ascii="Times New Roman" w:hAnsi="Times New Roman" w:eastAsia="Calibri" w:cs="Times New Roman"/>
          <w:sz w:val="24"/>
          <w:szCs w:val="24"/>
          <w:highlight w:val="yellow"/>
        </w:rPr>
      </w:pPr>
    </w:p>
    <w:p w:rsidRPr="00FD0E67" w:rsidR="00D14CC7" w:rsidP="00765167" w:rsidRDefault="00D14CC7" w14:paraId="621646C7" w14:textId="6DFD47A5">
      <w:pPr>
        <w:spacing w:after="0"/>
        <w:rPr>
          <w:rFonts w:ascii="Times New Roman" w:hAnsi="Times New Roman" w:eastAsia="Calibri" w:cs="Times New Roman"/>
          <w:i/>
          <w:sz w:val="24"/>
          <w:szCs w:val="24"/>
          <w:highlight w:val="yellow"/>
        </w:rPr>
      </w:pPr>
      <w:r w:rsidRPr="00FD0E67">
        <w:rPr>
          <w:rFonts w:ascii="Times New Roman" w:hAnsi="Times New Roman" w:eastAsia="Calibri" w:cs="Times New Roman"/>
          <w:i/>
          <w:sz w:val="24"/>
          <w:szCs w:val="24"/>
          <w:highlight w:val="yellow"/>
        </w:rPr>
        <w:t>Aantal uitkeringen</w:t>
      </w:r>
    </w:p>
    <w:p w:rsidRPr="00FD0E67" w:rsidR="00541331" w:rsidP="003E3C99" w:rsidRDefault="00B811DE" w14:paraId="1D9B9612" w14:textId="1EC4D9F2">
      <w:pPr>
        <w:spacing w:after="0"/>
        <w:rPr>
          <w:rFonts w:ascii="Times New Roman" w:hAnsi="Times New Roman" w:eastAsia="Calibri" w:cs="Times New Roman"/>
          <w:sz w:val="24"/>
          <w:szCs w:val="24"/>
          <w:highlight w:val="yellow"/>
        </w:rPr>
      </w:pPr>
      <w:r w:rsidRPr="00FD0E67">
        <w:rPr>
          <w:rFonts w:ascii="Times New Roman" w:hAnsi="Times New Roman" w:eastAsia="Calibri" w:cs="Times New Roman"/>
          <w:sz w:val="24"/>
          <w:szCs w:val="24"/>
          <w:highlight w:val="yellow"/>
        </w:rPr>
        <w:t xml:space="preserve">Op dit moment is het aantal personen dat een WW-uitkering naar een andere lidstaat exporteert </w:t>
      </w:r>
      <w:r w:rsidRPr="00FD0E67" w:rsidR="00331EEE">
        <w:rPr>
          <w:rFonts w:ascii="Times New Roman" w:hAnsi="Times New Roman" w:eastAsia="Calibri" w:cs="Times New Roman"/>
          <w:sz w:val="24"/>
          <w:szCs w:val="24"/>
          <w:highlight w:val="yellow"/>
        </w:rPr>
        <w:t xml:space="preserve">relatief </w:t>
      </w:r>
      <w:r w:rsidRPr="00FD0E67">
        <w:rPr>
          <w:rFonts w:ascii="Times New Roman" w:hAnsi="Times New Roman" w:eastAsia="Calibri" w:cs="Times New Roman"/>
          <w:sz w:val="24"/>
          <w:szCs w:val="24"/>
          <w:highlight w:val="yellow"/>
        </w:rPr>
        <w:t xml:space="preserve">beperkt. In 2024 ging het om </w:t>
      </w:r>
      <w:proofErr w:type="gramStart"/>
      <w:r w:rsidRPr="00FD0E67" w:rsidR="002A4997">
        <w:rPr>
          <w:rFonts w:ascii="Times New Roman" w:hAnsi="Times New Roman" w:eastAsia="Calibri" w:cs="Times New Roman"/>
          <w:sz w:val="24"/>
          <w:szCs w:val="24"/>
          <w:highlight w:val="yellow"/>
        </w:rPr>
        <w:t>circa</w:t>
      </w:r>
      <w:proofErr w:type="gramEnd"/>
      <w:r w:rsidRPr="00FD0E67">
        <w:rPr>
          <w:rFonts w:ascii="Times New Roman" w:hAnsi="Times New Roman" w:eastAsia="Calibri" w:cs="Times New Roman"/>
          <w:sz w:val="24"/>
          <w:szCs w:val="24"/>
          <w:highlight w:val="yellow"/>
        </w:rPr>
        <w:t xml:space="preserve"> </w:t>
      </w:r>
      <w:r w:rsidRPr="00FD0E67" w:rsidR="00D71B08">
        <w:rPr>
          <w:rFonts w:ascii="Times New Roman" w:hAnsi="Times New Roman" w:eastAsia="Calibri" w:cs="Times New Roman"/>
          <w:sz w:val="24"/>
          <w:szCs w:val="24"/>
          <w:highlight w:val="yellow"/>
        </w:rPr>
        <w:t>3</w:t>
      </w:r>
      <w:r w:rsidRPr="00FD0E67" w:rsidR="00541331">
        <w:rPr>
          <w:rFonts w:ascii="Times New Roman" w:hAnsi="Times New Roman" w:eastAsia="Calibri" w:cs="Times New Roman"/>
          <w:sz w:val="24"/>
          <w:szCs w:val="24"/>
          <w:highlight w:val="yellow"/>
        </w:rPr>
        <w:t>.</w:t>
      </w:r>
      <w:r w:rsidRPr="00FD0E67" w:rsidR="00D71B08">
        <w:rPr>
          <w:rFonts w:ascii="Times New Roman" w:hAnsi="Times New Roman" w:eastAsia="Calibri" w:cs="Times New Roman"/>
          <w:sz w:val="24"/>
          <w:szCs w:val="24"/>
          <w:highlight w:val="yellow"/>
        </w:rPr>
        <w:t>0</w:t>
      </w:r>
      <w:r w:rsidRPr="00FD0E67" w:rsidR="002A4997">
        <w:rPr>
          <w:rFonts w:ascii="Times New Roman" w:hAnsi="Times New Roman" w:eastAsia="Calibri" w:cs="Times New Roman"/>
          <w:sz w:val="24"/>
          <w:szCs w:val="24"/>
          <w:highlight w:val="yellow"/>
        </w:rPr>
        <w:t>00</w:t>
      </w:r>
      <w:r w:rsidRPr="00FD0E67">
        <w:rPr>
          <w:rFonts w:ascii="Times New Roman" w:hAnsi="Times New Roman" w:eastAsia="Calibri" w:cs="Times New Roman"/>
          <w:sz w:val="24"/>
          <w:szCs w:val="24"/>
          <w:highlight w:val="yellow"/>
        </w:rPr>
        <w:t xml:space="preserve"> personen</w:t>
      </w:r>
      <w:r w:rsidRPr="00FD0E67" w:rsidR="004051E0">
        <w:rPr>
          <w:rStyle w:val="Voetnootmarkering"/>
          <w:rFonts w:ascii="Times New Roman" w:hAnsi="Times New Roman" w:eastAsia="Calibri" w:cs="Times New Roman"/>
          <w:sz w:val="24"/>
          <w:szCs w:val="24"/>
          <w:highlight w:val="yellow"/>
        </w:rPr>
        <w:footnoteReference w:id="8"/>
      </w:r>
      <w:r w:rsidRPr="00FD0E67">
        <w:rPr>
          <w:rFonts w:ascii="Times New Roman" w:hAnsi="Times New Roman" w:eastAsia="Calibri" w:cs="Times New Roman"/>
          <w:sz w:val="24"/>
          <w:szCs w:val="24"/>
          <w:highlight w:val="yellow"/>
        </w:rPr>
        <w:t xml:space="preserve">. </w:t>
      </w:r>
      <w:r w:rsidRPr="00FD0E67" w:rsidR="00F8771F">
        <w:rPr>
          <w:rFonts w:ascii="Times New Roman" w:hAnsi="Times New Roman" w:eastAsia="Calibri" w:cs="Times New Roman"/>
          <w:sz w:val="24"/>
          <w:szCs w:val="24"/>
          <w:highlight w:val="yellow"/>
        </w:rPr>
        <w:t>In 2022</w:t>
      </w:r>
      <w:r w:rsidRPr="00FD0E67" w:rsidR="006E0FE8">
        <w:rPr>
          <w:rFonts w:ascii="Times New Roman" w:hAnsi="Times New Roman" w:eastAsia="Calibri" w:cs="Times New Roman"/>
          <w:sz w:val="24"/>
          <w:szCs w:val="24"/>
          <w:highlight w:val="yellow"/>
        </w:rPr>
        <w:t xml:space="preserve"> verscheen een rapport </w:t>
      </w:r>
      <w:r w:rsidRPr="00FD0E67" w:rsidR="00541331">
        <w:rPr>
          <w:rFonts w:ascii="Times New Roman" w:hAnsi="Times New Roman" w:eastAsia="Calibri" w:cs="Times New Roman"/>
          <w:sz w:val="24"/>
          <w:szCs w:val="24"/>
          <w:highlight w:val="yellow"/>
        </w:rPr>
        <w:t>van d</w:t>
      </w:r>
      <w:r w:rsidRPr="00FD0E67" w:rsidR="00D14CC7">
        <w:rPr>
          <w:rFonts w:ascii="Times New Roman" w:hAnsi="Times New Roman" w:eastAsia="Calibri" w:cs="Times New Roman"/>
          <w:sz w:val="24"/>
          <w:szCs w:val="24"/>
          <w:highlight w:val="yellow"/>
        </w:rPr>
        <w:t xml:space="preserve">e Algemene Rekenkamer </w:t>
      </w:r>
      <w:r w:rsidRPr="00FD0E67" w:rsidR="00331EEE">
        <w:rPr>
          <w:rFonts w:ascii="Times New Roman" w:hAnsi="Times New Roman" w:eastAsia="Calibri" w:cs="Times New Roman"/>
          <w:sz w:val="24"/>
          <w:szCs w:val="24"/>
          <w:highlight w:val="yellow"/>
        </w:rPr>
        <w:t>over</w:t>
      </w:r>
      <w:r w:rsidRPr="00FD0E67" w:rsidR="00541331">
        <w:rPr>
          <w:rFonts w:ascii="Times New Roman" w:hAnsi="Times New Roman" w:eastAsia="Calibri" w:cs="Times New Roman"/>
          <w:sz w:val="24"/>
          <w:szCs w:val="24"/>
          <w:highlight w:val="yellow"/>
        </w:rPr>
        <w:t xml:space="preserve"> </w:t>
      </w:r>
      <w:r w:rsidRPr="00FD0E67" w:rsidR="006E0FE8">
        <w:rPr>
          <w:rFonts w:ascii="Times New Roman" w:hAnsi="Times New Roman" w:eastAsia="Calibri" w:cs="Times New Roman"/>
          <w:sz w:val="24"/>
          <w:szCs w:val="24"/>
          <w:highlight w:val="yellow"/>
        </w:rPr>
        <w:t xml:space="preserve">de </w:t>
      </w:r>
      <w:r w:rsidRPr="00FD0E67" w:rsidR="00541331">
        <w:rPr>
          <w:rFonts w:ascii="Times New Roman" w:hAnsi="Times New Roman" w:eastAsia="Calibri" w:cs="Times New Roman"/>
          <w:sz w:val="24"/>
          <w:szCs w:val="24"/>
          <w:highlight w:val="yellow"/>
        </w:rPr>
        <w:t xml:space="preserve">omvang van Nederlandse uitkeringen in het </w:t>
      </w:r>
      <w:r w:rsidRPr="00FD0E67" w:rsidR="00541331">
        <w:rPr>
          <w:rFonts w:ascii="Times New Roman" w:hAnsi="Times New Roman" w:eastAsia="Calibri" w:cs="Times New Roman"/>
          <w:sz w:val="24"/>
          <w:szCs w:val="24"/>
          <w:highlight w:val="yellow"/>
        </w:rPr>
        <w:lastRenderedPageBreak/>
        <w:t>buitenland</w:t>
      </w:r>
      <w:r w:rsidRPr="00FD0E67" w:rsidR="006E0FE8">
        <w:rPr>
          <w:rStyle w:val="Voetnootmarkering"/>
          <w:rFonts w:ascii="Times New Roman" w:hAnsi="Times New Roman" w:eastAsia="Calibri" w:cs="Times New Roman"/>
          <w:sz w:val="24"/>
          <w:szCs w:val="24"/>
          <w:highlight w:val="yellow"/>
        </w:rPr>
        <w:footnoteReference w:id="9"/>
      </w:r>
      <w:r w:rsidRPr="00FD0E67" w:rsidR="00541331">
        <w:rPr>
          <w:rFonts w:ascii="Times New Roman" w:hAnsi="Times New Roman" w:eastAsia="Calibri" w:cs="Times New Roman"/>
          <w:sz w:val="24"/>
          <w:szCs w:val="24"/>
          <w:highlight w:val="yellow"/>
        </w:rPr>
        <w:t xml:space="preserve">. </w:t>
      </w:r>
      <w:r w:rsidRPr="00FD0E67" w:rsidR="00331EEE">
        <w:rPr>
          <w:rFonts w:ascii="Times New Roman" w:hAnsi="Times New Roman" w:eastAsia="Calibri" w:cs="Times New Roman"/>
          <w:sz w:val="24"/>
          <w:szCs w:val="24"/>
          <w:highlight w:val="yellow"/>
        </w:rPr>
        <w:t>De Rekenkamer heeft</w:t>
      </w:r>
      <w:r w:rsidRPr="00FD0E67" w:rsidR="00541331">
        <w:rPr>
          <w:rFonts w:ascii="Times New Roman" w:hAnsi="Times New Roman" w:eastAsia="Calibri" w:cs="Times New Roman"/>
          <w:sz w:val="24"/>
          <w:szCs w:val="24"/>
          <w:highlight w:val="yellow"/>
        </w:rPr>
        <w:t xml:space="preserve"> onderzocht in hoeverre een verlenging van de exporttermijn van de WW-uitkering van drie naar zes maanden tot meer export zou leiden. Dit effect bleek beperkt te zijn.</w:t>
      </w:r>
      <w:r w:rsidRPr="00FD0E67" w:rsidR="00D14CC7">
        <w:rPr>
          <w:rFonts w:ascii="Times New Roman" w:hAnsi="Times New Roman" w:eastAsia="Calibri" w:cs="Times New Roman"/>
          <w:sz w:val="24"/>
          <w:szCs w:val="24"/>
          <w:highlight w:val="yellow"/>
        </w:rPr>
        <w:t xml:space="preserve"> Ongeveer de helft van de 10.800 mensen die in de periode 2018-2020 een werkloosheidsuitkering exporteerden, had hier namelijk slechts </w:t>
      </w:r>
      <w:r w:rsidRPr="00FD0E67" w:rsidR="00076896">
        <w:rPr>
          <w:rFonts w:ascii="Times New Roman" w:hAnsi="Times New Roman" w:eastAsia="Calibri" w:cs="Times New Roman"/>
          <w:sz w:val="24"/>
          <w:szCs w:val="24"/>
          <w:highlight w:val="yellow"/>
        </w:rPr>
        <w:t>drie</w:t>
      </w:r>
      <w:r w:rsidRPr="00FD0E67" w:rsidR="00D14CC7">
        <w:rPr>
          <w:rFonts w:ascii="Times New Roman" w:hAnsi="Times New Roman" w:eastAsia="Calibri" w:cs="Times New Roman"/>
          <w:sz w:val="24"/>
          <w:szCs w:val="24"/>
          <w:highlight w:val="yellow"/>
        </w:rPr>
        <w:t xml:space="preserve"> maanden of minder recht op. Slechts 21% had </w:t>
      </w:r>
      <w:r w:rsidRPr="00FD0E67" w:rsidR="00076896">
        <w:rPr>
          <w:rFonts w:ascii="Times New Roman" w:hAnsi="Times New Roman" w:eastAsia="Calibri" w:cs="Times New Roman"/>
          <w:sz w:val="24"/>
          <w:szCs w:val="24"/>
          <w:highlight w:val="yellow"/>
        </w:rPr>
        <w:t>zes</w:t>
      </w:r>
      <w:r w:rsidRPr="00FD0E67" w:rsidR="00D14CC7">
        <w:rPr>
          <w:rFonts w:ascii="Times New Roman" w:hAnsi="Times New Roman" w:eastAsia="Calibri" w:cs="Times New Roman"/>
          <w:sz w:val="24"/>
          <w:szCs w:val="24"/>
          <w:highlight w:val="yellow"/>
        </w:rPr>
        <w:t xml:space="preserve"> maanden de uitkering kunnen exporteren, als het recht daartoe bestond. Dit </w:t>
      </w:r>
      <w:r w:rsidRPr="00FD0E67" w:rsidR="00331EEE">
        <w:rPr>
          <w:rFonts w:ascii="Times New Roman" w:hAnsi="Times New Roman" w:eastAsia="Calibri" w:cs="Times New Roman"/>
          <w:sz w:val="24"/>
          <w:szCs w:val="24"/>
          <w:highlight w:val="yellow"/>
        </w:rPr>
        <w:t xml:space="preserve">zou </w:t>
      </w:r>
      <w:r w:rsidRPr="00FD0E67" w:rsidR="00B80E21">
        <w:rPr>
          <w:rFonts w:ascii="Times New Roman" w:hAnsi="Times New Roman" w:eastAsia="Calibri" w:cs="Times New Roman"/>
          <w:sz w:val="24"/>
          <w:szCs w:val="24"/>
          <w:highlight w:val="yellow"/>
        </w:rPr>
        <w:t>op basis van</w:t>
      </w:r>
      <w:r w:rsidRPr="00FD0E67" w:rsidR="00A938C7">
        <w:rPr>
          <w:rFonts w:ascii="Times New Roman" w:hAnsi="Times New Roman" w:eastAsia="Calibri" w:cs="Times New Roman"/>
          <w:sz w:val="24"/>
          <w:szCs w:val="24"/>
          <w:highlight w:val="yellow"/>
        </w:rPr>
        <w:t xml:space="preserve"> de </w:t>
      </w:r>
      <w:r w:rsidRPr="00FD0E67" w:rsidR="00B80E21">
        <w:rPr>
          <w:rFonts w:ascii="Times New Roman" w:hAnsi="Times New Roman" w:eastAsia="Calibri" w:cs="Times New Roman"/>
          <w:sz w:val="24"/>
          <w:szCs w:val="24"/>
          <w:highlight w:val="yellow"/>
        </w:rPr>
        <w:t>gegevens</w:t>
      </w:r>
      <w:r w:rsidRPr="00FD0E67" w:rsidR="00A938C7">
        <w:rPr>
          <w:rFonts w:ascii="Times New Roman" w:hAnsi="Times New Roman" w:eastAsia="Calibri" w:cs="Times New Roman"/>
          <w:sz w:val="24"/>
          <w:szCs w:val="24"/>
          <w:highlight w:val="yellow"/>
        </w:rPr>
        <w:t xml:space="preserve"> uit de onderzochte periode </w:t>
      </w:r>
      <w:r w:rsidRPr="00FD0E67" w:rsidR="00331EEE">
        <w:rPr>
          <w:rFonts w:ascii="Times New Roman" w:hAnsi="Times New Roman" w:eastAsia="Calibri" w:cs="Times New Roman"/>
          <w:sz w:val="24"/>
          <w:szCs w:val="24"/>
          <w:highlight w:val="yellow"/>
        </w:rPr>
        <w:t>gaan om</w:t>
      </w:r>
      <w:r w:rsidRPr="00FD0E67" w:rsidR="00D14CC7">
        <w:rPr>
          <w:rFonts w:ascii="Times New Roman" w:hAnsi="Times New Roman" w:eastAsia="Calibri" w:cs="Times New Roman"/>
          <w:sz w:val="24"/>
          <w:szCs w:val="24"/>
          <w:highlight w:val="yellow"/>
        </w:rPr>
        <w:t xml:space="preserve"> gemiddeld 741 personen per jaar. </w:t>
      </w:r>
      <w:r w:rsidRPr="00FD0E67" w:rsidR="00541331">
        <w:rPr>
          <w:rFonts w:ascii="Times New Roman" w:hAnsi="Times New Roman" w:eastAsia="Calibri" w:cs="Times New Roman"/>
          <w:sz w:val="24"/>
          <w:szCs w:val="24"/>
          <w:highlight w:val="yellow"/>
        </w:rPr>
        <w:t>Met</w:t>
      </w:r>
      <w:r w:rsidRPr="00FD0E67" w:rsidR="00D14CC7">
        <w:rPr>
          <w:rFonts w:ascii="Times New Roman" w:hAnsi="Times New Roman" w:eastAsia="Calibri" w:cs="Times New Roman"/>
          <w:sz w:val="24"/>
          <w:szCs w:val="24"/>
          <w:highlight w:val="yellow"/>
        </w:rPr>
        <w:t xml:space="preserve"> andere woorden, een significante groep had </w:t>
      </w:r>
      <w:r w:rsidRPr="00FD0E67" w:rsidR="00541331">
        <w:rPr>
          <w:rFonts w:ascii="Times New Roman" w:hAnsi="Times New Roman" w:eastAsia="Calibri" w:cs="Times New Roman"/>
          <w:sz w:val="24"/>
          <w:szCs w:val="24"/>
          <w:highlight w:val="yellow"/>
        </w:rPr>
        <w:t>onvoldoende rechten opgebouwd om gebruik te kunnen maken van een exporttermijn van zes maanden.</w:t>
      </w:r>
    </w:p>
    <w:p w:rsidRPr="00FD0E67" w:rsidR="00541331" w:rsidP="003E3C99" w:rsidRDefault="00541331" w14:paraId="326B0BF2" w14:textId="77777777">
      <w:pPr>
        <w:spacing w:after="0"/>
        <w:rPr>
          <w:rFonts w:ascii="Times New Roman" w:hAnsi="Times New Roman" w:eastAsia="Calibri" w:cs="Times New Roman"/>
          <w:sz w:val="24"/>
          <w:szCs w:val="24"/>
          <w:highlight w:val="yellow"/>
        </w:rPr>
      </w:pPr>
    </w:p>
    <w:p w:rsidRPr="00FD0E67" w:rsidR="008964DD" w:rsidP="00685B61" w:rsidRDefault="008964DD" w14:paraId="036AC4D8" w14:textId="57ABBBEA">
      <w:pPr>
        <w:spacing w:after="0"/>
        <w:rPr>
          <w:rFonts w:ascii="Times New Roman" w:hAnsi="Times New Roman" w:eastAsia="Calibri" w:cs="Times New Roman"/>
          <w:sz w:val="24"/>
          <w:szCs w:val="24"/>
          <w:highlight w:val="yellow"/>
        </w:rPr>
      </w:pPr>
      <w:r w:rsidRPr="00FD0E67">
        <w:rPr>
          <w:rFonts w:ascii="Times New Roman" w:hAnsi="Times New Roman" w:eastAsia="Calibri" w:cs="Times New Roman"/>
          <w:sz w:val="24"/>
          <w:szCs w:val="24"/>
          <w:highlight w:val="yellow"/>
        </w:rPr>
        <w:t>Het herzieningsvoorstel omvat, naast de ver</w:t>
      </w:r>
      <w:r w:rsidRPr="00FD0E67" w:rsidR="00D425F5">
        <w:rPr>
          <w:rFonts w:ascii="Times New Roman" w:hAnsi="Times New Roman" w:eastAsia="Calibri" w:cs="Times New Roman"/>
          <w:sz w:val="24"/>
          <w:szCs w:val="24"/>
          <w:highlight w:val="yellow"/>
        </w:rPr>
        <w:t>lenging</w:t>
      </w:r>
      <w:r w:rsidRPr="00FD0E67">
        <w:rPr>
          <w:rFonts w:ascii="Times New Roman" w:hAnsi="Times New Roman" w:eastAsia="Calibri" w:cs="Times New Roman"/>
          <w:sz w:val="24"/>
          <w:szCs w:val="24"/>
          <w:highlight w:val="yellow"/>
        </w:rPr>
        <w:t xml:space="preserve"> van de exporttermijn, </w:t>
      </w:r>
      <w:r w:rsidRPr="00FD0E67" w:rsidR="00B80E21">
        <w:rPr>
          <w:rFonts w:ascii="Times New Roman" w:hAnsi="Times New Roman" w:eastAsia="Calibri" w:cs="Times New Roman"/>
          <w:sz w:val="24"/>
          <w:szCs w:val="24"/>
          <w:highlight w:val="yellow"/>
        </w:rPr>
        <w:t xml:space="preserve">echter </w:t>
      </w:r>
      <w:r w:rsidRPr="00FD0E67">
        <w:rPr>
          <w:rFonts w:ascii="Times New Roman" w:hAnsi="Times New Roman" w:eastAsia="Calibri" w:cs="Times New Roman"/>
          <w:sz w:val="24"/>
          <w:szCs w:val="24"/>
          <w:highlight w:val="yellow"/>
        </w:rPr>
        <w:t xml:space="preserve">ook andere maatregelen die de mogelijkheden om een WW-uitkering te exporteren verruimen. De </w:t>
      </w:r>
      <w:r w:rsidRPr="00FD0E67" w:rsidR="00076896">
        <w:rPr>
          <w:rFonts w:ascii="Times New Roman" w:hAnsi="Times New Roman" w:eastAsia="Calibri" w:cs="Times New Roman"/>
          <w:sz w:val="24"/>
          <w:szCs w:val="24"/>
          <w:highlight w:val="yellow"/>
        </w:rPr>
        <w:t>belangrijkste</w:t>
      </w:r>
      <w:r w:rsidRPr="00FD0E67">
        <w:rPr>
          <w:rFonts w:ascii="Times New Roman" w:hAnsi="Times New Roman" w:eastAsia="Calibri" w:cs="Times New Roman"/>
          <w:sz w:val="24"/>
          <w:szCs w:val="24"/>
          <w:highlight w:val="yellow"/>
        </w:rPr>
        <w:t xml:space="preserve"> wijziging</w:t>
      </w:r>
      <w:r w:rsidRPr="00FD0E67" w:rsidR="00076896">
        <w:rPr>
          <w:rFonts w:ascii="Times New Roman" w:hAnsi="Times New Roman" w:eastAsia="Calibri" w:cs="Times New Roman"/>
          <w:sz w:val="24"/>
          <w:szCs w:val="24"/>
          <w:highlight w:val="yellow"/>
        </w:rPr>
        <w:t xml:space="preserve"> daarbij</w:t>
      </w:r>
      <w:r w:rsidRPr="00FD0E67">
        <w:rPr>
          <w:rFonts w:ascii="Times New Roman" w:hAnsi="Times New Roman" w:eastAsia="Calibri" w:cs="Times New Roman"/>
          <w:sz w:val="24"/>
          <w:szCs w:val="24"/>
          <w:highlight w:val="yellow"/>
        </w:rPr>
        <w:t xml:space="preserve"> is de overgang naar het zogenoemde werklandbeginsel. </w:t>
      </w:r>
      <w:r w:rsidRPr="00FD0E67" w:rsidR="003F1726">
        <w:rPr>
          <w:rFonts w:ascii="Times New Roman" w:hAnsi="Times New Roman" w:eastAsia="Calibri" w:cs="Times New Roman"/>
          <w:sz w:val="24"/>
          <w:szCs w:val="24"/>
          <w:highlight w:val="yellow"/>
        </w:rPr>
        <w:t>Het werklandbeginsel breidt de exportmogelijkheden uit van personen die in een andere lidstaat wonen dan waar zij werkten na afloop van een bepaalde affiliatietermijn.</w:t>
      </w:r>
      <w:r w:rsidRPr="00FD0E67" w:rsidR="003F1726">
        <w:rPr>
          <w:rStyle w:val="Voetnootmarkering"/>
          <w:rFonts w:ascii="Times New Roman" w:hAnsi="Times New Roman" w:eastAsia="Calibri" w:cs="Times New Roman"/>
          <w:sz w:val="24"/>
          <w:szCs w:val="24"/>
          <w:highlight w:val="yellow"/>
        </w:rPr>
        <w:footnoteReference w:id="10"/>
      </w:r>
      <w:r w:rsidRPr="00FD0E67">
        <w:rPr>
          <w:rFonts w:ascii="Times New Roman" w:hAnsi="Times New Roman" w:eastAsia="Calibri" w:cs="Times New Roman"/>
          <w:sz w:val="24"/>
          <w:szCs w:val="24"/>
          <w:highlight w:val="yellow"/>
        </w:rPr>
        <w:t xml:space="preserve"> Als gevolg van deze maatregelen wordt verwacht dat het aantal geëxporteerde uitkeringen zal toenemen. Een </w:t>
      </w:r>
      <w:r w:rsidRPr="00FD0E67" w:rsidR="008445CF">
        <w:rPr>
          <w:rFonts w:ascii="Times New Roman" w:hAnsi="Times New Roman" w:eastAsia="Calibri" w:cs="Times New Roman"/>
          <w:sz w:val="24"/>
          <w:szCs w:val="24"/>
          <w:highlight w:val="yellow"/>
        </w:rPr>
        <w:t>becijfering</w:t>
      </w:r>
      <w:r w:rsidRPr="00FD0E67">
        <w:rPr>
          <w:rFonts w:ascii="Times New Roman" w:hAnsi="Times New Roman" w:eastAsia="Calibri" w:cs="Times New Roman"/>
          <w:sz w:val="24"/>
          <w:szCs w:val="24"/>
          <w:highlight w:val="yellow"/>
        </w:rPr>
        <w:t xml:space="preserve"> van deze toename is echter </w:t>
      </w:r>
      <w:r w:rsidRPr="00FD0E67" w:rsidR="008445CF">
        <w:rPr>
          <w:rFonts w:ascii="Times New Roman" w:hAnsi="Times New Roman" w:eastAsia="Calibri" w:cs="Times New Roman"/>
          <w:sz w:val="24"/>
          <w:szCs w:val="24"/>
          <w:highlight w:val="yellow"/>
        </w:rPr>
        <w:t>niet mogelijk</w:t>
      </w:r>
      <w:r w:rsidRPr="00FD0E67">
        <w:rPr>
          <w:rFonts w:ascii="Times New Roman" w:hAnsi="Times New Roman" w:eastAsia="Calibri" w:cs="Times New Roman"/>
          <w:sz w:val="24"/>
          <w:szCs w:val="24"/>
          <w:highlight w:val="yellow"/>
        </w:rPr>
        <w:t>,</w:t>
      </w:r>
      <w:r w:rsidRPr="00FD0E67" w:rsidR="008445CF">
        <w:rPr>
          <w:rFonts w:ascii="Times New Roman" w:hAnsi="Times New Roman" w:eastAsia="Calibri" w:cs="Times New Roman"/>
          <w:sz w:val="24"/>
          <w:szCs w:val="24"/>
          <w:highlight w:val="yellow"/>
        </w:rPr>
        <w:t xml:space="preserve"> omdat de gegevens hierover ontbreken.</w:t>
      </w:r>
    </w:p>
    <w:p w:rsidRPr="00FD0E67" w:rsidR="003E3C99" w:rsidP="00E123E0" w:rsidRDefault="00E13D57" w14:paraId="3F3D08E6" w14:textId="3C4CE9A3">
      <w:pPr>
        <w:spacing w:after="0"/>
        <w:rPr>
          <w:rFonts w:ascii="Times New Roman" w:hAnsi="Times New Roman" w:eastAsia="Calibri" w:cs="Times New Roman"/>
          <w:i/>
          <w:sz w:val="24"/>
          <w:szCs w:val="24"/>
          <w:highlight w:val="yellow"/>
        </w:rPr>
      </w:pPr>
      <w:r w:rsidRPr="00FD0E67">
        <w:rPr>
          <w:rFonts w:ascii="Times New Roman" w:hAnsi="Times New Roman" w:eastAsia="Calibri" w:cs="Times New Roman"/>
          <w:sz w:val="24"/>
          <w:szCs w:val="24"/>
          <w:highlight w:val="yellow"/>
        </w:rPr>
        <w:br/>
      </w:r>
      <w:r w:rsidRPr="00FD0E67" w:rsidR="003E3C99">
        <w:rPr>
          <w:rFonts w:ascii="Times New Roman" w:hAnsi="Times New Roman" w:eastAsia="Calibri" w:cs="Times New Roman"/>
          <w:i/>
          <w:sz w:val="24"/>
          <w:szCs w:val="24"/>
          <w:highlight w:val="yellow"/>
        </w:rPr>
        <w:t>Non-paper Modernisering Sociale Zekerheid</w:t>
      </w:r>
    </w:p>
    <w:p w:rsidRPr="005C2C20" w:rsidR="007E26B4" w:rsidP="007E26B4" w:rsidRDefault="00D24518" w14:paraId="1E8E39B9" w14:textId="3A3CD76E">
      <w:pPr>
        <w:rPr>
          <w:rFonts w:ascii="Times New Roman" w:hAnsi="Times New Roman" w:eastAsia="Calibri" w:cs="Times New Roman"/>
          <w:sz w:val="24"/>
          <w:szCs w:val="24"/>
        </w:rPr>
      </w:pPr>
      <w:r w:rsidRPr="00FD0E67">
        <w:rPr>
          <w:rFonts w:ascii="Times New Roman" w:hAnsi="Times New Roman" w:eastAsia="Calibri" w:cs="Times New Roman"/>
          <w:sz w:val="24"/>
          <w:szCs w:val="24"/>
          <w:highlight w:val="yellow"/>
        </w:rPr>
        <w:t>De leden van de D66-fractie vroegen ook naar de steun voor het Nederlandse non-paper.</w:t>
      </w:r>
      <w:r w:rsidRPr="00FD0E67" w:rsidR="00B811DE">
        <w:rPr>
          <w:rFonts w:ascii="Times New Roman" w:hAnsi="Times New Roman" w:eastAsia="Calibri" w:cs="Times New Roman"/>
          <w:sz w:val="24"/>
          <w:szCs w:val="24"/>
          <w:highlight w:val="yellow"/>
        </w:rPr>
        <w:t xml:space="preserve"> </w:t>
      </w:r>
      <w:r w:rsidRPr="00FD0E67" w:rsidR="002234DC">
        <w:rPr>
          <w:rFonts w:ascii="Times New Roman" w:hAnsi="Times New Roman" w:eastAsia="Calibri" w:cs="Times New Roman"/>
          <w:sz w:val="24"/>
          <w:szCs w:val="24"/>
          <w:highlight w:val="yellow"/>
        </w:rPr>
        <w:t xml:space="preserve">Het </w:t>
      </w:r>
      <w:r w:rsidRPr="00FD0E67" w:rsidR="00F624AD">
        <w:rPr>
          <w:rFonts w:ascii="Times New Roman" w:hAnsi="Times New Roman" w:eastAsia="Calibri" w:cs="Times New Roman"/>
          <w:sz w:val="24"/>
          <w:szCs w:val="24"/>
          <w:highlight w:val="yellow"/>
        </w:rPr>
        <w:t xml:space="preserve">Nederlandse </w:t>
      </w:r>
      <w:r w:rsidRPr="00FD0E67" w:rsidR="002234DC">
        <w:rPr>
          <w:rFonts w:ascii="Times New Roman" w:hAnsi="Times New Roman" w:eastAsia="Calibri" w:cs="Times New Roman"/>
          <w:sz w:val="24"/>
          <w:szCs w:val="24"/>
          <w:highlight w:val="yellow"/>
        </w:rPr>
        <w:t>non-paper van januari 2025</w:t>
      </w:r>
      <w:r w:rsidRPr="00FD0E67">
        <w:rPr>
          <w:rStyle w:val="Voetnootmarkering"/>
          <w:rFonts w:ascii="Times New Roman" w:hAnsi="Times New Roman" w:eastAsia="Calibri" w:cs="Times New Roman"/>
          <w:sz w:val="24"/>
          <w:szCs w:val="24"/>
          <w:highlight w:val="yellow"/>
        </w:rPr>
        <w:footnoteReference w:id="11"/>
      </w:r>
      <w:r w:rsidRPr="00FD0E67" w:rsidR="002234DC">
        <w:rPr>
          <w:rFonts w:ascii="Times New Roman" w:hAnsi="Times New Roman" w:eastAsia="Calibri" w:cs="Times New Roman"/>
          <w:sz w:val="24"/>
          <w:szCs w:val="24"/>
          <w:highlight w:val="yellow"/>
        </w:rPr>
        <w:t xml:space="preserve"> roept de Europese Commissie op om </w:t>
      </w:r>
      <w:r w:rsidRPr="00FD0E67" w:rsidR="00651D62">
        <w:rPr>
          <w:rFonts w:ascii="Times New Roman" w:hAnsi="Times New Roman" w:eastAsia="Calibri" w:cs="Times New Roman"/>
          <w:sz w:val="24"/>
          <w:szCs w:val="24"/>
          <w:highlight w:val="yellow"/>
        </w:rPr>
        <w:t>te komen tot een voorstel dat</w:t>
      </w:r>
      <w:r w:rsidRPr="00FD0E67" w:rsidR="002234DC">
        <w:rPr>
          <w:rFonts w:ascii="Times New Roman" w:hAnsi="Times New Roman" w:eastAsia="Calibri" w:cs="Times New Roman"/>
          <w:sz w:val="24"/>
          <w:szCs w:val="24"/>
          <w:highlight w:val="yellow"/>
        </w:rPr>
        <w:t xml:space="preserve"> beter aansluit bij de huidige arbeidsmarkt, die gekenmerkt wordt door flexibilisering, digitalisering en toegenomen grensoverschrijdend werk. </w:t>
      </w:r>
      <w:r w:rsidRPr="00FD0E67" w:rsidR="00327E75">
        <w:rPr>
          <w:rFonts w:ascii="Times New Roman" w:hAnsi="Times New Roman" w:eastAsia="Calibri" w:cs="Times New Roman"/>
          <w:sz w:val="24"/>
          <w:szCs w:val="24"/>
          <w:highlight w:val="yellow"/>
        </w:rPr>
        <w:t xml:space="preserve">Hoewel </w:t>
      </w:r>
      <w:r w:rsidRPr="00FD0E67" w:rsidR="00651D62">
        <w:rPr>
          <w:rFonts w:ascii="Times New Roman" w:hAnsi="Times New Roman" w:eastAsia="Calibri" w:cs="Times New Roman"/>
          <w:sz w:val="24"/>
          <w:szCs w:val="24"/>
          <w:highlight w:val="yellow"/>
        </w:rPr>
        <w:t>de</w:t>
      </w:r>
      <w:r w:rsidRPr="00FD0E67" w:rsidR="00327E75">
        <w:rPr>
          <w:rFonts w:ascii="Times New Roman" w:hAnsi="Times New Roman" w:eastAsia="Calibri" w:cs="Times New Roman"/>
          <w:sz w:val="24"/>
          <w:szCs w:val="24"/>
          <w:highlight w:val="yellow"/>
        </w:rPr>
        <w:t xml:space="preserve"> voorstellen </w:t>
      </w:r>
      <w:r w:rsidRPr="00FD0E67" w:rsidR="00651D62">
        <w:rPr>
          <w:rFonts w:ascii="Times New Roman" w:hAnsi="Times New Roman" w:eastAsia="Calibri" w:cs="Times New Roman"/>
          <w:sz w:val="24"/>
          <w:szCs w:val="24"/>
          <w:highlight w:val="yellow"/>
        </w:rPr>
        <w:t xml:space="preserve">door een deel van de lidstaten </w:t>
      </w:r>
      <w:r w:rsidRPr="00FD0E67" w:rsidR="00327E75">
        <w:rPr>
          <w:rFonts w:ascii="Times New Roman" w:hAnsi="Times New Roman" w:eastAsia="Calibri" w:cs="Times New Roman"/>
          <w:sz w:val="24"/>
          <w:szCs w:val="24"/>
          <w:highlight w:val="yellow"/>
        </w:rPr>
        <w:t>positief werden ontvangen, wil een grote groep lidstaten eerst een akkoord bereiken over het huidige voorstel. Dit bleek bijvoorbeeld tijdens het Poolse voorzitterschap, toen twaalf lidstaten in een brief expliciet opriepen om tot een akkoord te komen over het bestaande herzieningsvoorstel</w:t>
      </w:r>
      <w:r w:rsidRPr="00FD0E67" w:rsidR="002234DC">
        <w:rPr>
          <w:rStyle w:val="Voetnootmarkering"/>
          <w:rFonts w:ascii="Times New Roman" w:hAnsi="Times New Roman" w:eastAsia="Calibri" w:cs="Times New Roman"/>
          <w:sz w:val="24"/>
          <w:szCs w:val="24"/>
          <w:highlight w:val="yellow"/>
        </w:rPr>
        <w:footnoteReference w:id="12"/>
      </w:r>
      <w:r w:rsidRPr="00FD0E67" w:rsidR="002234DC">
        <w:rPr>
          <w:rFonts w:ascii="Times New Roman" w:hAnsi="Times New Roman" w:eastAsia="Calibri" w:cs="Times New Roman"/>
          <w:sz w:val="24"/>
          <w:szCs w:val="24"/>
          <w:highlight w:val="yellow"/>
        </w:rPr>
        <w:t>.</w:t>
      </w:r>
      <w:r w:rsidRPr="005C2C20" w:rsidR="00327E75">
        <w:rPr>
          <w:rFonts w:ascii="Times New Roman" w:hAnsi="Times New Roman" w:eastAsia="Calibri" w:cs="Times New Roman"/>
          <w:sz w:val="24"/>
          <w:szCs w:val="24"/>
        </w:rPr>
        <w:t xml:space="preserve"> </w:t>
      </w:r>
    </w:p>
    <w:p w:rsidRPr="005C2C20" w:rsidR="00620EA6" w:rsidP="00620EA6" w:rsidRDefault="00620EA6" w14:paraId="7BA95177" w14:textId="77777777">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Vragen</w:t>
      </w:r>
      <w:r w:rsidRPr="005C2C20" w:rsidR="5ABA6FB6">
        <w:rPr>
          <w:rFonts w:ascii="Times New Roman" w:hAnsi="Times New Roman" w:eastAsia="Times New Roman" w:cs="Times New Roman"/>
          <w:b/>
          <w:sz w:val="24"/>
          <w:szCs w:val="24"/>
          <w:lang w:eastAsia="nl-NL"/>
        </w:rPr>
        <w:t xml:space="preserve"> en </w:t>
      </w:r>
      <w:r w:rsidRPr="005C2C20">
        <w:rPr>
          <w:rFonts w:ascii="Times New Roman" w:hAnsi="Times New Roman" w:eastAsia="Times New Roman" w:cs="Times New Roman"/>
          <w:b/>
          <w:sz w:val="24"/>
          <w:szCs w:val="24"/>
          <w:lang w:eastAsia="nl-NL"/>
        </w:rPr>
        <w:t>opmerkingen van de leden van de CDA-fractie</w:t>
      </w:r>
    </w:p>
    <w:p w:rsidRPr="005C2C20" w:rsidR="5ABA6FB6" w:rsidP="00620EA6" w:rsidRDefault="5ABA6FB6" w14:paraId="1BC363E2" w14:textId="77777777">
      <w:pPr>
        <w:spacing w:after="0" w:line="240" w:lineRule="auto"/>
        <w:rPr>
          <w:rFonts w:ascii="Times New Roman" w:hAnsi="Times New Roman" w:eastAsia="Times New Roman" w:cs="Times New Roman"/>
          <w:b/>
          <w:sz w:val="24"/>
          <w:szCs w:val="24"/>
          <w:lang w:eastAsia="nl-NL"/>
        </w:rPr>
      </w:pPr>
    </w:p>
    <w:p w:rsidRPr="005C2C20" w:rsidR="5ABA6FB6" w:rsidP="009636B4" w:rsidRDefault="5ABA6FB6" w14:paraId="0315756B" w14:textId="77777777">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De leden van de CDA-fractie hebben met belangstelling kennisgenomen van de geannoteerde agenda en hebben daarbij enkele vragen.</w:t>
      </w:r>
    </w:p>
    <w:p w:rsidRPr="005C2C20" w:rsidR="00536EF4" w:rsidP="009636B4" w:rsidRDefault="5ABA6FB6" w14:paraId="71ECB291" w14:textId="77777777">
      <w:pPr>
        <w:rPr>
          <w:rFonts w:ascii="Times New Roman" w:hAnsi="Times New Roman" w:cs="Times New Roman"/>
          <w:b/>
          <w:sz w:val="24"/>
          <w:szCs w:val="24"/>
        </w:rPr>
      </w:pPr>
      <w:r w:rsidRPr="005C2C20">
        <w:rPr>
          <w:rFonts w:ascii="Times New Roman" w:hAnsi="Times New Roman" w:eastAsia="Calibri" w:cs="Times New Roman"/>
          <w:b/>
          <w:sz w:val="24"/>
          <w:szCs w:val="24"/>
        </w:rPr>
        <w:t xml:space="preserve">De leden van de CDA-fractie constateren dat het onderwerp Verordening 883/2004 niet is geagendeerd voor de Informele Raad, maar dat de geannoteerde agenda wel een kwartaalrapportage bevat. Deze leden nemen kennis van het feit dat Nederland de voorlopige politieke akkoorden in 2019 en 2021 niet steunde vanwege bezwaren bij verruiming van exportmogelijkheden in het werkloosheidshoofdstuk en dat Nederland inzet op modernisering, mede gelet op veranderingen in de arbeidsmarkt (digitalisering </w:t>
      </w:r>
      <w:r w:rsidRPr="005C2C20">
        <w:rPr>
          <w:rFonts w:ascii="Times New Roman" w:hAnsi="Times New Roman" w:eastAsia="Calibri" w:cs="Times New Roman"/>
          <w:b/>
          <w:sz w:val="24"/>
          <w:szCs w:val="24"/>
        </w:rPr>
        <w:lastRenderedPageBreak/>
        <w:t>en hybride werken). Deze leden lezen ook dat Cyprus de ambitie heeft uitgesproken om op dit dossier tot een akkoord te komen, terwijl er nog geen formele onderhandelingsmomenten gepland zijn. Deze leden vragen of de regering inmiddels zicht heeft op de beoogde aanpak van het Cypriotisch voorzitterschap om tot een doorbraak te komen, en wat dit betekent voor de Nederlandse onderhandelingspositie.</w:t>
      </w:r>
    </w:p>
    <w:p w:rsidRPr="00BC5407" w:rsidR="00491CD0" w:rsidP="009636B4" w:rsidRDefault="004A4AC8" w14:paraId="37D14CDF" w14:textId="428C7348">
      <w:pPr>
        <w:rPr>
          <w:rFonts w:ascii="Times New Roman" w:hAnsi="Times New Roman" w:eastAsia="Calibri" w:cs="Times New Roman"/>
          <w:b/>
          <w:sz w:val="24"/>
          <w:szCs w:val="24"/>
        </w:rPr>
      </w:pPr>
      <w:r w:rsidRPr="00FD0E67">
        <w:rPr>
          <w:rFonts w:ascii="Times New Roman" w:hAnsi="Times New Roman" w:eastAsia="Calibri" w:cs="Times New Roman"/>
          <w:sz w:val="24"/>
          <w:szCs w:val="24"/>
          <w:highlight w:val="yellow"/>
        </w:rPr>
        <w:t xml:space="preserve">Cyprus heeft de ambitie uitgesproken om de komende maanden tot een akkoord te komen, en veel belanghebbenden roepen daar ook toe op. </w:t>
      </w:r>
      <w:r w:rsidRPr="00FD0E67" w:rsidR="009805E9">
        <w:rPr>
          <w:rFonts w:ascii="Times New Roman" w:hAnsi="Times New Roman" w:eastAsia="Calibri" w:cs="Times New Roman"/>
          <w:sz w:val="24"/>
          <w:szCs w:val="24"/>
          <w:highlight w:val="yellow"/>
        </w:rPr>
        <w:t>Momenteel staa</w:t>
      </w:r>
      <w:r w:rsidRPr="00FD0E67" w:rsidR="00954BAC">
        <w:rPr>
          <w:rFonts w:ascii="Times New Roman" w:hAnsi="Times New Roman" w:eastAsia="Calibri" w:cs="Times New Roman"/>
          <w:sz w:val="24"/>
          <w:szCs w:val="24"/>
          <w:highlight w:val="yellow"/>
        </w:rPr>
        <w:t>n</w:t>
      </w:r>
      <w:r w:rsidRPr="00FD0E67" w:rsidR="009805E9">
        <w:rPr>
          <w:rFonts w:ascii="Times New Roman" w:hAnsi="Times New Roman" w:eastAsia="Calibri" w:cs="Times New Roman"/>
          <w:sz w:val="24"/>
          <w:szCs w:val="24"/>
          <w:highlight w:val="yellow"/>
        </w:rPr>
        <w:t xml:space="preserve"> er onder het Cypriotische voorzitterschap nog geen officiële onderhandelingsronde</w:t>
      </w:r>
      <w:r w:rsidRPr="00FD0E67" w:rsidR="00954BAC">
        <w:rPr>
          <w:rFonts w:ascii="Times New Roman" w:hAnsi="Times New Roman" w:eastAsia="Calibri" w:cs="Times New Roman"/>
          <w:sz w:val="24"/>
          <w:szCs w:val="24"/>
          <w:highlight w:val="yellow"/>
        </w:rPr>
        <w:t>n</w:t>
      </w:r>
      <w:r w:rsidRPr="00FD0E67" w:rsidR="009805E9">
        <w:rPr>
          <w:rFonts w:ascii="Times New Roman" w:hAnsi="Times New Roman" w:eastAsia="Calibri" w:cs="Times New Roman"/>
          <w:sz w:val="24"/>
          <w:szCs w:val="24"/>
          <w:highlight w:val="yellow"/>
        </w:rPr>
        <w:t xml:space="preserve"> gepland. </w:t>
      </w:r>
      <w:r w:rsidRPr="00FD0E67">
        <w:rPr>
          <w:rFonts w:ascii="Times New Roman" w:hAnsi="Times New Roman" w:eastAsia="Calibri" w:cs="Times New Roman"/>
          <w:sz w:val="24"/>
          <w:szCs w:val="24"/>
          <w:highlight w:val="yellow"/>
        </w:rPr>
        <w:t xml:space="preserve">De verwachting is dat deze momenten de komende periode zullen worden ingepland. </w:t>
      </w:r>
      <w:r w:rsidRPr="00FD0E67" w:rsidR="009805E9">
        <w:rPr>
          <w:rFonts w:ascii="Times New Roman" w:hAnsi="Times New Roman" w:eastAsia="Calibri" w:cs="Times New Roman"/>
          <w:sz w:val="24"/>
          <w:szCs w:val="24"/>
          <w:highlight w:val="yellow"/>
        </w:rPr>
        <w:t xml:space="preserve">Nederland blijft </w:t>
      </w:r>
      <w:r w:rsidRPr="00FD0E67" w:rsidR="00954BAC">
        <w:rPr>
          <w:rFonts w:ascii="Times New Roman" w:hAnsi="Times New Roman" w:eastAsia="Calibri" w:cs="Times New Roman"/>
          <w:sz w:val="24"/>
          <w:szCs w:val="24"/>
          <w:highlight w:val="yellow"/>
        </w:rPr>
        <w:t>zich inzetten voor</w:t>
      </w:r>
      <w:r w:rsidRPr="00FD0E67" w:rsidR="009805E9">
        <w:rPr>
          <w:rFonts w:ascii="Times New Roman" w:hAnsi="Times New Roman" w:eastAsia="Calibri" w:cs="Times New Roman"/>
          <w:sz w:val="24"/>
          <w:szCs w:val="24"/>
          <w:highlight w:val="yellow"/>
        </w:rPr>
        <w:t xml:space="preserve"> de noodzakelijke modernisering van de coördinatie van socialezekerheidsstelsels binnen de Europese Unie.</w:t>
      </w:r>
    </w:p>
    <w:p w:rsidRPr="005C2C20" w:rsidR="5ABA6FB6" w:rsidP="009636B4" w:rsidRDefault="5ABA6FB6" w14:paraId="752868F7" w14:textId="1FE5393B">
      <w:pPr>
        <w:rPr>
          <w:rFonts w:ascii="Times New Roman" w:hAnsi="Times New Roman" w:eastAsia="Calibri" w:cs="Times New Roman"/>
          <w:b/>
          <w:sz w:val="24"/>
          <w:szCs w:val="24"/>
        </w:rPr>
      </w:pPr>
      <w:bookmarkStart w:name="_Hlk221271671" w:id="1"/>
      <w:r w:rsidRPr="005C2C20">
        <w:rPr>
          <w:rFonts w:ascii="Times New Roman" w:hAnsi="Times New Roman" w:eastAsia="Calibri" w:cs="Times New Roman"/>
          <w:b/>
          <w:sz w:val="24"/>
          <w:szCs w:val="24"/>
        </w:rPr>
        <w:t>De leden van de CDA-fractie merken op dat Nederland bij het agendapunt “eerlijke werkgelegenheid voor sociale rechtvaardigheid” zal uitdragen dat een goed werkend internationaal verdragenstelsel bijdraagt aan fatsoenlijk werk en sociale rechtvaardigheid, en dat dit daarnaast bijdraagt aan een gelijk speelveld voor bedrijven. Ook nemen deze leden kennis van het feit dat Nederland daarbij de fundamentele IAO-verdragen prioritair noemt. Deze leden vragen welke concrete knelpunten de regering op dit moment ziet bij de naleving en handhaving van deze fundamentele arbeidsnormen in de praktijk, en welke punten Nederland hierover concreet wil inbrengen in de gedachtewisseling tijdens de Informele Raad.</w:t>
      </w:r>
    </w:p>
    <w:p w:rsidRPr="005C2C20" w:rsidR="0013499F" w:rsidP="0013499F" w:rsidRDefault="0013499F" w14:paraId="423143D2" w14:textId="65E97F61">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Door economische en </w:t>
      </w:r>
      <w:r w:rsidRPr="005C2C20" w:rsidR="004908D6">
        <w:rPr>
          <w:rFonts w:ascii="Times New Roman" w:hAnsi="Times New Roman" w:eastAsia="Calibri" w:cs="Times New Roman"/>
          <w:sz w:val="24"/>
          <w:szCs w:val="24"/>
        </w:rPr>
        <w:t>geo</w:t>
      </w:r>
      <w:r w:rsidRPr="005C2C20">
        <w:rPr>
          <w:rFonts w:ascii="Times New Roman" w:hAnsi="Times New Roman" w:eastAsia="Calibri" w:cs="Times New Roman"/>
          <w:sz w:val="24"/>
          <w:szCs w:val="24"/>
        </w:rPr>
        <w:t xml:space="preserve">politieke crises, digitalisering en klimaatverandering zijn de fundamentele principes de afgelopen </w:t>
      </w:r>
      <w:r w:rsidRPr="005C2C20" w:rsidR="00684405">
        <w:rPr>
          <w:rFonts w:ascii="Times New Roman" w:hAnsi="Times New Roman" w:eastAsia="Calibri" w:cs="Times New Roman"/>
          <w:sz w:val="24"/>
          <w:szCs w:val="24"/>
        </w:rPr>
        <w:t>tien</w:t>
      </w:r>
      <w:r w:rsidRPr="005C2C20">
        <w:rPr>
          <w:rFonts w:ascii="Times New Roman" w:hAnsi="Times New Roman" w:eastAsia="Calibri" w:cs="Times New Roman"/>
          <w:sz w:val="24"/>
          <w:szCs w:val="24"/>
        </w:rPr>
        <w:t xml:space="preserve"> jaar wereldwijd onder druk komen te staan</w:t>
      </w:r>
      <w:r w:rsidRPr="005C2C20" w:rsidR="00014141">
        <w:rPr>
          <w:rFonts w:ascii="Times New Roman" w:hAnsi="Times New Roman" w:eastAsia="Calibri" w:cs="Times New Roman"/>
          <w:sz w:val="24"/>
          <w:szCs w:val="24"/>
        </w:rPr>
        <w:t>.</w:t>
      </w:r>
      <w:r w:rsidRPr="005C2C20" w:rsidR="00F55A35">
        <w:rPr>
          <w:rFonts w:ascii="Times New Roman" w:hAnsi="Times New Roman" w:eastAsia="Calibri" w:cs="Times New Roman"/>
          <w:sz w:val="24"/>
          <w:szCs w:val="24"/>
        </w:rPr>
        <w:t xml:space="preserve"> </w:t>
      </w:r>
      <w:r w:rsidR="00DB237D">
        <w:rPr>
          <w:rFonts w:ascii="Times New Roman" w:hAnsi="Times New Roman" w:eastAsia="Calibri" w:cs="Times New Roman"/>
          <w:sz w:val="24"/>
          <w:szCs w:val="24"/>
        </w:rPr>
        <w:t xml:space="preserve">Zo </w:t>
      </w:r>
      <w:r w:rsidR="00EC4738">
        <w:rPr>
          <w:rFonts w:ascii="Times New Roman" w:hAnsi="Times New Roman" w:eastAsia="Calibri" w:cs="Times New Roman"/>
          <w:sz w:val="24"/>
          <w:szCs w:val="24"/>
        </w:rPr>
        <w:t>heeft</w:t>
      </w:r>
      <w:r w:rsidR="00DB237D">
        <w:rPr>
          <w:rFonts w:ascii="Times New Roman" w:hAnsi="Times New Roman" w:eastAsia="Calibri" w:cs="Times New Roman"/>
          <w:sz w:val="24"/>
          <w:szCs w:val="24"/>
        </w:rPr>
        <w:t xml:space="preserve"> het</w:t>
      </w:r>
      <w:r w:rsidR="0017556A">
        <w:rPr>
          <w:rFonts w:ascii="Times New Roman" w:hAnsi="Times New Roman" w:eastAsia="Calibri" w:cs="Times New Roman"/>
          <w:sz w:val="24"/>
          <w:szCs w:val="24"/>
        </w:rPr>
        <w:t xml:space="preserve"> ILO-expertcomité over de toepassing van arbeidsnormen (CEACR)</w:t>
      </w:r>
      <w:r w:rsidR="00DB237D">
        <w:rPr>
          <w:rFonts w:ascii="Times New Roman" w:hAnsi="Times New Roman" w:eastAsia="Calibri" w:cs="Times New Roman"/>
          <w:sz w:val="24"/>
          <w:szCs w:val="24"/>
        </w:rPr>
        <w:t xml:space="preserve"> </w:t>
      </w:r>
      <w:r w:rsidR="0017556A">
        <w:rPr>
          <w:rFonts w:ascii="Times New Roman" w:hAnsi="Times New Roman" w:eastAsia="Calibri" w:cs="Times New Roman"/>
          <w:sz w:val="24"/>
          <w:szCs w:val="24"/>
        </w:rPr>
        <w:t>zorgen</w:t>
      </w:r>
      <w:r w:rsidR="00EC4738">
        <w:rPr>
          <w:rFonts w:ascii="Times New Roman" w:hAnsi="Times New Roman" w:eastAsia="Calibri" w:cs="Times New Roman"/>
          <w:sz w:val="24"/>
          <w:szCs w:val="24"/>
        </w:rPr>
        <w:t xml:space="preserve"> geuit</w:t>
      </w:r>
      <w:r w:rsidR="0017556A">
        <w:rPr>
          <w:rFonts w:ascii="Times New Roman" w:hAnsi="Times New Roman" w:eastAsia="Calibri" w:cs="Times New Roman"/>
          <w:sz w:val="24"/>
          <w:szCs w:val="24"/>
        </w:rPr>
        <w:t xml:space="preserve"> over de toename van geweld in de wereld van werk. </w:t>
      </w:r>
      <w:r w:rsidR="00DB237D">
        <w:rPr>
          <w:rFonts w:ascii="Times New Roman" w:hAnsi="Times New Roman" w:eastAsia="Calibri" w:cs="Times New Roman"/>
          <w:sz w:val="24"/>
          <w:szCs w:val="24"/>
        </w:rPr>
        <w:t>Het comité ziet</w:t>
      </w:r>
      <w:r w:rsidR="0017556A">
        <w:rPr>
          <w:rFonts w:ascii="Times New Roman" w:hAnsi="Times New Roman" w:eastAsia="Calibri" w:cs="Times New Roman"/>
          <w:sz w:val="24"/>
          <w:szCs w:val="24"/>
        </w:rPr>
        <w:t xml:space="preserve"> een toename van aanklachten over geweld, waaronder moorden, in relatie tot verdragen die zien op de vrijheid van vakvereniging en discriminatie.</w:t>
      </w:r>
      <w:r w:rsidR="00465B76">
        <w:rPr>
          <w:rStyle w:val="Voetnootmarkering"/>
          <w:rFonts w:ascii="Times New Roman" w:hAnsi="Times New Roman" w:eastAsia="Calibri" w:cs="Times New Roman"/>
          <w:sz w:val="24"/>
          <w:szCs w:val="24"/>
        </w:rPr>
        <w:footnoteReference w:id="13"/>
      </w:r>
      <w:r w:rsidR="0017556A">
        <w:rPr>
          <w:rFonts w:ascii="Times New Roman" w:hAnsi="Times New Roman" w:eastAsia="Calibri" w:cs="Times New Roman"/>
          <w:sz w:val="24"/>
          <w:szCs w:val="24"/>
        </w:rPr>
        <w:t xml:space="preserve"> </w:t>
      </w:r>
      <w:r w:rsidR="00465B76">
        <w:rPr>
          <w:rFonts w:ascii="Times New Roman" w:hAnsi="Times New Roman" w:eastAsia="Calibri" w:cs="Times New Roman"/>
          <w:sz w:val="24"/>
          <w:szCs w:val="24"/>
        </w:rPr>
        <w:t>Het EU-voorzitterschap heeft deze zorgen tijdens de Internationale Arbeidsconferentie van 2025 onderschreven</w:t>
      </w:r>
      <w:r w:rsidR="0017556A">
        <w:rPr>
          <w:rFonts w:ascii="Times New Roman" w:hAnsi="Times New Roman" w:eastAsia="Calibri" w:cs="Times New Roman"/>
          <w:sz w:val="24"/>
          <w:szCs w:val="24"/>
        </w:rPr>
        <w:t>.</w:t>
      </w:r>
      <w:r w:rsidR="00465B76">
        <w:rPr>
          <w:rStyle w:val="Voetnootmarkering"/>
          <w:rFonts w:ascii="Times New Roman" w:hAnsi="Times New Roman" w:eastAsia="Calibri" w:cs="Times New Roman"/>
          <w:sz w:val="24"/>
          <w:szCs w:val="24"/>
        </w:rPr>
        <w:footnoteReference w:id="14"/>
      </w:r>
      <w:r w:rsidR="0017556A">
        <w:rPr>
          <w:rFonts w:ascii="Times New Roman" w:hAnsi="Times New Roman" w:eastAsia="Calibri" w:cs="Times New Roman"/>
          <w:sz w:val="24"/>
          <w:szCs w:val="24"/>
        </w:rPr>
        <w:t xml:space="preserve"> </w:t>
      </w:r>
      <w:r w:rsidRPr="0013499F">
        <w:rPr>
          <w:rFonts w:ascii="Times New Roman" w:hAnsi="Times New Roman" w:eastAsia="Calibri" w:cs="Times New Roman"/>
          <w:sz w:val="24"/>
          <w:szCs w:val="24"/>
        </w:rPr>
        <w:t xml:space="preserve">Tegelijkertijd is er hernieuwd momentum ontstaan om vooruitgang te boeken. </w:t>
      </w:r>
      <w:r w:rsidRPr="005C2C20">
        <w:rPr>
          <w:rFonts w:ascii="Times New Roman" w:hAnsi="Times New Roman" w:eastAsia="Calibri" w:cs="Times New Roman"/>
          <w:sz w:val="24"/>
          <w:szCs w:val="24"/>
        </w:rPr>
        <w:t>Zo is het recht op een gezonde en veilige werkomgeving in 2022 aangewezen als vijfde fundamentele principe en is het Verdrag tegen de Ergste Vormen van Kinderarbeid - als eerste verdrag - universeel geratificeerd.</w:t>
      </w:r>
    </w:p>
    <w:p w:rsidRPr="005C2C20" w:rsidR="00E344B5" w:rsidP="00D80E71" w:rsidRDefault="00684405" w14:paraId="75481049" w14:textId="62BE232E">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Het kabinet ziet </w:t>
      </w:r>
      <w:r w:rsidRPr="005C2C20" w:rsidR="00356AD3">
        <w:rPr>
          <w:rFonts w:ascii="Times New Roman" w:hAnsi="Times New Roman" w:eastAsia="Calibri" w:cs="Times New Roman"/>
          <w:sz w:val="24"/>
          <w:szCs w:val="24"/>
        </w:rPr>
        <w:t xml:space="preserve">de fundamentele arbeidsnormen </w:t>
      </w:r>
      <w:r w:rsidRPr="005C2C20">
        <w:rPr>
          <w:rFonts w:ascii="Times New Roman" w:hAnsi="Times New Roman" w:eastAsia="Calibri" w:cs="Times New Roman"/>
          <w:sz w:val="24"/>
          <w:szCs w:val="24"/>
        </w:rPr>
        <w:t>als</w:t>
      </w:r>
      <w:r w:rsidRPr="005C2C20" w:rsidR="00356AD3">
        <w:rPr>
          <w:rFonts w:ascii="Times New Roman" w:hAnsi="Times New Roman" w:eastAsia="Calibri" w:cs="Times New Roman"/>
          <w:sz w:val="24"/>
          <w:szCs w:val="24"/>
        </w:rPr>
        <w:t xml:space="preserve"> </w:t>
      </w:r>
      <w:r w:rsidRPr="005C2C20" w:rsidR="00DE1BE3">
        <w:rPr>
          <w:rFonts w:ascii="Times New Roman" w:hAnsi="Times New Roman" w:eastAsia="Calibri" w:cs="Times New Roman"/>
          <w:sz w:val="24"/>
          <w:szCs w:val="24"/>
        </w:rPr>
        <w:t>een belangrijke pilaar</w:t>
      </w:r>
      <w:r w:rsidRPr="005C2C20" w:rsidR="00356AD3">
        <w:rPr>
          <w:rFonts w:ascii="Times New Roman" w:hAnsi="Times New Roman" w:eastAsia="Calibri" w:cs="Times New Roman"/>
          <w:sz w:val="24"/>
          <w:szCs w:val="24"/>
        </w:rPr>
        <w:t xml:space="preserve"> voor het bereiken van fatsoenlijk werk en sociale rechtvaardigheid. </w:t>
      </w:r>
      <w:r w:rsidRPr="005C2C20" w:rsidR="0013499F">
        <w:rPr>
          <w:rFonts w:ascii="Times New Roman" w:hAnsi="Times New Roman" w:eastAsia="Calibri" w:cs="Times New Roman"/>
          <w:sz w:val="24"/>
          <w:szCs w:val="24"/>
        </w:rPr>
        <w:t>Nederland maakt zich</w:t>
      </w:r>
      <w:r w:rsidRPr="005C2C20" w:rsidR="00DE1BE3">
        <w:rPr>
          <w:rFonts w:ascii="Times New Roman" w:hAnsi="Times New Roman" w:eastAsia="Calibri" w:cs="Times New Roman"/>
          <w:sz w:val="24"/>
          <w:szCs w:val="24"/>
        </w:rPr>
        <w:t xml:space="preserve"> dan ook</w:t>
      </w:r>
      <w:r w:rsidRPr="005C2C20" w:rsidR="0013499F">
        <w:rPr>
          <w:rFonts w:ascii="Times New Roman" w:hAnsi="Times New Roman" w:eastAsia="Calibri" w:cs="Times New Roman"/>
          <w:sz w:val="24"/>
          <w:szCs w:val="24"/>
        </w:rPr>
        <w:t xml:space="preserve"> sterk voor de ratificatie en effectieve implementatie van alle fundamentele verdragen</w:t>
      </w:r>
      <w:r w:rsidRPr="005C2C20" w:rsidR="00976C70">
        <w:rPr>
          <w:rFonts w:ascii="Times New Roman" w:hAnsi="Times New Roman" w:eastAsia="Calibri" w:cs="Times New Roman"/>
          <w:sz w:val="24"/>
          <w:szCs w:val="24"/>
        </w:rPr>
        <w:t xml:space="preserve"> en onafhankelijk toezicht door de </w:t>
      </w:r>
      <w:r w:rsidRPr="005C2C20" w:rsidR="002F0375">
        <w:rPr>
          <w:rFonts w:ascii="Times New Roman" w:hAnsi="Times New Roman" w:eastAsia="Calibri" w:cs="Times New Roman"/>
          <w:sz w:val="24"/>
          <w:szCs w:val="24"/>
        </w:rPr>
        <w:t>Internationale Arbeidsorganisatie (IAO)</w:t>
      </w:r>
      <w:r w:rsidRPr="005C2C20" w:rsidR="00D80E71">
        <w:rPr>
          <w:rFonts w:ascii="Times New Roman" w:hAnsi="Times New Roman" w:eastAsia="Calibri" w:cs="Times New Roman"/>
          <w:sz w:val="24"/>
          <w:szCs w:val="24"/>
        </w:rPr>
        <w:t>.</w:t>
      </w:r>
      <w:r w:rsidRPr="005C2C20" w:rsidR="00976C70">
        <w:rPr>
          <w:rFonts w:ascii="Times New Roman" w:hAnsi="Times New Roman" w:eastAsia="Calibri" w:cs="Times New Roman"/>
          <w:sz w:val="24"/>
          <w:szCs w:val="24"/>
        </w:rPr>
        <w:t xml:space="preserve"> Dit zal </w:t>
      </w:r>
      <w:r w:rsidRPr="005C2C20" w:rsidR="00A17948">
        <w:rPr>
          <w:rFonts w:ascii="Times New Roman" w:hAnsi="Times New Roman" w:eastAsia="Calibri" w:cs="Times New Roman"/>
          <w:sz w:val="24"/>
          <w:szCs w:val="24"/>
        </w:rPr>
        <w:t xml:space="preserve">Nederland </w:t>
      </w:r>
      <w:r w:rsidRPr="005C2C20" w:rsidR="00976C70">
        <w:rPr>
          <w:rFonts w:ascii="Times New Roman" w:hAnsi="Times New Roman" w:eastAsia="Calibri" w:cs="Times New Roman"/>
          <w:sz w:val="24"/>
          <w:szCs w:val="24"/>
        </w:rPr>
        <w:t xml:space="preserve">inbrengen tijdens de gedachtewisseling bij de Informele Raad. </w:t>
      </w:r>
      <w:r w:rsidRPr="005C2C20" w:rsidR="00D80E71">
        <w:rPr>
          <w:rFonts w:ascii="Times New Roman" w:hAnsi="Times New Roman" w:eastAsia="Calibri" w:cs="Times New Roman"/>
          <w:sz w:val="24"/>
          <w:szCs w:val="24"/>
        </w:rPr>
        <w:t xml:space="preserve"> </w:t>
      </w:r>
    </w:p>
    <w:p w:rsidRPr="005C2C20" w:rsidR="00C25136" w:rsidP="00D80E71" w:rsidRDefault="00743E70" w14:paraId="5219FB9C" w14:textId="5CEB136D">
      <w:pPr>
        <w:rPr>
          <w:rFonts w:ascii="Times New Roman" w:hAnsi="Times New Roman" w:eastAsia="Calibri" w:cs="Times New Roman"/>
          <w:sz w:val="24"/>
          <w:szCs w:val="24"/>
        </w:rPr>
      </w:pPr>
      <w:r w:rsidRPr="005C2C20">
        <w:rPr>
          <w:rFonts w:ascii="Times New Roman" w:hAnsi="Times New Roman" w:eastAsia="Calibri" w:cs="Times New Roman"/>
          <w:sz w:val="24"/>
          <w:szCs w:val="24"/>
        </w:rPr>
        <w:t>Tijdens de</w:t>
      </w:r>
      <w:r w:rsidRPr="005C2C20" w:rsidR="00D80E71">
        <w:rPr>
          <w:rFonts w:ascii="Times New Roman" w:hAnsi="Times New Roman" w:eastAsia="Calibri" w:cs="Times New Roman"/>
          <w:sz w:val="24"/>
          <w:szCs w:val="24"/>
        </w:rPr>
        <w:t xml:space="preserve"> gedachtewisseling </w:t>
      </w:r>
      <w:r w:rsidRPr="005C2C20">
        <w:rPr>
          <w:rFonts w:ascii="Times New Roman" w:hAnsi="Times New Roman" w:eastAsia="Calibri" w:cs="Times New Roman"/>
          <w:sz w:val="24"/>
          <w:szCs w:val="24"/>
        </w:rPr>
        <w:t>bij</w:t>
      </w:r>
      <w:r w:rsidRPr="005C2C20" w:rsidR="00D80E71">
        <w:rPr>
          <w:rFonts w:ascii="Times New Roman" w:hAnsi="Times New Roman" w:eastAsia="Calibri" w:cs="Times New Roman"/>
          <w:sz w:val="24"/>
          <w:szCs w:val="24"/>
        </w:rPr>
        <w:t xml:space="preserve"> de Informele Raad zal </w:t>
      </w:r>
      <w:r w:rsidRPr="005C2C20" w:rsidR="00D617BF">
        <w:rPr>
          <w:rFonts w:ascii="Times New Roman" w:hAnsi="Times New Roman" w:eastAsia="Calibri" w:cs="Times New Roman"/>
          <w:sz w:val="24"/>
          <w:szCs w:val="24"/>
        </w:rPr>
        <w:t xml:space="preserve">Nederland </w:t>
      </w:r>
      <w:r w:rsidRPr="005C2C20" w:rsidR="00D80E71">
        <w:rPr>
          <w:rFonts w:ascii="Times New Roman" w:hAnsi="Times New Roman" w:eastAsia="Calibri" w:cs="Times New Roman"/>
          <w:sz w:val="24"/>
          <w:szCs w:val="24"/>
        </w:rPr>
        <w:t>verder ingaan op nationaal beleid dat eerlijk</w:t>
      </w:r>
      <w:r w:rsidRPr="005C2C20">
        <w:rPr>
          <w:rFonts w:ascii="Times New Roman" w:hAnsi="Times New Roman" w:eastAsia="Calibri" w:cs="Times New Roman"/>
          <w:sz w:val="24"/>
          <w:szCs w:val="24"/>
        </w:rPr>
        <w:t>e</w:t>
      </w:r>
      <w:r w:rsidRPr="005C2C20" w:rsidR="00D80E71">
        <w:rPr>
          <w:rFonts w:ascii="Times New Roman" w:hAnsi="Times New Roman" w:eastAsia="Calibri" w:cs="Times New Roman"/>
          <w:sz w:val="24"/>
          <w:szCs w:val="24"/>
        </w:rPr>
        <w:t xml:space="preserve"> werkgelegenheid en sociale rechtvaardigheid bevordert</w:t>
      </w:r>
      <w:r w:rsidRPr="005C2C20" w:rsidR="000C3A8D">
        <w:rPr>
          <w:rFonts w:ascii="Times New Roman" w:hAnsi="Times New Roman" w:eastAsia="Calibri" w:cs="Times New Roman"/>
          <w:sz w:val="24"/>
          <w:szCs w:val="24"/>
        </w:rPr>
        <w:t>, bijvoorbeeld op het gebied van leven lang ontwikkelen</w:t>
      </w:r>
      <w:r w:rsidRPr="005C2C20" w:rsidR="002D307E">
        <w:rPr>
          <w:rFonts w:ascii="Times New Roman" w:hAnsi="Times New Roman" w:eastAsia="Calibri" w:cs="Times New Roman"/>
          <w:sz w:val="24"/>
          <w:szCs w:val="24"/>
        </w:rPr>
        <w:t xml:space="preserve"> en </w:t>
      </w:r>
      <w:r w:rsidRPr="005C2C20" w:rsidR="00897628">
        <w:rPr>
          <w:rFonts w:ascii="Times New Roman" w:hAnsi="Times New Roman" w:eastAsia="Calibri" w:cs="Times New Roman"/>
          <w:sz w:val="24"/>
          <w:szCs w:val="24"/>
        </w:rPr>
        <w:t xml:space="preserve">het belang van effectieve </w:t>
      </w:r>
      <w:r w:rsidRPr="005C2C20" w:rsidR="002D307E">
        <w:rPr>
          <w:rFonts w:ascii="Times New Roman" w:hAnsi="Times New Roman" w:eastAsia="Calibri" w:cs="Times New Roman"/>
          <w:sz w:val="24"/>
          <w:szCs w:val="24"/>
        </w:rPr>
        <w:t xml:space="preserve">handhaving </w:t>
      </w:r>
      <w:r w:rsidRPr="005C2C20" w:rsidR="00897628">
        <w:rPr>
          <w:rFonts w:ascii="Times New Roman" w:hAnsi="Times New Roman" w:eastAsia="Calibri" w:cs="Times New Roman"/>
          <w:sz w:val="24"/>
          <w:szCs w:val="24"/>
        </w:rPr>
        <w:t>van arbeidsomstandigheden</w:t>
      </w:r>
      <w:r w:rsidRPr="005C2C20" w:rsidR="000C3A8D">
        <w:rPr>
          <w:rFonts w:ascii="Times New Roman" w:hAnsi="Times New Roman" w:eastAsia="Calibri" w:cs="Times New Roman"/>
          <w:sz w:val="24"/>
          <w:szCs w:val="24"/>
        </w:rPr>
        <w:t>.</w:t>
      </w:r>
      <w:r w:rsidRPr="005C2C20" w:rsidR="00C25136">
        <w:rPr>
          <w:rFonts w:ascii="Times New Roman" w:hAnsi="Times New Roman" w:eastAsia="Calibri" w:cs="Times New Roman"/>
          <w:sz w:val="24"/>
          <w:szCs w:val="24"/>
        </w:rPr>
        <w:t xml:space="preserve">  </w:t>
      </w:r>
    </w:p>
    <w:bookmarkEnd w:id="1"/>
    <w:p w:rsidRPr="005C2C20" w:rsidR="005A316E" w:rsidP="00F33A44" w:rsidRDefault="5ABA6FB6" w14:paraId="50FB9AA8" w14:textId="3E97FE83">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lastRenderedPageBreak/>
        <w:t xml:space="preserve">De leden van de CDA-fractie hebben kennisgenomen van het agendapunt over de Europese anti-armoedestrategie. Daarbij merken </w:t>
      </w:r>
      <w:r w:rsidRPr="005C2C20" w:rsidR="00536EF4">
        <w:rPr>
          <w:rFonts w:ascii="Times New Roman" w:hAnsi="Times New Roman" w:eastAsia="Calibri" w:cs="Times New Roman"/>
          <w:b/>
          <w:sz w:val="24"/>
          <w:szCs w:val="24"/>
        </w:rPr>
        <w:t>deze leden</w:t>
      </w:r>
      <w:r w:rsidRPr="005C2C20">
        <w:rPr>
          <w:rFonts w:ascii="Times New Roman" w:hAnsi="Times New Roman" w:eastAsia="Calibri" w:cs="Times New Roman"/>
          <w:b/>
          <w:sz w:val="24"/>
          <w:szCs w:val="24"/>
        </w:rPr>
        <w:t xml:space="preserve"> op dat Nederland voornemens is te interveniëren langs de lijnen van een eerder met de Kamer gedeeld non-paper en dat de inzet voortbouwt op het Nationaal Programma Armoede en Schulden, met onder meer aandacht voor een geïntegreerde aanpak, preventie, intergenerationele armoede en betrokkenheid van ervaringsdeskundigen. Deze leden vragen hoe de regering deze vier elementen concreet wil terugzien in de uiteindelijke Europese Anti-Armoedestrategie (bijvoorbeeld via indicatoren, monitoring, aanbevelingen of financieringskoppelingen) en op welke momenten de Kamer wordt betrokken.</w:t>
      </w:r>
    </w:p>
    <w:p w:rsidRPr="005C2C20" w:rsidR="003160E3" w:rsidP="00F33A44" w:rsidRDefault="00F869A1" w14:paraId="20A65174" w14:textId="7C860777">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De </w:t>
      </w:r>
      <w:r w:rsidRPr="005C2C20" w:rsidR="00963495">
        <w:rPr>
          <w:rFonts w:ascii="Times New Roman" w:hAnsi="Times New Roman" w:eastAsia="Calibri" w:cs="Times New Roman"/>
          <w:sz w:val="24"/>
          <w:szCs w:val="24"/>
        </w:rPr>
        <w:t>Europese Anti-Armoedes</w:t>
      </w:r>
      <w:r w:rsidRPr="005C2C20">
        <w:rPr>
          <w:rFonts w:ascii="Times New Roman" w:hAnsi="Times New Roman" w:eastAsia="Calibri" w:cs="Times New Roman"/>
          <w:sz w:val="24"/>
          <w:szCs w:val="24"/>
        </w:rPr>
        <w:t xml:space="preserve">trategie kan lidstaten ondersteunen en handvatten bieden bij het maken van beleid om armoede tegen te gaan op nationaal, regionaal of lokaal niveau. </w:t>
      </w:r>
      <w:r w:rsidRPr="005C2C20" w:rsidR="00F33A44">
        <w:rPr>
          <w:rFonts w:ascii="Times New Roman" w:hAnsi="Times New Roman" w:eastAsia="Calibri" w:cs="Times New Roman"/>
          <w:sz w:val="24"/>
          <w:szCs w:val="24"/>
        </w:rPr>
        <w:t xml:space="preserve">Naar mening van het kabinet dient een effectieve </w:t>
      </w:r>
      <w:r w:rsidRPr="005C2C20" w:rsidR="003160E3">
        <w:rPr>
          <w:rFonts w:ascii="Times New Roman" w:hAnsi="Times New Roman" w:eastAsia="Calibri" w:cs="Times New Roman"/>
          <w:sz w:val="24"/>
          <w:szCs w:val="24"/>
        </w:rPr>
        <w:t xml:space="preserve">strategie om armoede te bestrijden in ieder geval aandacht te hebben voor de vier elementen die in </w:t>
      </w:r>
      <w:proofErr w:type="gramStart"/>
      <w:r w:rsidRPr="005C2C20" w:rsidR="003160E3">
        <w:rPr>
          <w:rFonts w:ascii="Times New Roman" w:hAnsi="Times New Roman" w:eastAsia="Calibri" w:cs="Times New Roman"/>
          <w:sz w:val="24"/>
          <w:szCs w:val="24"/>
        </w:rPr>
        <w:t xml:space="preserve">het </w:t>
      </w:r>
      <w:r w:rsidRPr="001C12B7" w:rsidR="003160E3">
        <w:rPr>
          <w:rFonts w:ascii="Times New Roman" w:hAnsi="Times New Roman" w:eastAsia="Calibri" w:cs="Times New Roman"/>
          <w:i/>
          <w:sz w:val="24"/>
          <w:szCs w:val="24"/>
        </w:rPr>
        <w:t>non-paper</w:t>
      </w:r>
      <w:proofErr w:type="gramEnd"/>
      <w:r w:rsidRPr="005C2C20" w:rsidR="003160E3">
        <w:rPr>
          <w:rFonts w:ascii="Times New Roman" w:hAnsi="Times New Roman" w:eastAsia="Calibri" w:cs="Times New Roman"/>
          <w:sz w:val="24"/>
          <w:szCs w:val="24"/>
        </w:rPr>
        <w:t xml:space="preserve"> worden geïdentificeerd. </w:t>
      </w:r>
      <w:r w:rsidRPr="005C2C20">
        <w:rPr>
          <w:rFonts w:ascii="Times New Roman" w:hAnsi="Times New Roman" w:eastAsia="Calibri" w:cs="Times New Roman"/>
          <w:sz w:val="24"/>
          <w:szCs w:val="24"/>
        </w:rPr>
        <w:t>Als concreet voorbeeld zou de Europese strategie aandacht kunnen hebben voor online verleidingen als onderdeel van preventie van armoede en schulden</w:t>
      </w:r>
      <w:r w:rsidRPr="005C2C20" w:rsidR="008365C5">
        <w:rPr>
          <w:rFonts w:ascii="Times New Roman" w:hAnsi="Times New Roman" w:eastAsia="Calibri" w:cs="Times New Roman"/>
          <w:sz w:val="24"/>
          <w:szCs w:val="24"/>
        </w:rPr>
        <w:t xml:space="preserve">. </w:t>
      </w:r>
      <w:r w:rsidRPr="005C2C20" w:rsidR="00B83B63">
        <w:rPr>
          <w:rFonts w:ascii="Times New Roman" w:hAnsi="Times New Roman" w:eastAsia="Calibri" w:cs="Times New Roman"/>
          <w:sz w:val="24"/>
          <w:szCs w:val="24"/>
        </w:rPr>
        <w:t>Daarnaast kan effectieve kennisdeling tussen lidstaten plaatsvinden in bestaande overlegstructuren, zoals de Raad WSB en de vergaderingen van het Sociaal Beschermingscomité.</w:t>
      </w:r>
      <w:r w:rsidRPr="005C2C20" w:rsidR="00B83B63">
        <w:rPr>
          <w:rFonts w:ascii="Times New Roman" w:hAnsi="Times New Roman" w:eastAsia="Calibri" w:cs="Times New Roman"/>
          <w:color w:val="0070C0"/>
          <w:sz w:val="24"/>
          <w:szCs w:val="24"/>
        </w:rPr>
        <w:t xml:space="preserve"> </w:t>
      </w:r>
      <w:r w:rsidRPr="005C2C20" w:rsidR="00C31E80">
        <w:rPr>
          <w:rFonts w:ascii="Times New Roman" w:hAnsi="Times New Roman" w:eastAsia="Calibri" w:cs="Times New Roman"/>
          <w:sz w:val="24"/>
          <w:szCs w:val="24"/>
        </w:rPr>
        <w:t>Het</w:t>
      </w:r>
      <w:r w:rsidRPr="005C2C20" w:rsidR="003160E3">
        <w:rPr>
          <w:rFonts w:ascii="Times New Roman" w:hAnsi="Times New Roman" w:eastAsia="Calibri" w:cs="Times New Roman"/>
          <w:sz w:val="24"/>
          <w:szCs w:val="24"/>
        </w:rPr>
        <w:t xml:space="preserve"> </w:t>
      </w:r>
      <w:r w:rsidRPr="005C2C20" w:rsidR="008D3DD5">
        <w:rPr>
          <w:rFonts w:ascii="Times New Roman" w:hAnsi="Times New Roman" w:eastAsia="Calibri" w:cs="Times New Roman"/>
          <w:sz w:val="24"/>
          <w:szCs w:val="24"/>
        </w:rPr>
        <w:t>kabinet</w:t>
      </w:r>
      <w:r w:rsidRPr="005C2C20" w:rsidR="003160E3">
        <w:rPr>
          <w:rFonts w:ascii="Times New Roman" w:hAnsi="Times New Roman" w:eastAsia="Calibri" w:cs="Times New Roman"/>
          <w:sz w:val="24"/>
          <w:szCs w:val="24"/>
        </w:rPr>
        <w:t xml:space="preserve"> </w:t>
      </w:r>
      <w:r w:rsidRPr="005C2C20" w:rsidR="00C31E80">
        <w:rPr>
          <w:rFonts w:ascii="Times New Roman" w:hAnsi="Times New Roman" w:eastAsia="Calibri" w:cs="Times New Roman"/>
          <w:sz w:val="24"/>
          <w:szCs w:val="24"/>
        </w:rPr>
        <w:t>merkt</w:t>
      </w:r>
      <w:r w:rsidRPr="005C2C20" w:rsidR="003160E3">
        <w:rPr>
          <w:rFonts w:ascii="Times New Roman" w:hAnsi="Times New Roman" w:eastAsia="Calibri" w:cs="Times New Roman"/>
          <w:sz w:val="24"/>
          <w:szCs w:val="24"/>
        </w:rPr>
        <w:t xml:space="preserve"> </w:t>
      </w:r>
      <w:r w:rsidRPr="005C2C20" w:rsidR="00B83B63">
        <w:rPr>
          <w:rFonts w:ascii="Times New Roman" w:hAnsi="Times New Roman" w:eastAsia="Calibri" w:cs="Times New Roman"/>
          <w:sz w:val="24"/>
          <w:szCs w:val="24"/>
        </w:rPr>
        <w:t xml:space="preserve">daarbij </w:t>
      </w:r>
      <w:r w:rsidRPr="005C2C20" w:rsidR="008D3DD5">
        <w:rPr>
          <w:rFonts w:ascii="Times New Roman" w:hAnsi="Times New Roman" w:eastAsia="Calibri" w:cs="Times New Roman"/>
          <w:sz w:val="24"/>
          <w:szCs w:val="24"/>
        </w:rPr>
        <w:t>op dat ontwikkelingen over armoede in de EU al worden gemonitord via het Europees Semester en het EU social</w:t>
      </w:r>
      <w:r w:rsidRPr="005C2C20" w:rsidR="002E4677">
        <w:rPr>
          <w:rFonts w:ascii="Times New Roman" w:hAnsi="Times New Roman" w:eastAsia="Calibri" w:cs="Times New Roman"/>
          <w:sz w:val="24"/>
          <w:szCs w:val="24"/>
        </w:rPr>
        <w:t>e</w:t>
      </w:r>
      <w:r w:rsidRPr="005C2C20" w:rsidR="008D3DD5">
        <w:rPr>
          <w:rFonts w:ascii="Times New Roman" w:hAnsi="Times New Roman" w:eastAsia="Calibri" w:cs="Times New Roman"/>
          <w:sz w:val="24"/>
          <w:szCs w:val="24"/>
        </w:rPr>
        <w:t xml:space="preserve"> scorebord. </w:t>
      </w:r>
      <w:r w:rsidRPr="005C2C20" w:rsidR="00231E8A">
        <w:rPr>
          <w:rFonts w:ascii="Times New Roman" w:hAnsi="Times New Roman" w:eastAsia="Calibri" w:cs="Times New Roman"/>
          <w:sz w:val="24"/>
          <w:szCs w:val="24"/>
        </w:rPr>
        <w:t xml:space="preserve">Het kabinet </w:t>
      </w:r>
      <w:r w:rsidRPr="005C2C20" w:rsidR="005736CE">
        <w:rPr>
          <w:rFonts w:ascii="Times New Roman" w:hAnsi="Times New Roman" w:eastAsia="Calibri" w:cs="Times New Roman"/>
          <w:sz w:val="24"/>
          <w:szCs w:val="24"/>
        </w:rPr>
        <w:t>heeft er daarom oog voor dat er geen dubbele rapportageverplichtingen zullen ontstaan</w:t>
      </w:r>
      <w:r w:rsidRPr="005C2C20" w:rsidR="00231E8A">
        <w:rPr>
          <w:rFonts w:ascii="Times New Roman" w:hAnsi="Times New Roman" w:eastAsia="Calibri" w:cs="Times New Roman"/>
          <w:sz w:val="24"/>
          <w:szCs w:val="24"/>
        </w:rPr>
        <w:t xml:space="preserve">. </w:t>
      </w:r>
      <w:r w:rsidRPr="005C2C20" w:rsidR="00F33A44">
        <w:rPr>
          <w:rFonts w:ascii="Times New Roman" w:hAnsi="Times New Roman" w:eastAsia="Calibri" w:cs="Times New Roman"/>
          <w:sz w:val="24"/>
          <w:szCs w:val="24"/>
        </w:rPr>
        <w:t xml:space="preserve"> </w:t>
      </w:r>
    </w:p>
    <w:p w:rsidRPr="005C2C20" w:rsidR="00F33A44" w:rsidP="00F33A44" w:rsidRDefault="00F33A44" w14:paraId="278F8DEF" w14:textId="65A521C5">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Het kabinet zal </w:t>
      </w:r>
      <w:r w:rsidRPr="005C2C20" w:rsidR="00231E8A">
        <w:rPr>
          <w:rFonts w:ascii="Times New Roman" w:hAnsi="Times New Roman" w:eastAsia="Calibri" w:cs="Times New Roman"/>
          <w:sz w:val="24"/>
          <w:szCs w:val="24"/>
        </w:rPr>
        <w:t>het parlement</w:t>
      </w:r>
      <w:r w:rsidRPr="005C2C20">
        <w:rPr>
          <w:rFonts w:ascii="Times New Roman" w:hAnsi="Times New Roman" w:eastAsia="Calibri" w:cs="Times New Roman"/>
          <w:sz w:val="24"/>
          <w:szCs w:val="24"/>
        </w:rPr>
        <w:t xml:space="preserve"> na publicatie van de </w:t>
      </w:r>
      <w:r w:rsidRPr="005C2C20" w:rsidR="00B83B63">
        <w:rPr>
          <w:rFonts w:ascii="Times New Roman" w:hAnsi="Times New Roman" w:eastAsia="Calibri" w:cs="Times New Roman"/>
          <w:sz w:val="24"/>
          <w:szCs w:val="24"/>
        </w:rPr>
        <w:t xml:space="preserve">Europese </w:t>
      </w:r>
      <w:r w:rsidRPr="005C2C20" w:rsidR="00C31E80">
        <w:rPr>
          <w:rFonts w:ascii="Times New Roman" w:hAnsi="Times New Roman" w:eastAsia="Calibri" w:cs="Times New Roman"/>
          <w:sz w:val="24"/>
          <w:szCs w:val="24"/>
        </w:rPr>
        <w:t>A</w:t>
      </w:r>
      <w:r w:rsidRPr="005C2C20" w:rsidR="00B83B63">
        <w:rPr>
          <w:rFonts w:ascii="Times New Roman" w:hAnsi="Times New Roman" w:eastAsia="Calibri" w:cs="Times New Roman"/>
          <w:sz w:val="24"/>
          <w:szCs w:val="24"/>
        </w:rPr>
        <w:t>nti-</w:t>
      </w:r>
      <w:r w:rsidRPr="005C2C20" w:rsidR="00C31E80">
        <w:rPr>
          <w:rFonts w:ascii="Times New Roman" w:hAnsi="Times New Roman" w:eastAsia="Calibri" w:cs="Times New Roman"/>
          <w:sz w:val="24"/>
          <w:szCs w:val="24"/>
        </w:rPr>
        <w:t>A</w:t>
      </w:r>
      <w:r w:rsidRPr="005C2C20" w:rsidR="00B83B63">
        <w:rPr>
          <w:rFonts w:ascii="Times New Roman" w:hAnsi="Times New Roman" w:eastAsia="Calibri" w:cs="Times New Roman"/>
          <w:sz w:val="24"/>
          <w:szCs w:val="24"/>
        </w:rPr>
        <w:t xml:space="preserve">rmoedestrategie </w:t>
      </w:r>
      <w:r w:rsidRPr="005C2C20">
        <w:rPr>
          <w:rFonts w:ascii="Times New Roman" w:hAnsi="Times New Roman" w:eastAsia="Calibri" w:cs="Times New Roman"/>
          <w:sz w:val="24"/>
          <w:szCs w:val="24"/>
        </w:rPr>
        <w:t xml:space="preserve">informeren over de appreciatie via </w:t>
      </w:r>
      <w:r w:rsidRPr="005C2C20" w:rsidR="005736CE">
        <w:rPr>
          <w:rFonts w:ascii="Times New Roman" w:hAnsi="Times New Roman" w:eastAsia="Calibri" w:cs="Times New Roman"/>
          <w:sz w:val="24"/>
          <w:szCs w:val="24"/>
        </w:rPr>
        <w:t>een</w:t>
      </w:r>
      <w:r w:rsidRPr="005C2C20" w:rsidR="00B50BE1">
        <w:rPr>
          <w:rFonts w:ascii="Times New Roman" w:hAnsi="Times New Roman" w:eastAsia="Calibri" w:cs="Times New Roman"/>
          <w:sz w:val="24"/>
          <w:szCs w:val="24"/>
        </w:rPr>
        <w:t xml:space="preserve"> BNC-fiche</w:t>
      </w:r>
      <w:r w:rsidRPr="005C2C20">
        <w:rPr>
          <w:rFonts w:ascii="Times New Roman" w:hAnsi="Times New Roman" w:eastAsia="Calibri" w:cs="Times New Roman"/>
          <w:sz w:val="24"/>
          <w:szCs w:val="24"/>
        </w:rPr>
        <w:t xml:space="preserve">.  </w:t>
      </w:r>
    </w:p>
    <w:p w:rsidRPr="005C2C20" w:rsidR="00F33A44" w:rsidP="00F33A44" w:rsidRDefault="00F33A44" w14:paraId="2DEBE740" w14:textId="77777777">
      <w:pPr>
        <w:rPr>
          <w:rFonts w:ascii="Times New Roman" w:hAnsi="Times New Roman" w:eastAsia="Calibri" w:cs="Times New Roman"/>
          <w:sz w:val="24"/>
          <w:szCs w:val="24"/>
        </w:rPr>
      </w:pPr>
    </w:p>
    <w:p w:rsidRPr="005C2C20" w:rsidR="00457FB0" w:rsidP="00457FB0" w:rsidRDefault="00457FB0" w14:paraId="0C6C9D53" w14:textId="01A814B2">
      <w:pPr>
        <w:rPr>
          <w:rFonts w:ascii="Times New Roman" w:hAnsi="Times New Roman" w:eastAsia="Calibri" w:cs="Times New Roman"/>
          <w:sz w:val="24"/>
          <w:szCs w:val="24"/>
        </w:rPr>
      </w:pPr>
    </w:p>
    <w:p w:rsidRPr="005C2C20" w:rsidR="00397617" w:rsidP="00457FB0" w:rsidRDefault="00397617" w14:paraId="5037E573" w14:textId="77777777">
      <w:pPr>
        <w:rPr>
          <w:rFonts w:ascii="Times New Roman" w:hAnsi="Times New Roman" w:eastAsia="Calibri" w:cs="Times New Roman"/>
          <w:sz w:val="24"/>
          <w:szCs w:val="24"/>
        </w:rPr>
      </w:pPr>
    </w:p>
    <w:p w:rsidRPr="005C2C20" w:rsidR="00397617" w:rsidP="00457FB0" w:rsidRDefault="00397617" w14:paraId="0AC4634D" w14:textId="77777777">
      <w:pPr>
        <w:rPr>
          <w:rFonts w:ascii="Times New Roman" w:hAnsi="Times New Roman" w:eastAsia="Calibri" w:cs="Times New Roman"/>
          <w:sz w:val="24"/>
          <w:szCs w:val="24"/>
        </w:rPr>
      </w:pPr>
    </w:p>
    <w:p w:rsidRPr="005C2C20" w:rsidR="5ABA6FB6" w:rsidP="5ABA6FB6" w:rsidRDefault="5ABA6FB6" w14:paraId="03705B2E" w14:textId="4D3AB889">
      <w:pPr>
        <w:ind w:left="708"/>
        <w:rPr>
          <w:rFonts w:ascii="Times New Roman" w:hAnsi="Times New Roman" w:eastAsia="Calibri" w:cs="Times New Roman"/>
          <w:sz w:val="24"/>
          <w:szCs w:val="24"/>
        </w:rPr>
      </w:pPr>
    </w:p>
    <w:sectPr w:rsidRPr="005C2C20" w:rsidR="5ABA6F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DE56" w14:textId="77777777" w:rsidR="009B2CB0" w:rsidRDefault="009B2CB0">
      <w:pPr>
        <w:spacing w:after="0" w:line="240" w:lineRule="auto"/>
      </w:pPr>
      <w:r>
        <w:separator/>
      </w:r>
    </w:p>
  </w:endnote>
  <w:endnote w:type="continuationSeparator" w:id="0">
    <w:p w14:paraId="653638CA" w14:textId="77777777" w:rsidR="009B2CB0" w:rsidRDefault="009B2CB0">
      <w:pPr>
        <w:spacing w:after="0" w:line="240" w:lineRule="auto"/>
      </w:pPr>
      <w:r>
        <w:continuationSeparator/>
      </w:r>
    </w:p>
  </w:endnote>
  <w:endnote w:type="continuationNotice" w:id="1">
    <w:p w14:paraId="2C3A1E38" w14:textId="77777777" w:rsidR="00534E8E" w:rsidRDefault="00534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F273" w14:textId="77777777" w:rsidR="00E356B9" w:rsidRDefault="00E356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2B97" w14:textId="77777777" w:rsidR="00E356B9" w:rsidRDefault="00E356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0DA5" w14:textId="77777777" w:rsidR="00E356B9" w:rsidRDefault="00E356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AFC8" w14:textId="77777777" w:rsidR="009B2CB0" w:rsidRDefault="009B2CB0">
      <w:pPr>
        <w:spacing w:after="0" w:line="240" w:lineRule="auto"/>
      </w:pPr>
      <w:r>
        <w:separator/>
      </w:r>
    </w:p>
  </w:footnote>
  <w:footnote w:type="continuationSeparator" w:id="0">
    <w:p w14:paraId="53AB7B3B" w14:textId="77777777" w:rsidR="009B2CB0" w:rsidRDefault="009B2CB0">
      <w:pPr>
        <w:spacing w:after="0" w:line="240" w:lineRule="auto"/>
      </w:pPr>
      <w:r>
        <w:continuationSeparator/>
      </w:r>
    </w:p>
  </w:footnote>
  <w:footnote w:type="continuationNotice" w:id="1">
    <w:p w14:paraId="3E51A554" w14:textId="77777777" w:rsidR="00534E8E" w:rsidRDefault="00534E8E">
      <w:pPr>
        <w:spacing w:after="0" w:line="240" w:lineRule="auto"/>
      </w:pPr>
    </w:p>
  </w:footnote>
  <w:footnote w:id="2">
    <w:p w14:paraId="41EEF191" w14:textId="3D4B34E2" w:rsidR="00E62203" w:rsidRPr="00664E4C" w:rsidRDefault="00E62203">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proofErr w:type="gramStart"/>
      <w:r w:rsidRPr="00664E4C">
        <w:rPr>
          <w:rFonts w:ascii="Times New Roman" w:hAnsi="Times New Roman" w:cs="Times New Roman"/>
        </w:rPr>
        <w:t>https://eur-lex.europa.eu/resource.html?uri=cellar:7f0c63c8-ae8f-11f0-89c6-01aa75ed71a1.0017.02/DOC_2&amp;format=PDF</w:t>
      </w:r>
      <w:proofErr w:type="gramEnd"/>
    </w:p>
  </w:footnote>
  <w:footnote w:id="3">
    <w:p w14:paraId="5435DC55" w14:textId="08EE647C" w:rsidR="00DE4F95" w:rsidRPr="00664E4C" w:rsidRDefault="00DE4F95">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hyperlink r:id="rId1" w:history="1">
        <w:r w:rsidRPr="00664E4C">
          <w:rPr>
            <w:rStyle w:val="Hyperlink"/>
            <w:rFonts w:ascii="Times New Roman" w:hAnsi="Times New Roman" w:cs="Times New Roman"/>
          </w:rPr>
          <w:t>https://data.consilium.europa.eu/doc/document/ST-14905-2025-ADD-1/en/pdf</w:t>
        </w:r>
      </w:hyperlink>
      <w:r w:rsidRPr="00664E4C">
        <w:rPr>
          <w:rFonts w:ascii="Times New Roman" w:hAnsi="Times New Roman" w:cs="Times New Roman"/>
        </w:rPr>
        <w:t xml:space="preserve"> </w:t>
      </w:r>
    </w:p>
  </w:footnote>
  <w:footnote w:id="4">
    <w:p w14:paraId="6FB4597B" w14:textId="1396DD6E" w:rsidR="00244631" w:rsidRPr="00664E4C" w:rsidRDefault="00244631">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hyperlink r:id="rId2" w:history="1">
        <w:r w:rsidRPr="00664E4C">
          <w:rPr>
            <w:rStyle w:val="Hyperlink"/>
            <w:rFonts w:ascii="Times New Roman" w:hAnsi="Times New Roman" w:cs="Times New Roman"/>
          </w:rPr>
          <w:t>https://eur-lex.europa.eu/legal-content/EN/TXT/?uri=oj:JOC_2023_041_R_0001</w:t>
        </w:r>
      </w:hyperlink>
      <w:r w:rsidRPr="00664E4C">
        <w:rPr>
          <w:rFonts w:ascii="Times New Roman" w:hAnsi="Times New Roman" w:cs="Times New Roman"/>
        </w:rPr>
        <w:t xml:space="preserve"> </w:t>
      </w:r>
    </w:p>
  </w:footnote>
  <w:footnote w:id="5">
    <w:p w14:paraId="59F9518B" w14:textId="2BCB2A0B" w:rsidR="00244631" w:rsidRPr="00664E4C" w:rsidRDefault="00244631">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Kamerstukken II, 2025-26, </w:t>
      </w:r>
      <w:r w:rsidR="004D600A" w:rsidRPr="00664E4C">
        <w:rPr>
          <w:rFonts w:ascii="Times New Roman" w:hAnsi="Times New Roman" w:cs="Times New Roman"/>
        </w:rPr>
        <w:t>21 501-31, nr.806</w:t>
      </w:r>
    </w:p>
  </w:footnote>
  <w:footnote w:id="6">
    <w:p w14:paraId="75CCEFC0" w14:textId="7888252C" w:rsidR="00244631" w:rsidRDefault="00244631">
      <w:pPr>
        <w:pStyle w:val="Voetnoottekst"/>
      </w:pPr>
      <w:r w:rsidRPr="00664E4C">
        <w:rPr>
          <w:rStyle w:val="Voetnootmarkering"/>
          <w:rFonts w:ascii="Times New Roman" w:hAnsi="Times New Roman" w:cs="Times New Roman"/>
        </w:rPr>
        <w:footnoteRef/>
      </w:r>
      <w:r w:rsidRPr="00664E4C">
        <w:rPr>
          <w:rFonts w:ascii="Times New Roman" w:hAnsi="Times New Roman" w:cs="Times New Roman"/>
        </w:rPr>
        <w:t xml:space="preserve"> Kamerstukken II, 2025-26, </w:t>
      </w:r>
      <w:r w:rsidR="004D600A" w:rsidRPr="00664E4C">
        <w:rPr>
          <w:rFonts w:ascii="Times New Roman" w:hAnsi="Times New Roman" w:cs="Times New Roman"/>
        </w:rPr>
        <w:t>21 501-31, nr.809</w:t>
      </w:r>
    </w:p>
  </w:footnote>
  <w:footnote w:id="7">
    <w:p w14:paraId="371EB573" w14:textId="77777777" w:rsidR="00FF4C21" w:rsidRPr="00664E4C" w:rsidRDefault="00FF4C21" w:rsidP="00FF4C21">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proofErr w:type="gramStart"/>
      <w:r w:rsidRPr="00664E4C">
        <w:rPr>
          <w:rFonts w:ascii="Times New Roman" w:hAnsi="Times New Roman" w:cs="Times New Roman"/>
        </w:rPr>
        <w:t>https://zoek.officielebekendmakingen.nl/blg-1027626.pdf</w:t>
      </w:r>
      <w:proofErr w:type="gramEnd"/>
    </w:p>
  </w:footnote>
  <w:footnote w:id="8">
    <w:p w14:paraId="01F8C16A" w14:textId="021122D0" w:rsidR="004051E0" w:rsidRDefault="004051E0">
      <w:pPr>
        <w:pStyle w:val="Voetnoottekst"/>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r w:rsidR="00D71B08" w:rsidRPr="00664E4C">
        <w:rPr>
          <w:rFonts w:ascii="Times New Roman" w:hAnsi="Times New Roman" w:cs="Times New Roman"/>
        </w:rPr>
        <w:t xml:space="preserve">UWV, </w:t>
      </w:r>
      <w:r w:rsidR="00D71B08" w:rsidRPr="00664E4C">
        <w:rPr>
          <w:rFonts w:ascii="Times New Roman" w:hAnsi="Times New Roman" w:cs="Times New Roman"/>
          <w:i/>
        </w:rPr>
        <w:t>Export uitkeringen 2024: Sociale verzekeringen internationaal</w:t>
      </w:r>
      <w:r w:rsidR="00D71B08" w:rsidRPr="00664E4C">
        <w:rPr>
          <w:rFonts w:ascii="Times New Roman" w:hAnsi="Times New Roman" w:cs="Times New Roman"/>
        </w:rPr>
        <w:t>, 2024,</w:t>
      </w:r>
      <w:r w:rsidR="00D71B08" w:rsidRPr="00664E4C">
        <w:rPr>
          <w:rFonts w:ascii="Times New Roman" w:hAnsi="Times New Roman" w:cs="Times New Roman"/>
        </w:rPr>
        <w:br/>
      </w:r>
      <w:hyperlink r:id="rId3" w:tgtFrame="_new" w:history="1">
        <w:r w:rsidR="00D71B08" w:rsidRPr="00664E4C">
          <w:rPr>
            <w:rStyle w:val="Hyperlink"/>
            <w:rFonts w:ascii="Times New Roman" w:hAnsi="Times New Roman" w:cs="Times New Roman"/>
          </w:rPr>
          <w:t>https://www.uwv.nl/assets-kai/files/9c3f9ec6-4d67-4bfd-8f04-a7c75b5796fb/export-uitkeringen-2024.pdf</w:t>
        </w:r>
      </w:hyperlink>
    </w:p>
  </w:footnote>
  <w:footnote w:id="9">
    <w:p w14:paraId="5447DBB3" w14:textId="65733325" w:rsidR="006E0FE8" w:rsidRPr="00664E4C" w:rsidRDefault="006E0FE8">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r w:rsidR="00C930FE" w:rsidRPr="00664E4C">
        <w:rPr>
          <w:rFonts w:ascii="Times New Roman" w:hAnsi="Times New Roman" w:cs="Times New Roman"/>
        </w:rPr>
        <w:t xml:space="preserve">Algemene Rekenkamer (22 jun 2022), </w:t>
      </w:r>
      <w:r w:rsidR="00C930FE" w:rsidRPr="00664E4C">
        <w:rPr>
          <w:rFonts w:ascii="Times New Roman" w:hAnsi="Times New Roman" w:cs="Times New Roman"/>
          <w:i/>
        </w:rPr>
        <w:t>Een Nederlandse uitkering in het buitenland: Dienstverlening en handhaving door het UWV bij export van uitkeringen</w:t>
      </w:r>
      <w:r w:rsidR="00C930FE" w:rsidRPr="00664E4C">
        <w:rPr>
          <w:rFonts w:ascii="Times New Roman" w:hAnsi="Times New Roman" w:cs="Times New Roman"/>
        </w:rPr>
        <w:t xml:space="preserve">, geraadpleegd via </w:t>
      </w:r>
      <w:hyperlink r:id="rId4" w:tgtFrame="_new" w:history="1">
        <w:r w:rsidR="00C930FE" w:rsidRPr="00664E4C">
          <w:rPr>
            <w:rStyle w:val="Hyperlink"/>
            <w:rFonts w:ascii="Times New Roman" w:hAnsi="Times New Roman" w:cs="Times New Roman"/>
          </w:rPr>
          <w:t>https://www.rekenkamer.nl/documenten/2022/06/22/een-nederlandse-uitkering-in-het-buitenland</w:t>
        </w:r>
      </w:hyperlink>
    </w:p>
  </w:footnote>
  <w:footnote w:id="10">
    <w:p w14:paraId="2A2E9235" w14:textId="77777777" w:rsidR="003F1726" w:rsidRPr="00664E4C" w:rsidRDefault="003F1726" w:rsidP="003F1726">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Over de lengte van de affiliatietermijn wordt nog onderhandeld. Deze varieerde onder de laatste Voorzitterschappen tussen de 18 en 25 weken.</w:t>
      </w:r>
    </w:p>
  </w:footnote>
  <w:footnote w:id="11">
    <w:p w14:paraId="75604731" w14:textId="29013F98" w:rsidR="00D24518" w:rsidRPr="00664E4C" w:rsidRDefault="00D24518">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Kamerstukken II, 2024/25, 29861, nr. 158.</w:t>
      </w:r>
    </w:p>
  </w:footnote>
  <w:footnote w:id="12">
    <w:p w14:paraId="452EE822" w14:textId="651A0B3A" w:rsidR="002234DC" w:rsidRDefault="002234DC">
      <w:pPr>
        <w:pStyle w:val="Voetnoottekst"/>
      </w:pPr>
      <w:r w:rsidRPr="00664E4C">
        <w:rPr>
          <w:rStyle w:val="Voetnootmarkering"/>
          <w:rFonts w:ascii="Times New Roman" w:hAnsi="Times New Roman" w:cs="Times New Roman"/>
        </w:rPr>
        <w:footnoteRef/>
      </w:r>
      <w:r w:rsidRPr="00664E4C">
        <w:rPr>
          <w:rFonts w:ascii="Times New Roman" w:hAnsi="Times New Roman" w:cs="Times New Roman"/>
        </w:rPr>
        <w:t xml:space="preserve"> Twaalf lidstaten (Bulgarije, Kroatië, Tsjechië, Estland, Frankrijk, Italië, Litouwen, Portugal, Roemenië, Slowakije, Slovenië en Spanje) hebben in een gezamenlijke brief het belang benadrukt om tot een akkoord te komen en het Poolse voorzitterschap opgeroepen om een nieuw Raadsmandaat te formaliseren. Zie ook </w:t>
      </w:r>
      <w:r w:rsidR="000E4CD3" w:rsidRPr="00664E4C">
        <w:rPr>
          <w:rFonts w:ascii="Times New Roman" w:hAnsi="Times New Roman" w:cs="Times New Roman"/>
        </w:rPr>
        <w:t xml:space="preserve">Verslag van de Raad </w:t>
      </w:r>
      <w:r w:rsidRPr="00664E4C">
        <w:rPr>
          <w:rFonts w:ascii="Times New Roman" w:hAnsi="Times New Roman" w:cs="Times New Roman"/>
        </w:rPr>
        <w:t>van 10 maart 2025</w:t>
      </w:r>
      <w:r w:rsidR="000E4CD3" w:rsidRPr="00664E4C">
        <w:rPr>
          <w:rFonts w:ascii="Times New Roman" w:hAnsi="Times New Roman" w:cs="Times New Roman"/>
        </w:rPr>
        <w:t>, Kamerstukken II, 2024/25, 21501-301, nr. 780.</w:t>
      </w:r>
    </w:p>
  </w:footnote>
  <w:footnote w:id="13">
    <w:p w14:paraId="5A02DC38" w14:textId="7AF088F7" w:rsidR="00465B76" w:rsidRPr="00664E4C" w:rsidRDefault="00465B76">
      <w:pPr>
        <w:pStyle w:val="Voetnoottekst"/>
        <w:rPr>
          <w:rFonts w:ascii="Times New Roman" w:hAnsi="Times New Roman" w:cs="Times New Roman"/>
          <w:lang w:val="en-GB"/>
        </w:rPr>
      </w:pPr>
      <w:r w:rsidRPr="00664E4C">
        <w:rPr>
          <w:rStyle w:val="Voetnootmarkering"/>
          <w:rFonts w:ascii="Times New Roman" w:hAnsi="Times New Roman" w:cs="Times New Roman"/>
        </w:rPr>
        <w:footnoteRef/>
      </w:r>
      <w:r w:rsidRPr="00664E4C">
        <w:rPr>
          <w:rFonts w:ascii="Times New Roman" w:hAnsi="Times New Roman" w:cs="Times New Roman"/>
          <w:lang w:val="en-GB"/>
        </w:rPr>
        <w:t xml:space="preserve"> </w:t>
      </w:r>
      <w:r>
        <w:fldChar w:fldCharType="begin"/>
      </w:r>
      <w:r w:rsidRPr="00E356B9">
        <w:rPr>
          <w:lang w:val="en-US"/>
        </w:rPr>
        <w:instrText>HYPERLINK "https://www.ilo.org/publications/conference-committee-application-standards-record-proceedings-ilc-2025"</w:instrText>
      </w:r>
      <w:r>
        <w:fldChar w:fldCharType="separate"/>
      </w:r>
      <w:r w:rsidRPr="00664E4C">
        <w:rPr>
          <w:rStyle w:val="Hyperlink"/>
          <w:rFonts w:ascii="Times New Roman" w:hAnsi="Times New Roman" w:cs="Times New Roman"/>
          <w:lang w:val="en-GB"/>
        </w:rPr>
        <w:t>Conference Committee on the Application of Standards: Record of Proceedings (ILC 2025) | International Labour Organization</w:t>
      </w:r>
      <w:r>
        <w:fldChar w:fldCharType="end"/>
      </w:r>
    </w:p>
  </w:footnote>
  <w:footnote w:id="14">
    <w:p w14:paraId="3111D0EB" w14:textId="520070D2" w:rsidR="00465B76" w:rsidRPr="00EC4738" w:rsidRDefault="00465B76">
      <w:pPr>
        <w:pStyle w:val="Voetnoottekst"/>
        <w:rPr>
          <w:lang w:val="en-GB"/>
        </w:rPr>
      </w:pPr>
      <w:r w:rsidRPr="00664E4C">
        <w:rPr>
          <w:rStyle w:val="Voetnootmarkering"/>
          <w:rFonts w:ascii="Times New Roman" w:hAnsi="Times New Roman" w:cs="Times New Roman"/>
        </w:rPr>
        <w:footnoteRef/>
      </w:r>
      <w:r w:rsidRPr="00664E4C">
        <w:rPr>
          <w:rFonts w:ascii="Times New Roman" w:hAnsi="Times New Roman" w:cs="Times New Roman"/>
          <w:lang w:val="en-GB"/>
        </w:rPr>
        <w:t xml:space="preserve"> </w:t>
      </w:r>
      <w:r>
        <w:fldChar w:fldCharType="begin"/>
      </w:r>
      <w:r w:rsidRPr="00E356B9">
        <w:rPr>
          <w:lang w:val="en-US"/>
        </w:rPr>
        <w:instrText>HYPERLINK "https://www.eeas.europa.eu/delegations/un-geneva/eu-statement-113th-ilc-committee-application-standards-%E2%80%93-general-report_en"</w:instrText>
      </w:r>
      <w:r>
        <w:fldChar w:fldCharType="separate"/>
      </w:r>
      <w:r w:rsidRPr="00664E4C">
        <w:rPr>
          <w:rStyle w:val="Hyperlink"/>
          <w:rFonts w:ascii="Times New Roman" w:hAnsi="Times New Roman" w:cs="Times New Roman"/>
          <w:lang w:val="en-GB"/>
        </w:rPr>
        <w:t>EU Statement - 113th ILC - Committee on Application of Standards – General report | EEAS</w:t>
      </w:r>
      <w:r>
        <w:fldChar w:fldCharType="end"/>
      </w:r>
      <w:r w:rsidRPr="00EC4738">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2B11" w14:textId="77777777" w:rsidR="00E356B9" w:rsidRDefault="00E356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FF06" w14:textId="77777777" w:rsidR="00E356B9" w:rsidRDefault="00E356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50F4" w14:textId="77777777" w:rsidR="00E356B9" w:rsidRDefault="00E356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2C"/>
    <w:multiLevelType w:val="hybridMultilevel"/>
    <w:tmpl w:val="733E8BE8"/>
    <w:lvl w:ilvl="0" w:tplc="976ECDC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EC870BB"/>
    <w:multiLevelType w:val="hybridMultilevel"/>
    <w:tmpl w:val="DCAAFC52"/>
    <w:lvl w:ilvl="0" w:tplc="1632E78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AA14F68"/>
    <w:multiLevelType w:val="hybridMultilevel"/>
    <w:tmpl w:val="38907E1C"/>
    <w:lvl w:ilvl="0" w:tplc="5B88E3D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6B79A8"/>
    <w:multiLevelType w:val="hybridMultilevel"/>
    <w:tmpl w:val="6222452C"/>
    <w:lvl w:ilvl="0" w:tplc="4DB2099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7338A5"/>
    <w:multiLevelType w:val="hybridMultilevel"/>
    <w:tmpl w:val="A4EEE3B6"/>
    <w:lvl w:ilvl="0" w:tplc="9910739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87599">
    <w:abstractNumId w:val="0"/>
  </w:num>
  <w:num w:numId="2" w16cid:durableId="830826564">
    <w:abstractNumId w:val="1"/>
  </w:num>
  <w:num w:numId="3" w16cid:durableId="1744527724">
    <w:abstractNumId w:val="3"/>
  </w:num>
  <w:num w:numId="4" w16cid:durableId="1329094056">
    <w:abstractNumId w:val="2"/>
  </w:num>
  <w:num w:numId="5" w16cid:durableId="12758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DC59C"/>
    <w:rsid w:val="00001A9F"/>
    <w:rsid w:val="000116E5"/>
    <w:rsid w:val="00014141"/>
    <w:rsid w:val="000330CB"/>
    <w:rsid w:val="000428B6"/>
    <w:rsid w:val="00042D92"/>
    <w:rsid w:val="00070A65"/>
    <w:rsid w:val="00072748"/>
    <w:rsid w:val="00076896"/>
    <w:rsid w:val="000805ED"/>
    <w:rsid w:val="00097046"/>
    <w:rsid w:val="000A204B"/>
    <w:rsid w:val="000A62F1"/>
    <w:rsid w:val="000B2973"/>
    <w:rsid w:val="000C3A8D"/>
    <w:rsid w:val="000E246E"/>
    <w:rsid w:val="000E3037"/>
    <w:rsid w:val="000E4CD3"/>
    <w:rsid w:val="000F3F1D"/>
    <w:rsid w:val="00105D99"/>
    <w:rsid w:val="00113991"/>
    <w:rsid w:val="0013499F"/>
    <w:rsid w:val="00155B38"/>
    <w:rsid w:val="0017556A"/>
    <w:rsid w:val="00176A07"/>
    <w:rsid w:val="00184B72"/>
    <w:rsid w:val="001C12B7"/>
    <w:rsid w:val="001C35E6"/>
    <w:rsid w:val="001E209A"/>
    <w:rsid w:val="001E5A60"/>
    <w:rsid w:val="001F4E6A"/>
    <w:rsid w:val="002118E3"/>
    <w:rsid w:val="00212B32"/>
    <w:rsid w:val="002204E2"/>
    <w:rsid w:val="002234DC"/>
    <w:rsid w:val="00231E8A"/>
    <w:rsid w:val="00237B8C"/>
    <w:rsid w:val="00243CD3"/>
    <w:rsid w:val="00244631"/>
    <w:rsid w:val="00244D80"/>
    <w:rsid w:val="002559D1"/>
    <w:rsid w:val="00262CFE"/>
    <w:rsid w:val="0026500D"/>
    <w:rsid w:val="002711BE"/>
    <w:rsid w:val="00273B16"/>
    <w:rsid w:val="00281675"/>
    <w:rsid w:val="002861B0"/>
    <w:rsid w:val="00293426"/>
    <w:rsid w:val="002969F5"/>
    <w:rsid w:val="00296C0C"/>
    <w:rsid w:val="002A0F9A"/>
    <w:rsid w:val="002A3C88"/>
    <w:rsid w:val="002A4997"/>
    <w:rsid w:val="002A6B4B"/>
    <w:rsid w:val="002C09DF"/>
    <w:rsid w:val="002D307E"/>
    <w:rsid w:val="002D6FA6"/>
    <w:rsid w:val="002E4677"/>
    <w:rsid w:val="002F0375"/>
    <w:rsid w:val="002F2B04"/>
    <w:rsid w:val="00303016"/>
    <w:rsid w:val="003074D4"/>
    <w:rsid w:val="003143D7"/>
    <w:rsid w:val="003160E3"/>
    <w:rsid w:val="00321C83"/>
    <w:rsid w:val="00327E75"/>
    <w:rsid w:val="00331EEE"/>
    <w:rsid w:val="0034739A"/>
    <w:rsid w:val="003562D5"/>
    <w:rsid w:val="00356AD3"/>
    <w:rsid w:val="00360D4F"/>
    <w:rsid w:val="00386A83"/>
    <w:rsid w:val="003959D9"/>
    <w:rsid w:val="00397617"/>
    <w:rsid w:val="003A1587"/>
    <w:rsid w:val="003A1DC0"/>
    <w:rsid w:val="003A6733"/>
    <w:rsid w:val="003B4914"/>
    <w:rsid w:val="003B5668"/>
    <w:rsid w:val="003C04F5"/>
    <w:rsid w:val="003E1888"/>
    <w:rsid w:val="003E3C99"/>
    <w:rsid w:val="003F0458"/>
    <w:rsid w:val="003F1726"/>
    <w:rsid w:val="003F5403"/>
    <w:rsid w:val="004051E0"/>
    <w:rsid w:val="00410930"/>
    <w:rsid w:val="0041299B"/>
    <w:rsid w:val="00414FCE"/>
    <w:rsid w:val="00417DDE"/>
    <w:rsid w:val="00422A9D"/>
    <w:rsid w:val="00432C8B"/>
    <w:rsid w:val="004347CA"/>
    <w:rsid w:val="0044468E"/>
    <w:rsid w:val="00447766"/>
    <w:rsid w:val="004479F4"/>
    <w:rsid w:val="00453BF0"/>
    <w:rsid w:val="004566F2"/>
    <w:rsid w:val="00457FB0"/>
    <w:rsid w:val="00465B76"/>
    <w:rsid w:val="00466E85"/>
    <w:rsid w:val="00472F87"/>
    <w:rsid w:val="00487873"/>
    <w:rsid w:val="004908D6"/>
    <w:rsid w:val="00491CD0"/>
    <w:rsid w:val="00496886"/>
    <w:rsid w:val="004977E0"/>
    <w:rsid w:val="004A22D2"/>
    <w:rsid w:val="004A4AC8"/>
    <w:rsid w:val="004B2A70"/>
    <w:rsid w:val="004C205F"/>
    <w:rsid w:val="004D600A"/>
    <w:rsid w:val="004F3EA5"/>
    <w:rsid w:val="0052187B"/>
    <w:rsid w:val="00534E8E"/>
    <w:rsid w:val="00535B86"/>
    <w:rsid w:val="00536EF4"/>
    <w:rsid w:val="00541331"/>
    <w:rsid w:val="0054573D"/>
    <w:rsid w:val="005736CE"/>
    <w:rsid w:val="00575A7E"/>
    <w:rsid w:val="00582BE1"/>
    <w:rsid w:val="00584EEE"/>
    <w:rsid w:val="00587DFB"/>
    <w:rsid w:val="00592EB3"/>
    <w:rsid w:val="0059308E"/>
    <w:rsid w:val="005A316E"/>
    <w:rsid w:val="005A3EEB"/>
    <w:rsid w:val="005A40D1"/>
    <w:rsid w:val="005A4C3C"/>
    <w:rsid w:val="005B06AC"/>
    <w:rsid w:val="005B1FD7"/>
    <w:rsid w:val="005B428C"/>
    <w:rsid w:val="005B71A7"/>
    <w:rsid w:val="005C2C20"/>
    <w:rsid w:val="005D6BFD"/>
    <w:rsid w:val="005E1950"/>
    <w:rsid w:val="005F0904"/>
    <w:rsid w:val="00602FD3"/>
    <w:rsid w:val="00605071"/>
    <w:rsid w:val="00605DFA"/>
    <w:rsid w:val="00620EA6"/>
    <w:rsid w:val="006213C2"/>
    <w:rsid w:val="0064367A"/>
    <w:rsid w:val="00651D62"/>
    <w:rsid w:val="00664E4C"/>
    <w:rsid w:val="00664F0E"/>
    <w:rsid w:val="00674801"/>
    <w:rsid w:val="00684405"/>
    <w:rsid w:val="00685B61"/>
    <w:rsid w:val="00686908"/>
    <w:rsid w:val="006A032B"/>
    <w:rsid w:val="006B23D4"/>
    <w:rsid w:val="006B2C74"/>
    <w:rsid w:val="006E0FE8"/>
    <w:rsid w:val="006E2B6F"/>
    <w:rsid w:val="006E357A"/>
    <w:rsid w:val="006F65EA"/>
    <w:rsid w:val="007048A1"/>
    <w:rsid w:val="007048AC"/>
    <w:rsid w:val="007071F9"/>
    <w:rsid w:val="007266E8"/>
    <w:rsid w:val="00743E70"/>
    <w:rsid w:val="00752BC8"/>
    <w:rsid w:val="00756AB0"/>
    <w:rsid w:val="00765167"/>
    <w:rsid w:val="00765F30"/>
    <w:rsid w:val="007743F9"/>
    <w:rsid w:val="0077653C"/>
    <w:rsid w:val="00776C3A"/>
    <w:rsid w:val="00781525"/>
    <w:rsid w:val="00785DC6"/>
    <w:rsid w:val="007971DA"/>
    <w:rsid w:val="007973EA"/>
    <w:rsid w:val="007B1E4B"/>
    <w:rsid w:val="007B1EC3"/>
    <w:rsid w:val="007B4CA6"/>
    <w:rsid w:val="007C0438"/>
    <w:rsid w:val="007D05D7"/>
    <w:rsid w:val="007E26B4"/>
    <w:rsid w:val="007E3394"/>
    <w:rsid w:val="0081363B"/>
    <w:rsid w:val="00820DFB"/>
    <w:rsid w:val="00835520"/>
    <w:rsid w:val="008365C5"/>
    <w:rsid w:val="008445CF"/>
    <w:rsid w:val="0084510D"/>
    <w:rsid w:val="00852A5D"/>
    <w:rsid w:val="00857CDD"/>
    <w:rsid w:val="00863E00"/>
    <w:rsid w:val="00890B6A"/>
    <w:rsid w:val="008910AF"/>
    <w:rsid w:val="008935D7"/>
    <w:rsid w:val="008964DD"/>
    <w:rsid w:val="00896CE5"/>
    <w:rsid w:val="00897628"/>
    <w:rsid w:val="008978C8"/>
    <w:rsid w:val="008A05F3"/>
    <w:rsid w:val="008A25B4"/>
    <w:rsid w:val="008A4328"/>
    <w:rsid w:val="008A5EC1"/>
    <w:rsid w:val="008D39EB"/>
    <w:rsid w:val="008D3DD5"/>
    <w:rsid w:val="008E1FB6"/>
    <w:rsid w:val="008E2939"/>
    <w:rsid w:val="008E3759"/>
    <w:rsid w:val="008E5759"/>
    <w:rsid w:val="008F2025"/>
    <w:rsid w:val="009040FA"/>
    <w:rsid w:val="00923A0F"/>
    <w:rsid w:val="00930865"/>
    <w:rsid w:val="00930A8E"/>
    <w:rsid w:val="009357A5"/>
    <w:rsid w:val="00937442"/>
    <w:rsid w:val="0094027D"/>
    <w:rsid w:val="0094230E"/>
    <w:rsid w:val="00943B15"/>
    <w:rsid w:val="00954BAC"/>
    <w:rsid w:val="00963495"/>
    <w:rsid w:val="009636B4"/>
    <w:rsid w:val="00970BF3"/>
    <w:rsid w:val="00976C70"/>
    <w:rsid w:val="009770EB"/>
    <w:rsid w:val="009805E9"/>
    <w:rsid w:val="00991E6E"/>
    <w:rsid w:val="00994A34"/>
    <w:rsid w:val="009B2CB0"/>
    <w:rsid w:val="009C0D82"/>
    <w:rsid w:val="009F66B0"/>
    <w:rsid w:val="00A07D9E"/>
    <w:rsid w:val="00A13292"/>
    <w:rsid w:val="00A17135"/>
    <w:rsid w:val="00A17948"/>
    <w:rsid w:val="00A36E46"/>
    <w:rsid w:val="00A4539D"/>
    <w:rsid w:val="00A5173B"/>
    <w:rsid w:val="00A571DE"/>
    <w:rsid w:val="00A74305"/>
    <w:rsid w:val="00A74958"/>
    <w:rsid w:val="00A86FA6"/>
    <w:rsid w:val="00A879FC"/>
    <w:rsid w:val="00A917AD"/>
    <w:rsid w:val="00A93442"/>
    <w:rsid w:val="00A938C7"/>
    <w:rsid w:val="00AB0843"/>
    <w:rsid w:val="00AC7072"/>
    <w:rsid w:val="00AE372F"/>
    <w:rsid w:val="00AE3B77"/>
    <w:rsid w:val="00AF3183"/>
    <w:rsid w:val="00AF347C"/>
    <w:rsid w:val="00B10B51"/>
    <w:rsid w:val="00B156DC"/>
    <w:rsid w:val="00B2193F"/>
    <w:rsid w:val="00B4009E"/>
    <w:rsid w:val="00B50BE1"/>
    <w:rsid w:val="00B80299"/>
    <w:rsid w:val="00B80E21"/>
    <w:rsid w:val="00B811DE"/>
    <w:rsid w:val="00B83B63"/>
    <w:rsid w:val="00BA0E7B"/>
    <w:rsid w:val="00BB2882"/>
    <w:rsid w:val="00BB7B44"/>
    <w:rsid w:val="00BC34D2"/>
    <w:rsid w:val="00BC3932"/>
    <w:rsid w:val="00BC5407"/>
    <w:rsid w:val="00BD0590"/>
    <w:rsid w:val="00BF4F01"/>
    <w:rsid w:val="00C13535"/>
    <w:rsid w:val="00C154B7"/>
    <w:rsid w:val="00C24BF7"/>
    <w:rsid w:val="00C25136"/>
    <w:rsid w:val="00C26651"/>
    <w:rsid w:val="00C31E80"/>
    <w:rsid w:val="00C34FC9"/>
    <w:rsid w:val="00C37DD8"/>
    <w:rsid w:val="00C40DBE"/>
    <w:rsid w:val="00C4206C"/>
    <w:rsid w:val="00C506B7"/>
    <w:rsid w:val="00C54515"/>
    <w:rsid w:val="00C7010A"/>
    <w:rsid w:val="00C83739"/>
    <w:rsid w:val="00C87404"/>
    <w:rsid w:val="00C930FE"/>
    <w:rsid w:val="00CA001A"/>
    <w:rsid w:val="00CB0E95"/>
    <w:rsid w:val="00CB66CB"/>
    <w:rsid w:val="00CC34A2"/>
    <w:rsid w:val="00CD10F7"/>
    <w:rsid w:val="00CD7266"/>
    <w:rsid w:val="00CE41DE"/>
    <w:rsid w:val="00CE7D39"/>
    <w:rsid w:val="00CF4657"/>
    <w:rsid w:val="00D06069"/>
    <w:rsid w:val="00D06F47"/>
    <w:rsid w:val="00D14CC7"/>
    <w:rsid w:val="00D238BF"/>
    <w:rsid w:val="00D24518"/>
    <w:rsid w:val="00D425F5"/>
    <w:rsid w:val="00D4528B"/>
    <w:rsid w:val="00D478FD"/>
    <w:rsid w:val="00D50679"/>
    <w:rsid w:val="00D60EE3"/>
    <w:rsid w:val="00D617BF"/>
    <w:rsid w:val="00D6354D"/>
    <w:rsid w:val="00D64323"/>
    <w:rsid w:val="00D71B08"/>
    <w:rsid w:val="00D74BE5"/>
    <w:rsid w:val="00D80E71"/>
    <w:rsid w:val="00D96AF0"/>
    <w:rsid w:val="00DA2A6C"/>
    <w:rsid w:val="00DB237D"/>
    <w:rsid w:val="00DC009C"/>
    <w:rsid w:val="00DE1BE3"/>
    <w:rsid w:val="00DE2306"/>
    <w:rsid w:val="00DE4F95"/>
    <w:rsid w:val="00E123E0"/>
    <w:rsid w:val="00E13D57"/>
    <w:rsid w:val="00E17DD4"/>
    <w:rsid w:val="00E20B6E"/>
    <w:rsid w:val="00E344B5"/>
    <w:rsid w:val="00E356B9"/>
    <w:rsid w:val="00E36961"/>
    <w:rsid w:val="00E36DBE"/>
    <w:rsid w:val="00E62203"/>
    <w:rsid w:val="00E71305"/>
    <w:rsid w:val="00E77DE8"/>
    <w:rsid w:val="00E97FD3"/>
    <w:rsid w:val="00EB5E7F"/>
    <w:rsid w:val="00EC1ED2"/>
    <w:rsid w:val="00EC4738"/>
    <w:rsid w:val="00EC5461"/>
    <w:rsid w:val="00EC5602"/>
    <w:rsid w:val="00EC6E58"/>
    <w:rsid w:val="00EE63F5"/>
    <w:rsid w:val="00EF3F13"/>
    <w:rsid w:val="00EF72CF"/>
    <w:rsid w:val="00F07D72"/>
    <w:rsid w:val="00F10A2F"/>
    <w:rsid w:val="00F14AAC"/>
    <w:rsid w:val="00F33A44"/>
    <w:rsid w:val="00F46299"/>
    <w:rsid w:val="00F55A35"/>
    <w:rsid w:val="00F624AD"/>
    <w:rsid w:val="00F66CEB"/>
    <w:rsid w:val="00F74F04"/>
    <w:rsid w:val="00F869A1"/>
    <w:rsid w:val="00F8771F"/>
    <w:rsid w:val="00F90E91"/>
    <w:rsid w:val="00F94EDC"/>
    <w:rsid w:val="00FB50A7"/>
    <w:rsid w:val="00FC264B"/>
    <w:rsid w:val="00FD0E67"/>
    <w:rsid w:val="00FD5AB5"/>
    <w:rsid w:val="00FE4A9F"/>
    <w:rsid w:val="00FF4C21"/>
    <w:rsid w:val="00FF560F"/>
    <w:rsid w:val="06DDC59C"/>
    <w:rsid w:val="5ABA6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C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636B4"/>
    <w:rPr>
      <w:sz w:val="16"/>
      <w:szCs w:val="16"/>
    </w:rPr>
  </w:style>
  <w:style w:type="paragraph" w:styleId="Tekstopmerking">
    <w:name w:val="annotation text"/>
    <w:basedOn w:val="Standaard"/>
    <w:link w:val="TekstopmerkingChar"/>
    <w:uiPriority w:val="99"/>
    <w:unhideWhenUsed/>
    <w:rsid w:val="009636B4"/>
    <w:pPr>
      <w:spacing w:line="240" w:lineRule="auto"/>
    </w:pPr>
    <w:rPr>
      <w:sz w:val="20"/>
      <w:szCs w:val="20"/>
    </w:rPr>
  </w:style>
  <w:style w:type="character" w:customStyle="1" w:styleId="TekstopmerkingChar">
    <w:name w:val="Tekst opmerking Char"/>
    <w:basedOn w:val="Standaardalinea-lettertype"/>
    <w:link w:val="Tekstopmerking"/>
    <w:uiPriority w:val="99"/>
    <w:rsid w:val="009636B4"/>
    <w:rPr>
      <w:sz w:val="20"/>
      <w:szCs w:val="20"/>
    </w:rPr>
  </w:style>
  <w:style w:type="paragraph" w:styleId="Onderwerpvanopmerking">
    <w:name w:val="annotation subject"/>
    <w:basedOn w:val="Tekstopmerking"/>
    <w:next w:val="Tekstopmerking"/>
    <w:link w:val="OnderwerpvanopmerkingChar"/>
    <w:uiPriority w:val="99"/>
    <w:semiHidden/>
    <w:unhideWhenUsed/>
    <w:rsid w:val="009636B4"/>
    <w:rPr>
      <w:b/>
      <w:bCs/>
    </w:rPr>
  </w:style>
  <w:style w:type="character" w:customStyle="1" w:styleId="OnderwerpvanopmerkingChar">
    <w:name w:val="Onderwerp van opmerking Char"/>
    <w:basedOn w:val="TekstopmerkingChar"/>
    <w:link w:val="Onderwerpvanopmerking"/>
    <w:uiPriority w:val="99"/>
    <w:semiHidden/>
    <w:rsid w:val="009636B4"/>
    <w:rPr>
      <w:b/>
      <w:bCs/>
      <w:sz w:val="20"/>
      <w:szCs w:val="20"/>
    </w:rPr>
  </w:style>
  <w:style w:type="paragraph" w:styleId="Koptekst">
    <w:name w:val="header"/>
    <w:basedOn w:val="Standaard"/>
    <w:link w:val="KoptekstChar"/>
    <w:uiPriority w:val="99"/>
    <w:unhideWhenUsed/>
    <w:rsid w:val="00534E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4E8E"/>
  </w:style>
  <w:style w:type="paragraph" w:styleId="Voettekst">
    <w:name w:val="footer"/>
    <w:basedOn w:val="Standaard"/>
    <w:link w:val="VoettekstChar"/>
    <w:uiPriority w:val="99"/>
    <w:unhideWhenUsed/>
    <w:rsid w:val="00534E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4E8E"/>
  </w:style>
  <w:style w:type="paragraph" w:styleId="Voetnoottekst">
    <w:name w:val="footnote text"/>
    <w:basedOn w:val="Standaard"/>
    <w:link w:val="VoetnoottekstChar"/>
    <w:uiPriority w:val="99"/>
    <w:semiHidden/>
    <w:unhideWhenUsed/>
    <w:rsid w:val="00534E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4E8E"/>
    <w:rPr>
      <w:sz w:val="20"/>
      <w:szCs w:val="20"/>
    </w:rPr>
  </w:style>
  <w:style w:type="character" w:styleId="Voetnootmarkering">
    <w:name w:val="footnote reference"/>
    <w:basedOn w:val="Standaardalinea-lettertype"/>
    <w:uiPriority w:val="99"/>
    <w:semiHidden/>
    <w:unhideWhenUsed/>
    <w:rsid w:val="00534E8E"/>
    <w:rPr>
      <w:vertAlign w:val="superscript"/>
    </w:rPr>
  </w:style>
  <w:style w:type="paragraph" w:styleId="Revisie">
    <w:name w:val="Revision"/>
    <w:hidden/>
    <w:uiPriority w:val="99"/>
    <w:semiHidden/>
    <w:rsid w:val="005E1950"/>
    <w:pPr>
      <w:spacing w:after="0" w:line="240" w:lineRule="auto"/>
    </w:pPr>
  </w:style>
  <w:style w:type="character" w:styleId="Hyperlink">
    <w:name w:val="Hyperlink"/>
    <w:basedOn w:val="Standaardalinea-lettertype"/>
    <w:uiPriority w:val="99"/>
    <w:unhideWhenUsed/>
    <w:rsid w:val="00D60EE3"/>
    <w:rPr>
      <w:color w:val="0563C1" w:themeColor="hyperlink"/>
      <w:u w:val="single"/>
    </w:rPr>
  </w:style>
  <w:style w:type="character" w:styleId="Onopgelostemelding">
    <w:name w:val="Unresolved Mention"/>
    <w:basedOn w:val="Standaardalinea-lettertype"/>
    <w:uiPriority w:val="99"/>
    <w:semiHidden/>
    <w:unhideWhenUsed/>
    <w:rsid w:val="00D60EE3"/>
    <w:rPr>
      <w:color w:val="605E5C"/>
      <w:shd w:val="clear" w:color="auto" w:fill="E1DFDD"/>
    </w:rPr>
  </w:style>
  <w:style w:type="paragraph" w:styleId="Lijstalinea">
    <w:name w:val="List Paragraph"/>
    <w:basedOn w:val="Standaard"/>
    <w:uiPriority w:val="34"/>
    <w:qFormat/>
    <w:rsid w:val="0081363B"/>
    <w:pPr>
      <w:ind w:left="720"/>
      <w:contextualSpacing/>
    </w:pPr>
  </w:style>
  <w:style w:type="character" w:styleId="GevolgdeHyperlink">
    <w:name w:val="FollowedHyperlink"/>
    <w:basedOn w:val="Standaardalinea-lettertype"/>
    <w:uiPriority w:val="99"/>
    <w:semiHidden/>
    <w:unhideWhenUsed/>
    <w:rsid w:val="00496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099">
      <w:bodyDiv w:val="1"/>
      <w:marLeft w:val="0"/>
      <w:marRight w:val="0"/>
      <w:marTop w:val="0"/>
      <w:marBottom w:val="0"/>
      <w:divBdr>
        <w:top w:val="none" w:sz="0" w:space="0" w:color="auto"/>
        <w:left w:val="none" w:sz="0" w:space="0" w:color="auto"/>
        <w:bottom w:val="none" w:sz="0" w:space="0" w:color="auto"/>
        <w:right w:val="none" w:sz="0" w:space="0" w:color="auto"/>
      </w:divBdr>
    </w:div>
    <w:div w:id="248854747">
      <w:bodyDiv w:val="1"/>
      <w:marLeft w:val="0"/>
      <w:marRight w:val="0"/>
      <w:marTop w:val="0"/>
      <w:marBottom w:val="0"/>
      <w:divBdr>
        <w:top w:val="none" w:sz="0" w:space="0" w:color="auto"/>
        <w:left w:val="none" w:sz="0" w:space="0" w:color="auto"/>
        <w:bottom w:val="none" w:sz="0" w:space="0" w:color="auto"/>
        <w:right w:val="none" w:sz="0" w:space="0" w:color="auto"/>
      </w:divBdr>
    </w:div>
    <w:div w:id="276260740">
      <w:bodyDiv w:val="1"/>
      <w:marLeft w:val="0"/>
      <w:marRight w:val="0"/>
      <w:marTop w:val="0"/>
      <w:marBottom w:val="0"/>
      <w:divBdr>
        <w:top w:val="none" w:sz="0" w:space="0" w:color="auto"/>
        <w:left w:val="none" w:sz="0" w:space="0" w:color="auto"/>
        <w:bottom w:val="none" w:sz="0" w:space="0" w:color="auto"/>
        <w:right w:val="none" w:sz="0" w:space="0" w:color="auto"/>
      </w:divBdr>
    </w:div>
    <w:div w:id="356200455">
      <w:bodyDiv w:val="1"/>
      <w:marLeft w:val="0"/>
      <w:marRight w:val="0"/>
      <w:marTop w:val="0"/>
      <w:marBottom w:val="0"/>
      <w:divBdr>
        <w:top w:val="none" w:sz="0" w:space="0" w:color="auto"/>
        <w:left w:val="none" w:sz="0" w:space="0" w:color="auto"/>
        <w:bottom w:val="none" w:sz="0" w:space="0" w:color="auto"/>
        <w:right w:val="none" w:sz="0" w:space="0" w:color="auto"/>
      </w:divBdr>
    </w:div>
    <w:div w:id="550265276">
      <w:bodyDiv w:val="1"/>
      <w:marLeft w:val="0"/>
      <w:marRight w:val="0"/>
      <w:marTop w:val="0"/>
      <w:marBottom w:val="0"/>
      <w:divBdr>
        <w:top w:val="none" w:sz="0" w:space="0" w:color="auto"/>
        <w:left w:val="none" w:sz="0" w:space="0" w:color="auto"/>
        <w:bottom w:val="none" w:sz="0" w:space="0" w:color="auto"/>
        <w:right w:val="none" w:sz="0" w:space="0" w:color="auto"/>
      </w:divBdr>
    </w:div>
    <w:div w:id="781996867">
      <w:bodyDiv w:val="1"/>
      <w:marLeft w:val="0"/>
      <w:marRight w:val="0"/>
      <w:marTop w:val="0"/>
      <w:marBottom w:val="0"/>
      <w:divBdr>
        <w:top w:val="none" w:sz="0" w:space="0" w:color="auto"/>
        <w:left w:val="none" w:sz="0" w:space="0" w:color="auto"/>
        <w:bottom w:val="none" w:sz="0" w:space="0" w:color="auto"/>
        <w:right w:val="none" w:sz="0" w:space="0" w:color="auto"/>
      </w:divBdr>
    </w:div>
    <w:div w:id="1146823582">
      <w:bodyDiv w:val="1"/>
      <w:marLeft w:val="0"/>
      <w:marRight w:val="0"/>
      <w:marTop w:val="0"/>
      <w:marBottom w:val="0"/>
      <w:divBdr>
        <w:top w:val="none" w:sz="0" w:space="0" w:color="auto"/>
        <w:left w:val="none" w:sz="0" w:space="0" w:color="auto"/>
        <w:bottom w:val="none" w:sz="0" w:space="0" w:color="auto"/>
        <w:right w:val="none" w:sz="0" w:space="0" w:color="auto"/>
      </w:divBdr>
    </w:div>
    <w:div w:id="1261715161">
      <w:bodyDiv w:val="1"/>
      <w:marLeft w:val="0"/>
      <w:marRight w:val="0"/>
      <w:marTop w:val="0"/>
      <w:marBottom w:val="0"/>
      <w:divBdr>
        <w:top w:val="none" w:sz="0" w:space="0" w:color="auto"/>
        <w:left w:val="none" w:sz="0" w:space="0" w:color="auto"/>
        <w:bottom w:val="none" w:sz="0" w:space="0" w:color="auto"/>
        <w:right w:val="none" w:sz="0" w:space="0" w:color="auto"/>
      </w:divBdr>
    </w:div>
    <w:div w:id="1543597672">
      <w:bodyDiv w:val="1"/>
      <w:marLeft w:val="0"/>
      <w:marRight w:val="0"/>
      <w:marTop w:val="0"/>
      <w:marBottom w:val="0"/>
      <w:divBdr>
        <w:top w:val="none" w:sz="0" w:space="0" w:color="auto"/>
        <w:left w:val="none" w:sz="0" w:space="0" w:color="auto"/>
        <w:bottom w:val="none" w:sz="0" w:space="0" w:color="auto"/>
        <w:right w:val="none" w:sz="0" w:space="0" w:color="auto"/>
      </w:divBdr>
    </w:div>
    <w:div w:id="1594587931">
      <w:bodyDiv w:val="1"/>
      <w:marLeft w:val="0"/>
      <w:marRight w:val="0"/>
      <w:marTop w:val="0"/>
      <w:marBottom w:val="0"/>
      <w:divBdr>
        <w:top w:val="none" w:sz="0" w:space="0" w:color="auto"/>
        <w:left w:val="none" w:sz="0" w:space="0" w:color="auto"/>
        <w:bottom w:val="none" w:sz="0" w:space="0" w:color="auto"/>
        <w:right w:val="none" w:sz="0" w:space="0" w:color="auto"/>
      </w:divBdr>
    </w:div>
    <w:div w:id="1739938818">
      <w:bodyDiv w:val="1"/>
      <w:marLeft w:val="0"/>
      <w:marRight w:val="0"/>
      <w:marTop w:val="0"/>
      <w:marBottom w:val="0"/>
      <w:divBdr>
        <w:top w:val="none" w:sz="0" w:space="0" w:color="auto"/>
        <w:left w:val="none" w:sz="0" w:space="0" w:color="auto"/>
        <w:bottom w:val="none" w:sz="0" w:space="0" w:color="auto"/>
        <w:right w:val="none" w:sz="0" w:space="0" w:color="auto"/>
      </w:divBdr>
    </w:div>
    <w:div w:id="1814247058">
      <w:bodyDiv w:val="1"/>
      <w:marLeft w:val="0"/>
      <w:marRight w:val="0"/>
      <w:marTop w:val="0"/>
      <w:marBottom w:val="0"/>
      <w:divBdr>
        <w:top w:val="none" w:sz="0" w:space="0" w:color="auto"/>
        <w:left w:val="none" w:sz="0" w:space="0" w:color="auto"/>
        <w:bottom w:val="none" w:sz="0" w:space="0" w:color="auto"/>
        <w:right w:val="none" w:sz="0" w:space="0" w:color="auto"/>
      </w:divBdr>
    </w:div>
    <w:div w:id="20866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9c3f9ec6-4d67-4bfd-8f04-a7c75b5796fb/export-uitkeringen-2024.pdf" TargetMode="External"/><Relationship Id="rId2" Type="http://schemas.openxmlformats.org/officeDocument/2006/relationships/hyperlink" Target="https://eur-lex.europa.eu/legal-content/EN/TXT/?uri=oj:JOC_2023_041_R_0001" TargetMode="External"/><Relationship Id="rId1" Type="http://schemas.openxmlformats.org/officeDocument/2006/relationships/hyperlink" Target="https://data.consilium.europa.eu/doc/document/ST-14905-2025-ADD-1/en/pdf" TargetMode="External"/><Relationship Id="rId4" Type="http://schemas.openxmlformats.org/officeDocument/2006/relationships/hyperlink" Target="https://www.rekenkamer.nl/documenten/2022/06/22/een-nederlandse-uitkering-in-het-buitenland?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2438</ap:Words>
  <ap:Characters>13415</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2026-02-10T09:01:00.0000000Z</dcterms:created>
  <dcterms:modified xsi:type="dcterms:W3CDTF">2026-02-10T09:01:00.0000000Z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