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43E" w:rsidP="0049343E" w:rsidRDefault="0049343E" w14:paraId="08075250" w14:textId="4114C851">
      <w:r>
        <w:t>AH 1071</w:t>
      </w:r>
    </w:p>
    <w:p w:rsidR="0049343E" w:rsidP="0049343E" w:rsidRDefault="0049343E" w14:paraId="4E8757D8" w14:textId="2F080875">
      <w:r>
        <w:t>2026Z01635</w:t>
      </w:r>
    </w:p>
    <w:p w:rsidRPr="0049343E" w:rsidR="0049343E" w:rsidP="0049343E" w:rsidRDefault="0049343E" w14:paraId="48568120" w14:textId="2B65ED88">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sidR="00923442">
        <w:rPr>
          <w:sz w:val="24"/>
          <w:szCs w:val="24"/>
        </w:rPr>
        <w:t xml:space="preserve"> </w:t>
      </w:r>
      <w:r w:rsidRPr="00A71055">
        <w:rPr>
          <w:sz w:val="24"/>
          <w:szCs w:val="24"/>
        </w:rPr>
        <w:t>(ontvangen</w:t>
      </w:r>
      <w:r>
        <w:rPr>
          <w:sz w:val="24"/>
          <w:szCs w:val="24"/>
        </w:rPr>
        <w:t xml:space="preserve"> 10 februari 2026)</w:t>
      </w:r>
    </w:p>
    <w:p w:rsidR="0049343E" w:rsidP="0049343E" w:rsidRDefault="0049343E" w14:paraId="1BED6FE7" w14:textId="77777777">
      <w:r>
        <w:t xml:space="preserve">Vraag 1 </w:t>
      </w:r>
    </w:p>
    <w:p w:rsidR="0049343E" w:rsidP="0049343E" w:rsidRDefault="0049343E" w14:paraId="7EEAA42A" w14:textId="77777777">
      <w:r>
        <w:t xml:space="preserve">Waren </w:t>
      </w:r>
      <w:proofErr w:type="spellStart"/>
      <w:r>
        <w:t>Logius</w:t>
      </w:r>
      <w:proofErr w:type="spellEnd"/>
      <w:r>
        <w:t xml:space="preserve">, de overheid in brede zin, de betrokken minister(s) en/of het kabinet – al dan niet in combinatie – vooraf op de hoogte van de overname van </w:t>
      </w:r>
      <w:proofErr w:type="spellStart"/>
      <w:r>
        <w:t>Solvinity</w:t>
      </w:r>
      <w:proofErr w:type="spellEnd"/>
      <w:r>
        <w:t xml:space="preserve"> (het bedrijf achter het </w:t>
      </w:r>
      <w:proofErr w:type="spellStart"/>
      <w:r>
        <w:t>DigiD</w:t>
      </w:r>
      <w:proofErr w:type="spellEnd"/>
      <w:r>
        <w:t xml:space="preserve">-platform), vóórdat dit publiekelijk bekend werd? </w:t>
      </w:r>
    </w:p>
    <w:p w:rsidR="0049343E" w:rsidP="0049343E" w:rsidRDefault="0049343E" w14:paraId="0AA8E8C1" w14:textId="77777777"/>
    <w:p w:rsidR="0049343E" w:rsidP="0049343E" w:rsidRDefault="0049343E" w14:paraId="0CF5F395" w14:textId="77777777">
      <w:r>
        <w:t xml:space="preserve">Vraag 2 </w:t>
      </w:r>
    </w:p>
    <w:p w:rsidR="0049343E" w:rsidP="0049343E" w:rsidRDefault="0049343E" w14:paraId="528E48D6" w14:textId="77777777">
      <w:r>
        <w:t xml:space="preserve">Zo ja: op welk moment is (één van) deze overheidspartijen hierover voor het eerst geïnformeerd? </w:t>
      </w:r>
    </w:p>
    <w:p w:rsidR="0049343E" w:rsidP="0049343E" w:rsidRDefault="0049343E" w14:paraId="378D0BF0" w14:textId="77777777"/>
    <w:p w:rsidRPr="00AD5CEA" w:rsidR="0049343E" w:rsidP="0049343E" w:rsidRDefault="0049343E" w14:paraId="390FD9FE" w14:textId="77777777">
      <w:pPr>
        <w:rPr>
          <w:u w:val="single"/>
        </w:rPr>
      </w:pPr>
      <w:r w:rsidRPr="00AD5CEA">
        <w:rPr>
          <w:u w:val="single"/>
        </w:rPr>
        <w:t>Antwoord op vraag 1 en 2</w:t>
      </w:r>
    </w:p>
    <w:p w:rsidR="0049343E" w:rsidP="0049343E" w:rsidRDefault="0049343E" w14:paraId="302ABD04" w14:textId="77777777">
      <w:r>
        <w:t xml:space="preserve">In maart 2025 heeft </w:t>
      </w:r>
      <w:proofErr w:type="spellStart"/>
      <w:r>
        <w:t>Solvinity</w:t>
      </w:r>
      <w:proofErr w:type="spellEnd"/>
      <w:r>
        <w:t xml:space="preserve"> onder embargo de directeur van </w:t>
      </w:r>
      <w:proofErr w:type="spellStart"/>
      <w:r>
        <w:t>Logius</w:t>
      </w:r>
      <w:proofErr w:type="spellEnd"/>
      <w:r>
        <w:t xml:space="preserve"> medegedeeld dat de eigenaar van </w:t>
      </w:r>
      <w:proofErr w:type="spellStart"/>
      <w:r>
        <w:t>Solvinity</w:t>
      </w:r>
      <w:proofErr w:type="spellEnd"/>
      <w:r>
        <w:t xml:space="preserve"> op zoek was naar een overnamekandidaat. Op verzoek van de directeur </w:t>
      </w:r>
      <w:proofErr w:type="spellStart"/>
      <w:r>
        <w:t>Logius</w:t>
      </w:r>
      <w:proofErr w:type="spellEnd"/>
      <w:r>
        <w:t xml:space="preserve"> is dit embargo deels opgeheven, zodat hij dit bericht met een beperkt aantal personen van het kerndepartement van het ministerie van BZK kon delen in mei 2025. </w:t>
      </w:r>
    </w:p>
    <w:p w:rsidR="0049343E" w:rsidP="0049343E" w:rsidRDefault="0049343E" w14:paraId="72A210D3" w14:textId="77777777">
      <w:r>
        <w:t xml:space="preserve">In april 2025 heeft </w:t>
      </w:r>
      <w:proofErr w:type="spellStart"/>
      <w:r>
        <w:t>Solvinity</w:t>
      </w:r>
      <w:proofErr w:type="spellEnd"/>
      <w:r>
        <w:t xml:space="preserve"> onder embargo ook een directeur bij het ministerie van </w:t>
      </w:r>
      <w:proofErr w:type="spellStart"/>
      <w:r>
        <w:t>JenV</w:t>
      </w:r>
      <w:proofErr w:type="spellEnd"/>
      <w:r>
        <w:t xml:space="preserve"> geïnformeerd dat de eigenaar van </w:t>
      </w:r>
      <w:proofErr w:type="spellStart"/>
      <w:r>
        <w:t>Solvinity</w:t>
      </w:r>
      <w:proofErr w:type="spellEnd"/>
      <w:r>
        <w:t xml:space="preserve"> op zoek was naar een overnamekandidaat. </w:t>
      </w:r>
    </w:p>
    <w:p w:rsidR="0049343E" w:rsidP="0049343E" w:rsidRDefault="0049343E" w14:paraId="4E6C6EB4" w14:textId="77777777">
      <w:r>
        <w:t xml:space="preserve">Het ministerie van BZK en het ministerie van </w:t>
      </w:r>
      <w:proofErr w:type="spellStart"/>
      <w:r>
        <w:t>JenV</w:t>
      </w:r>
      <w:proofErr w:type="spellEnd"/>
      <w:r>
        <w:t xml:space="preserve"> hebben de naam van de overnamekandidaat vernomen op de dag van de bekendmaking van de overname in de media (5 november jl.).  </w:t>
      </w:r>
    </w:p>
    <w:p w:rsidR="0049343E" w:rsidP="0049343E" w:rsidRDefault="0049343E" w14:paraId="30DFD991" w14:textId="77777777"/>
    <w:p w:rsidR="0049343E" w:rsidP="0049343E" w:rsidRDefault="0049343E" w14:paraId="16AA51EA" w14:textId="77777777"/>
    <w:p w:rsidR="0049343E" w:rsidP="0049343E" w:rsidRDefault="0049343E" w14:paraId="1F15475D" w14:textId="77777777">
      <w:r>
        <w:t xml:space="preserve">Vraag 3 </w:t>
      </w:r>
    </w:p>
    <w:p w:rsidR="0049343E" w:rsidP="0049343E" w:rsidRDefault="0049343E" w14:paraId="0E5F8DF5" w14:textId="77777777">
      <w:r>
        <w:t xml:space="preserve">Heeft de overheid, of één van haar diensten, de mogelijkheid gekregen om </w:t>
      </w:r>
      <w:proofErr w:type="spellStart"/>
      <w:r>
        <w:t>Solvinity</w:t>
      </w:r>
      <w:proofErr w:type="spellEnd"/>
      <w:r>
        <w:t xml:space="preserve"> zelf over te nemen of in eigen handen te brengen? </w:t>
      </w:r>
    </w:p>
    <w:p w:rsidR="0049343E" w:rsidP="0049343E" w:rsidRDefault="0049343E" w14:paraId="02D5BB50" w14:textId="77777777"/>
    <w:p w:rsidR="0049343E" w:rsidP="0049343E" w:rsidRDefault="0049343E" w14:paraId="5C7F8E3A" w14:textId="77777777">
      <w:r>
        <w:t xml:space="preserve">Vraag 4 </w:t>
      </w:r>
    </w:p>
    <w:p w:rsidR="0049343E" w:rsidP="0049343E" w:rsidRDefault="0049343E" w14:paraId="248040AF" w14:textId="77777777">
      <w:r>
        <w:lastRenderedPageBreak/>
        <w:t xml:space="preserve">Zo ja: wat is er met die informatie en/of mogelijkheid gedaan, en welke afwegingen zijn daarbij gemaakt? </w:t>
      </w:r>
    </w:p>
    <w:p w:rsidR="0049343E" w:rsidP="0049343E" w:rsidRDefault="0049343E" w14:paraId="673E3C7C" w14:textId="77777777"/>
    <w:p w:rsidR="0049343E" w:rsidP="0049343E" w:rsidRDefault="0049343E" w14:paraId="59A342C1" w14:textId="77777777">
      <w:r>
        <w:t>Antwoord vraag 3 en 4</w:t>
      </w:r>
    </w:p>
    <w:p w:rsidR="0049343E" w:rsidP="0049343E" w:rsidRDefault="0049343E" w14:paraId="6744BA8E" w14:textId="77777777">
      <w:r>
        <w:t xml:space="preserve">De overheid is als (grote) afnemer geïnformeerd over het feit dat de eigenaar van </w:t>
      </w:r>
      <w:proofErr w:type="spellStart"/>
      <w:r>
        <w:t>Solvinity</w:t>
      </w:r>
      <w:proofErr w:type="spellEnd"/>
      <w:r>
        <w:t xml:space="preserve"> op zoek was naar een overnamekandidaat. Tevens is door </w:t>
      </w:r>
      <w:proofErr w:type="spellStart"/>
      <w:r>
        <w:t>Solvinity</w:t>
      </w:r>
      <w:proofErr w:type="spellEnd"/>
      <w:r>
        <w:t xml:space="preserve"> gepeild bij </w:t>
      </w:r>
      <w:proofErr w:type="spellStart"/>
      <w:r>
        <w:t>Logius</w:t>
      </w:r>
      <w:proofErr w:type="spellEnd"/>
      <w:r>
        <w:t xml:space="preserve"> en het ministerie van </w:t>
      </w:r>
      <w:proofErr w:type="spellStart"/>
      <w:r>
        <w:t>JenV</w:t>
      </w:r>
      <w:proofErr w:type="spellEnd"/>
      <w:r>
        <w:t xml:space="preserve"> of de overheid geïnteresseerd is om </w:t>
      </w:r>
      <w:proofErr w:type="spellStart"/>
      <w:r>
        <w:t>Solvinity</w:t>
      </w:r>
      <w:proofErr w:type="spellEnd"/>
      <w:r>
        <w:t xml:space="preserve"> over te nemen. De overheid of een van haar diensten heeft niet overwogen om </w:t>
      </w:r>
      <w:proofErr w:type="spellStart"/>
      <w:r>
        <w:t>Solvinity</w:t>
      </w:r>
      <w:proofErr w:type="spellEnd"/>
      <w:r>
        <w:t xml:space="preserve"> zelf over te nemen of in eigen handen te brengen.</w:t>
      </w:r>
    </w:p>
    <w:p w:rsidR="0049343E" w:rsidP="0049343E" w:rsidRDefault="0049343E" w14:paraId="52B5CEA0" w14:textId="77777777"/>
    <w:p w:rsidR="0049343E" w:rsidP="0049343E" w:rsidRDefault="0049343E" w14:paraId="23C49F54" w14:textId="77777777">
      <w:r>
        <w:t>Het kabinet hecht aan het uitgangspunt dat publiek eigenaarschap of het actief beïnvloeden van de eigendomsstructuur van bedrijven niet behoort tot de kerntaken van de overheid en geen doel op zich is. Eigenaarschap van bedrijven is in principe een marktaangelegenheid. Wel beschikt Nederland over een breed instrumentarium ter borging van de economische veiligheid, waaronder de continuïteit van vitale (</w:t>
      </w:r>
      <w:proofErr w:type="spellStart"/>
      <w:r>
        <w:t>overheids</w:t>
      </w:r>
      <w:proofErr w:type="spellEnd"/>
      <w:r>
        <w:t>)processen. Dit bestaat onder andere uit het stelsel van investeringstoetsing, exportcontrolebeleid, en beveiligingsmaatregelen in het vitaal stelsel, zoals toegelicht in de Kamerbrief van 1 juli 2025.</w:t>
      </w:r>
      <w:r>
        <w:rPr>
          <w:rStyle w:val="Voetnootmarkering"/>
        </w:rPr>
        <w:footnoteReference w:id="1"/>
      </w:r>
    </w:p>
    <w:p w:rsidR="0049343E" w:rsidP="0049343E" w:rsidRDefault="0049343E" w14:paraId="49210CC4" w14:textId="77777777"/>
    <w:p w:rsidR="0049343E" w:rsidP="0049343E" w:rsidRDefault="0049343E" w14:paraId="13F39E56" w14:textId="77777777">
      <w:r>
        <w:t>Ten behoeve van toekomstige vergelijkbare gevallen wordt een procedure ontwikkeld om bij mogelijke wisseling van zeggenschap bij leveranciers van vitale en kritieke dienstverlening van de overheid, de informatie die contracthouders ontvangen van leveranciers, ook gestroomlijnder te delen met de ambtelijke en politieke top van de betrokken ministeries. Hiervoor wordt een handelingskader opgesteld.</w:t>
      </w:r>
    </w:p>
    <w:p w:rsidR="0049343E" w:rsidP="0049343E" w:rsidRDefault="0049343E" w14:paraId="040E08A3" w14:textId="77777777"/>
    <w:p w:rsidR="0049343E" w:rsidP="0049343E" w:rsidRDefault="0049343E" w14:paraId="296DFBF4" w14:textId="77777777">
      <w:r>
        <w:t xml:space="preserve">De snel veranderende geopolitieke situatie en veranderde machtsverhoudingen in de wereld, vragen om een </w:t>
      </w:r>
      <w:proofErr w:type="spellStart"/>
      <w:r>
        <w:t>overheidsbrede</w:t>
      </w:r>
      <w:proofErr w:type="spellEnd"/>
      <w:r>
        <w:t xml:space="preserve"> aanpak in de waarborging van onze digitale autonomie en soevereiniteit. Hiervoor is in december 2025 een visie op digitale autonomie en soevereiniteit van de overheid gepubliceerd als onderdeel van de Nederlandse Digitaliseringstrategie (NDS). In de herziening van het </w:t>
      </w:r>
      <w:proofErr w:type="spellStart"/>
      <w:r>
        <w:t>cloudbeleid</w:t>
      </w:r>
      <w:proofErr w:type="spellEnd"/>
      <w:r>
        <w:t xml:space="preserve"> wordt explicieter aangegeven hoe risico’s ten aanzien van extraterritoriale inmenging moeten worden beoordeeld. Daarnaast zijn er verscheidene aanstaande Europese initiatieven, zoals het wetsvoorstel voor een </w:t>
      </w:r>
      <w:r w:rsidRPr="00C064BC">
        <w:rPr>
          <w:i/>
          <w:iCs/>
        </w:rPr>
        <w:lastRenderedPageBreak/>
        <w:t xml:space="preserve">Cloud </w:t>
      </w:r>
      <w:proofErr w:type="spellStart"/>
      <w:r w:rsidRPr="00C064BC">
        <w:rPr>
          <w:i/>
          <w:iCs/>
        </w:rPr>
        <w:t>and</w:t>
      </w:r>
      <w:proofErr w:type="spellEnd"/>
      <w:r w:rsidRPr="00C064BC">
        <w:rPr>
          <w:i/>
          <w:iCs/>
        </w:rPr>
        <w:t xml:space="preserve"> AI Development Act</w:t>
      </w:r>
      <w:r>
        <w:t xml:space="preserve"> en de aanbeveling van de Europese Commissie voor een </w:t>
      </w:r>
      <w:r w:rsidRPr="009042B8">
        <w:rPr>
          <w:i/>
          <w:iCs/>
        </w:rPr>
        <w:t>single EU-</w:t>
      </w:r>
      <w:proofErr w:type="spellStart"/>
      <w:r w:rsidRPr="009042B8">
        <w:rPr>
          <w:i/>
          <w:iCs/>
        </w:rPr>
        <w:t>wide</w:t>
      </w:r>
      <w:proofErr w:type="spellEnd"/>
      <w:r w:rsidRPr="009042B8">
        <w:rPr>
          <w:i/>
          <w:iCs/>
        </w:rPr>
        <w:t xml:space="preserve"> </w:t>
      </w:r>
      <w:proofErr w:type="spellStart"/>
      <w:r w:rsidRPr="009042B8">
        <w:rPr>
          <w:i/>
          <w:iCs/>
        </w:rPr>
        <w:t>cloud</w:t>
      </w:r>
      <w:proofErr w:type="spellEnd"/>
      <w:r w:rsidRPr="009042B8">
        <w:rPr>
          <w:i/>
          <w:iCs/>
        </w:rPr>
        <w:t xml:space="preserve"> policy </w:t>
      </w:r>
      <w:proofErr w:type="spellStart"/>
      <w:r w:rsidRPr="009042B8">
        <w:rPr>
          <w:i/>
          <w:iCs/>
        </w:rPr>
        <w:t>for</w:t>
      </w:r>
      <w:proofErr w:type="spellEnd"/>
      <w:r w:rsidRPr="009042B8">
        <w:rPr>
          <w:i/>
          <w:iCs/>
        </w:rPr>
        <w:t xml:space="preserve"> public </w:t>
      </w:r>
      <w:proofErr w:type="spellStart"/>
      <w:r w:rsidRPr="009042B8">
        <w:rPr>
          <w:i/>
          <w:iCs/>
        </w:rPr>
        <w:t>administrations</w:t>
      </w:r>
      <w:proofErr w:type="spellEnd"/>
      <w:r w:rsidRPr="009042B8">
        <w:rPr>
          <w:i/>
          <w:iCs/>
        </w:rPr>
        <w:t xml:space="preserve"> </w:t>
      </w:r>
      <w:proofErr w:type="spellStart"/>
      <w:r w:rsidRPr="009042B8">
        <w:rPr>
          <w:i/>
          <w:iCs/>
        </w:rPr>
        <w:t>and</w:t>
      </w:r>
      <w:proofErr w:type="spellEnd"/>
      <w:r w:rsidRPr="009042B8">
        <w:rPr>
          <w:i/>
          <w:iCs/>
        </w:rPr>
        <w:t xml:space="preserve"> public </w:t>
      </w:r>
      <w:proofErr w:type="spellStart"/>
      <w:r w:rsidRPr="009042B8">
        <w:rPr>
          <w:i/>
          <w:iCs/>
        </w:rPr>
        <w:t>procurement</w:t>
      </w:r>
      <w:proofErr w:type="spellEnd"/>
      <w:r>
        <w:t>.</w:t>
      </w:r>
      <w:r>
        <w:rPr>
          <w:rStyle w:val="Voetnootmarkering"/>
        </w:rPr>
        <w:footnoteReference w:id="2"/>
      </w:r>
      <w:r>
        <w:t xml:space="preserve">  </w:t>
      </w:r>
    </w:p>
    <w:p w:rsidR="0049343E" w:rsidP="0049343E" w:rsidRDefault="0049343E" w14:paraId="7B6795F4" w14:textId="77777777"/>
    <w:p w:rsidR="0049343E" w:rsidP="0049343E" w:rsidRDefault="0049343E" w14:paraId="4FF0BB6F" w14:textId="77777777"/>
    <w:p w:rsidR="0049343E" w:rsidP="0049343E" w:rsidRDefault="0049343E" w14:paraId="61536CA9" w14:textId="77777777">
      <w:r>
        <w:t xml:space="preserve">Vraag 5 </w:t>
      </w:r>
    </w:p>
    <w:p w:rsidR="0049343E" w:rsidP="0049343E" w:rsidRDefault="0049343E" w14:paraId="587C7958" w14:textId="77777777">
      <w:r>
        <w:t xml:space="preserve">In hoeverre is de Kamer hierover tijdig, juist en volledig geïnformeerd? </w:t>
      </w:r>
    </w:p>
    <w:p w:rsidR="0049343E" w:rsidP="0049343E" w:rsidRDefault="0049343E" w14:paraId="3A47F8AA" w14:textId="77777777"/>
    <w:p w:rsidR="0049343E" w:rsidP="0049343E" w:rsidRDefault="0049343E" w14:paraId="761B6779" w14:textId="77777777">
      <w:r>
        <w:t xml:space="preserve">In de beantwoording van de Kamervragen van het lid </w:t>
      </w:r>
      <w:proofErr w:type="spellStart"/>
      <w:r>
        <w:t>Kathmann</w:t>
      </w:r>
      <w:proofErr w:type="spellEnd"/>
      <w:r>
        <w:t xml:space="preserve"> is eerder gemeld dat onder embargo is medegedeeld dat de eigenaar van </w:t>
      </w:r>
      <w:proofErr w:type="spellStart"/>
      <w:r>
        <w:t>Solvinity</w:t>
      </w:r>
      <w:proofErr w:type="spellEnd"/>
      <w:r>
        <w:t xml:space="preserve"> op zoek was naar een overnamekandidaat.</w:t>
      </w:r>
      <w:r>
        <w:rPr>
          <w:rStyle w:val="Voetnootmarkering"/>
        </w:rPr>
        <w:footnoteReference w:id="3"/>
      </w:r>
      <w:r>
        <w:t xml:space="preserve"> </w:t>
      </w:r>
    </w:p>
    <w:p w:rsidR="0049343E" w:rsidP="0049343E" w:rsidRDefault="0049343E" w14:paraId="145D855F" w14:textId="77777777"/>
    <w:p w:rsidR="0049343E" w:rsidP="0049343E" w:rsidRDefault="0049343E" w14:paraId="62D23D17" w14:textId="77777777"/>
    <w:p w:rsidR="0049343E" w:rsidP="0049343E" w:rsidRDefault="0049343E" w14:paraId="367E824F" w14:textId="77777777">
      <w:r>
        <w:t xml:space="preserve">Vraag 6 </w:t>
      </w:r>
    </w:p>
    <w:p w:rsidR="0049343E" w:rsidP="0049343E" w:rsidRDefault="0049343E" w14:paraId="2E59DA35" w14:textId="77777777">
      <w:r>
        <w:t>Zou u vanwege het aanstaande debat over de overname deze vragen met urgentie willen beantwoorden?</w:t>
      </w:r>
    </w:p>
    <w:p w:rsidR="0049343E" w:rsidP="0049343E" w:rsidRDefault="0049343E" w14:paraId="4814DDFF" w14:textId="77777777"/>
    <w:p w:rsidR="0049343E" w:rsidP="0049343E" w:rsidRDefault="0049343E" w14:paraId="6395690F" w14:textId="77777777">
      <w:r>
        <w:t xml:space="preserve">Hierbij zijn uw vragen met urgentie en voor het aanstaande debat beantwoord. </w:t>
      </w:r>
    </w:p>
    <w:p w:rsidRPr="00AF1CEC" w:rsidR="0049343E" w:rsidP="0049343E" w:rsidRDefault="0049343E" w14:paraId="75EC5417" w14:textId="77777777">
      <w:r>
        <w:t xml:space="preserve"> </w:t>
      </w:r>
    </w:p>
    <w:p w:rsidR="00CC64B4" w:rsidRDefault="00CC64B4" w14:paraId="0662E8ED" w14:textId="77777777"/>
    <w:sectPr w:rsidR="00CC64B4" w:rsidSect="0049343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9F4E" w14:textId="77777777" w:rsidR="0049343E" w:rsidRDefault="0049343E" w:rsidP="0049343E">
      <w:pPr>
        <w:spacing w:after="0" w:line="240" w:lineRule="auto"/>
      </w:pPr>
      <w:r>
        <w:separator/>
      </w:r>
    </w:p>
  </w:endnote>
  <w:endnote w:type="continuationSeparator" w:id="0">
    <w:p w14:paraId="0463DCF1" w14:textId="77777777" w:rsidR="0049343E" w:rsidRDefault="0049343E" w:rsidP="0049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5EF1" w14:textId="77777777" w:rsidR="0049343E" w:rsidRPr="0049343E" w:rsidRDefault="0049343E" w:rsidP="00493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A2D" w14:textId="77777777" w:rsidR="0049343E" w:rsidRPr="0049343E" w:rsidRDefault="0049343E" w:rsidP="00493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2471" w14:textId="77777777" w:rsidR="0049343E" w:rsidRPr="0049343E" w:rsidRDefault="0049343E" w:rsidP="00493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2C15" w14:textId="77777777" w:rsidR="0049343E" w:rsidRDefault="0049343E" w:rsidP="0049343E">
      <w:pPr>
        <w:spacing w:after="0" w:line="240" w:lineRule="auto"/>
      </w:pPr>
      <w:r>
        <w:separator/>
      </w:r>
    </w:p>
  </w:footnote>
  <w:footnote w:type="continuationSeparator" w:id="0">
    <w:p w14:paraId="2B16AB74" w14:textId="77777777" w:rsidR="0049343E" w:rsidRDefault="0049343E" w:rsidP="0049343E">
      <w:pPr>
        <w:spacing w:after="0" w:line="240" w:lineRule="auto"/>
      </w:pPr>
      <w:r>
        <w:continuationSeparator/>
      </w:r>
    </w:p>
  </w:footnote>
  <w:footnote w:id="1">
    <w:p w14:paraId="08740E9F"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2024–2025, 30 821, nr. 302</w:t>
      </w:r>
    </w:p>
  </w:footnote>
  <w:footnote w:id="2">
    <w:p w14:paraId="67619F55" w14:textId="77777777" w:rsidR="0049343E" w:rsidRPr="003F00CA" w:rsidRDefault="0049343E" w:rsidP="0049343E">
      <w:pPr>
        <w:pStyle w:val="Voetnoottekst"/>
      </w:pPr>
      <w:r>
        <w:rPr>
          <w:rStyle w:val="Voetnootmarkering"/>
        </w:rPr>
        <w:footnoteRef/>
      </w:r>
      <w:r w:rsidRPr="003F00CA">
        <w:t xml:space="preserve"> </w:t>
      </w:r>
      <w:hyperlink r:id="rId1" w:history="1">
        <w:r w:rsidRPr="003F00CA">
          <w:rPr>
            <w:rStyle w:val="Hyperlink"/>
            <w:sz w:val="18"/>
            <w:szCs w:val="18"/>
          </w:rPr>
          <w:t>Cloud computing | Shaping Europe’s digital future</w:t>
        </w:r>
      </w:hyperlink>
    </w:p>
  </w:footnote>
  <w:footnote w:id="3">
    <w:p w14:paraId="272A7B36"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2025–2026, Aanhangsel nr. 691 [2025Z19784]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642" w14:textId="77777777" w:rsidR="0049343E" w:rsidRPr="0049343E" w:rsidRDefault="0049343E" w:rsidP="00493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3413" w14:textId="77777777" w:rsidR="0049343E" w:rsidRPr="0049343E" w:rsidRDefault="0049343E" w:rsidP="004934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724" w14:textId="77777777" w:rsidR="0049343E" w:rsidRPr="0049343E" w:rsidRDefault="0049343E" w:rsidP="004934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3E"/>
    <w:rsid w:val="0049343E"/>
    <w:rsid w:val="004D337E"/>
    <w:rsid w:val="007A1F3D"/>
    <w:rsid w:val="00923442"/>
    <w:rsid w:val="009C70C9"/>
    <w:rsid w:val="00CC64B4"/>
    <w:rsid w:val="00DF0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327F"/>
  <w15:chartTrackingRefBased/>
  <w15:docId w15:val="{B74F72CA-DFFA-4798-A435-FF390C24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4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4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4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4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4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4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4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4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43E"/>
    <w:rPr>
      <w:rFonts w:eastAsiaTheme="majorEastAsia" w:cstheme="majorBidi"/>
      <w:color w:val="272727" w:themeColor="text1" w:themeTint="D8"/>
    </w:rPr>
  </w:style>
  <w:style w:type="paragraph" w:styleId="Titel">
    <w:name w:val="Title"/>
    <w:basedOn w:val="Standaard"/>
    <w:next w:val="Standaard"/>
    <w:link w:val="TitelChar"/>
    <w:uiPriority w:val="10"/>
    <w:qFormat/>
    <w:rsid w:val="0049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43E"/>
    <w:rPr>
      <w:i/>
      <w:iCs/>
      <w:color w:val="404040" w:themeColor="text1" w:themeTint="BF"/>
    </w:rPr>
  </w:style>
  <w:style w:type="paragraph" w:styleId="Lijstalinea">
    <w:name w:val="List Paragraph"/>
    <w:basedOn w:val="Standaard"/>
    <w:uiPriority w:val="34"/>
    <w:qFormat/>
    <w:rsid w:val="0049343E"/>
    <w:pPr>
      <w:ind w:left="720"/>
      <w:contextualSpacing/>
    </w:pPr>
  </w:style>
  <w:style w:type="character" w:styleId="Intensievebenadrukking">
    <w:name w:val="Intense Emphasis"/>
    <w:basedOn w:val="Standaardalinea-lettertype"/>
    <w:uiPriority w:val="21"/>
    <w:qFormat/>
    <w:rsid w:val="0049343E"/>
    <w:rPr>
      <w:i/>
      <w:iCs/>
      <w:color w:val="2F5496" w:themeColor="accent1" w:themeShade="BF"/>
    </w:rPr>
  </w:style>
  <w:style w:type="paragraph" w:styleId="Duidelijkcitaat">
    <w:name w:val="Intense Quote"/>
    <w:basedOn w:val="Standaard"/>
    <w:next w:val="Standaard"/>
    <w:link w:val="DuidelijkcitaatChar"/>
    <w:uiPriority w:val="30"/>
    <w:qFormat/>
    <w:rsid w:val="0049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43E"/>
    <w:rPr>
      <w:i/>
      <w:iCs/>
      <w:color w:val="2F5496" w:themeColor="accent1" w:themeShade="BF"/>
    </w:rPr>
  </w:style>
  <w:style w:type="character" w:styleId="Intensieveverwijzing">
    <w:name w:val="Intense Reference"/>
    <w:basedOn w:val="Standaardalinea-lettertype"/>
    <w:uiPriority w:val="32"/>
    <w:qFormat/>
    <w:rsid w:val="0049343E"/>
    <w:rPr>
      <w:b/>
      <w:bCs/>
      <w:smallCaps/>
      <w:color w:val="2F5496" w:themeColor="accent1" w:themeShade="BF"/>
      <w:spacing w:val="5"/>
    </w:rPr>
  </w:style>
  <w:style w:type="character" w:styleId="Hyperlink">
    <w:name w:val="Hyperlink"/>
    <w:basedOn w:val="Standaardalinea-lettertype"/>
    <w:uiPriority w:val="99"/>
    <w:unhideWhenUsed/>
    <w:rsid w:val="0049343E"/>
    <w:rPr>
      <w:color w:val="0563C1" w:themeColor="hyperlink"/>
      <w:u w:val="single"/>
    </w:rPr>
  </w:style>
  <w:style w:type="paragraph" w:customStyle="1" w:styleId="Referentiegegevens">
    <w:name w:val="Referentiegegevens"/>
    <w:basedOn w:val="Standaard"/>
    <w:next w:val="Standaard"/>
    <w:rsid w:val="0049343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9343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34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34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934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343E"/>
    <w:rPr>
      <w:sz w:val="20"/>
      <w:szCs w:val="20"/>
    </w:rPr>
  </w:style>
  <w:style w:type="character" w:styleId="Voetnootmarkering">
    <w:name w:val="footnote reference"/>
    <w:basedOn w:val="Standaardalinea-lettertype"/>
    <w:uiPriority w:val="99"/>
    <w:semiHidden/>
    <w:unhideWhenUsed/>
    <w:rsid w:val="0049343E"/>
    <w:rPr>
      <w:vertAlign w:val="superscript"/>
    </w:rPr>
  </w:style>
  <w:style w:type="paragraph" w:styleId="Koptekst">
    <w:name w:val="header"/>
    <w:basedOn w:val="Standaard"/>
    <w:link w:val="KoptekstChar"/>
    <w:uiPriority w:val="99"/>
    <w:unhideWhenUsed/>
    <w:rsid w:val="004934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43E"/>
  </w:style>
  <w:style w:type="paragraph" w:styleId="Voettekst">
    <w:name w:val="footer"/>
    <w:basedOn w:val="Standaard"/>
    <w:link w:val="VoettekstChar"/>
    <w:uiPriority w:val="99"/>
    <w:unhideWhenUsed/>
    <w:rsid w:val="00493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policies/cloud-compu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636</ap:Words>
  <ap:Characters>3499</ap:Characters>
  <ap:DocSecurity>0</ap:DocSecurity>
  <ap:Lines>29</ap:Lines>
  <ap:Paragraphs>8</ap:Paragraphs>
  <ap:ScaleCrop>false</ap:ScaleCrop>
  <ap:LinksUpToDate>false</ap:LinksUpToDate>
  <ap:CharactersWithSpaces>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2026-02-18T15:57:00.0000000Z</dcterms:created>
  <dcterms:modified xsi:type="dcterms:W3CDTF">2026-02-18T15:57:00.0000000Z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