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F4358" w:rsidR="00CD2702" w:rsidP="00925B01" w14:paraId="69B978A0" w14:textId="77777777">
      <w:pPr>
        <w:jc w:val="both"/>
      </w:pPr>
      <w:r w:rsidRPr="00BF4358">
        <w:t>Geachte voorzitter,</w:t>
      </w:r>
    </w:p>
    <w:p w:rsidR="00BF4358" w:rsidP="00925B01" w14:paraId="0B559135" w14:textId="77777777">
      <w:pPr>
        <w:jc w:val="both"/>
      </w:pPr>
    </w:p>
    <w:p w:rsidR="00CD2702" w:rsidP="00925B01" w14:paraId="6CB05420" w14:textId="77777777">
      <w:pPr>
        <w:jc w:val="both"/>
      </w:pPr>
      <w:r w:rsidRPr="00CD2702">
        <w:t xml:space="preserve">Op 5 november jl. verscheen het nieuwsbericht </w:t>
      </w:r>
      <w:r w:rsidR="0091358C">
        <w:t xml:space="preserve">over de beoogde overname van </w:t>
      </w:r>
      <w:r w:rsidR="00DE7262">
        <w:t xml:space="preserve">het </w:t>
      </w:r>
      <w:r w:rsidR="01A68FEC">
        <w:t>cloudbedrijf</w:t>
      </w:r>
      <w:r w:rsidR="01A68FEC">
        <w:t xml:space="preserve"> </w:t>
      </w:r>
      <w:r w:rsidRPr="00CD2702">
        <w:t>Solvinity</w:t>
      </w:r>
      <w:r w:rsidRPr="00CD2702">
        <w:t xml:space="preserve"> door het Amerikaanse</w:t>
      </w:r>
      <w:r w:rsidR="0091358C">
        <w:t xml:space="preserve"> bedrijf </w:t>
      </w:r>
      <w:r w:rsidRPr="00CD2702">
        <w:t>Kyndryl</w:t>
      </w:r>
      <w:r w:rsidRPr="00A55AAE" w:rsidR="00A22D6D">
        <w:t>.</w:t>
      </w:r>
      <w:r w:rsidR="00EE72CA">
        <w:t xml:space="preserve"> </w:t>
      </w:r>
      <w:r w:rsidR="00965B35">
        <w:t>Met deze brief informeer ik u</w:t>
      </w:r>
      <w:r w:rsidR="00BF4358">
        <w:t>, mede namens de minister van Economische Zaken,</w:t>
      </w:r>
      <w:r w:rsidR="00965B35">
        <w:t xml:space="preserve"> over de feitelijke stand van zaken</w:t>
      </w:r>
      <w:r w:rsidR="009D5271">
        <w:t xml:space="preserve"> </w:t>
      </w:r>
      <w:r w:rsidR="009D5271">
        <w:t>omtrent</w:t>
      </w:r>
      <w:r w:rsidR="009D5271">
        <w:t xml:space="preserve"> </w:t>
      </w:r>
      <w:r w:rsidR="0091358C">
        <w:t xml:space="preserve">de casus </w:t>
      </w:r>
      <w:r w:rsidR="009D5271">
        <w:t>Solvinity</w:t>
      </w:r>
      <w:r w:rsidR="009D5271">
        <w:t xml:space="preserve">, schets ik de </w:t>
      </w:r>
      <w:r w:rsidR="00EE72CA">
        <w:t>aanpak</w:t>
      </w:r>
      <w:r w:rsidR="009D5271">
        <w:t xml:space="preserve"> in het bredere kader van de digitale autonomie voor de overheid </w:t>
      </w:r>
      <w:r w:rsidR="00965B35">
        <w:t xml:space="preserve">en geef ik aan wat de kabinetslijn is ten aanzien van de vervolgstappen. </w:t>
      </w:r>
    </w:p>
    <w:p w:rsidR="00122953" w:rsidP="00925B01" w14:paraId="43984078" w14:textId="77777777">
      <w:pPr>
        <w:jc w:val="both"/>
      </w:pPr>
    </w:p>
    <w:p w:rsidRPr="0091358C" w:rsidR="008E02DB" w:rsidP="00925B01" w14:paraId="42EE0459" w14:textId="77777777">
      <w:pPr>
        <w:jc w:val="both"/>
        <w:rPr>
          <w:b/>
          <w:bCs/>
        </w:rPr>
      </w:pPr>
      <w:r>
        <w:rPr>
          <w:b/>
          <w:bCs/>
        </w:rPr>
        <w:t>Stand van zaken</w:t>
      </w:r>
      <w:r w:rsidR="009D5271">
        <w:rPr>
          <w:b/>
          <w:bCs/>
        </w:rPr>
        <w:t xml:space="preserve"> </w:t>
      </w:r>
    </w:p>
    <w:p w:rsidRPr="00122953" w:rsidR="00E44D5A" w:rsidP="00E44D5A" w14:paraId="4029B27C" w14:textId="77777777">
      <w:pPr>
        <w:jc w:val="both"/>
      </w:pPr>
      <w:r>
        <w:t xml:space="preserve">Ik begrijp dat de beoogde overname van </w:t>
      </w:r>
      <w:r>
        <w:t>Solvinity</w:t>
      </w:r>
      <w:r>
        <w:t xml:space="preserve"> tot veel maatschappelijke en </w:t>
      </w:r>
      <w:r>
        <w:t>politieke</w:t>
      </w:r>
      <w:r>
        <w:t xml:space="preserve"> discussie leidt. Tegelijkertijd hecht ik waarde aan een zorgvuldig doorlopen proces. Momenteel vindt d</w:t>
      </w:r>
      <w:r>
        <w:t>e integrale en strategische bespreking plaats binnen de Taskforce Economische Veiligheid (TFEV)</w:t>
      </w:r>
      <w:r>
        <w:t>,</w:t>
      </w:r>
      <w:r>
        <w:t xml:space="preserve"> ter advisering aan de betrokken bewindspersonen. </w:t>
      </w:r>
    </w:p>
    <w:p w:rsidR="00F80F16" w:rsidP="00925B01" w14:paraId="1AB104F5" w14:textId="77777777">
      <w:pPr>
        <w:jc w:val="both"/>
      </w:pPr>
    </w:p>
    <w:p w:rsidR="00E44D5A" w:rsidP="00925B01" w14:paraId="1417F08A" w14:textId="77777777">
      <w:pPr>
        <w:jc w:val="both"/>
      </w:pPr>
      <w:r>
        <w:t>In de casus wordt breed opgetrokken</w:t>
      </w:r>
      <w:r w:rsidR="00FB48A2">
        <w:t xml:space="preserve"> </w:t>
      </w:r>
      <w:r w:rsidR="00A37F40">
        <w:t>door</w:t>
      </w:r>
      <w:r w:rsidR="00FB48A2">
        <w:t xml:space="preserve"> de voor deze casus relevante </w:t>
      </w:r>
      <w:r w:rsidR="007C70C6">
        <w:t>overheden</w:t>
      </w:r>
      <w:r w:rsidR="00A37F40">
        <w:t>, waarbij</w:t>
      </w:r>
      <w:r w:rsidR="00464AE4">
        <w:t xml:space="preserve"> </w:t>
      </w:r>
      <w:r w:rsidR="00A37F40">
        <w:t>d</w:t>
      </w:r>
      <w:r w:rsidRPr="00122953" w:rsidR="00122953">
        <w:t xml:space="preserve">e </w:t>
      </w:r>
      <w:r w:rsidRPr="00122953" w:rsidR="00122953">
        <w:t>overheidsbrede</w:t>
      </w:r>
      <w:r w:rsidRPr="00122953" w:rsidR="00122953">
        <w:t xml:space="preserve"> coördinatie</w:t>
      </w:r>
      <w:r w:rsidR="00DE7262">
        <w:t xml:space="preserve"> en de afstemming met de betrokken overheidscontracthouders</w:t>
      </w:r>
      <w:r w:rsidRPr="00122953" w:rsidR="00122953">
        <w:t xml:space="preserve"> bij </w:t>
      </w:r>
      <w:r w:rsidR="008E02DB">
        <w:t xml:space="preserve">de </w:t>
      </w:r>
      <w:r w:rsidR="00DE7262">
        <w:t>Taskforce Continuïteit ICT Dienstverlening (CID)</w:t>
      </w:r>
      <w:r w:rsidR="008E02DB">
        <w:t xml:space="preserve"> van </w:t>
      </w:r>
      <w:r w:rsidR="009D5271">
        <w:t xml:space="preserve">het ministerie van </w:t>
      </w:r>
      <w:r w:rsidR="008E02DB">
        <w:t>BZK</w:t>
      </w:r>
      <w:r w:rsidR="00082171">
        <w:t xml:space="preserve"> is belegd</w:t>
      </w:r>
      <w:r w:rsidRPr="00122953" w:rsidR="00122953">
        <w:t>.</w:t>
      </w:r>
      <w:r w:rsidR="00047A45">
        <w:t xml:space="preserve"> </w:t>
      </w:r>
    </w:p>
    <w:p w:rsidR="008E02DB" w:rsidP="00925B01" w14:paraId="7573A72F" w14:textId="77777777">
      <w:pPr>
        <w:jc w:val="both"/>
      </w:pPr>
    </w:p>
    <w:p w:rsidRPr="009C63B8" w:rsidR="00047A45" w:rsidP="00925B01" w14:paraId="70E1BA18" w14:textId="77777777">
      <w:pPr>
        <w:jc w:val="both"/>
      </w:pPr>
      <w:r>
        <w:t xml:space="preserve">De volgende </w:t>
      </w:r>
      <w:r w:rsidRPr="009C63B8">
        <w:t>sporen</w:t>
      </w:r>
      <w:r>
        <w:t xml:space="preserve"> worden</w:t>
      </w:r>
      <w:r w:rsidRPr="009C63B8">
        <w:t xml:space="preserve"> </w:t>
      </w:r>
      <w:r>
        <w:t xml:space="preserve">in deze casus </w:t>
      </w:r>
      <w:r w:rsidRPr="009C63B8">
        <w:t>doorlopen</w:t>
      </w:r>
      <w:r w:rsidR="00E44D5A">
        <w:t xml:space="preserve">: </w:t>
      </w:r>
    </w:p>
    <w:p w:rsidR="00B11EB7" w:rsidP="00925B01" w14:paraId="1EAD2D05" w14:textId="77777777">
      <w:pPr>
        <w:jc w:val="both"/>
      </w:pPr>
    </w:p>
    <w:p w:rsidRPr="0091358C" w:rsidR="00B11EB7" w:rsidP="0091358C" w14:paraId="74A4EDDB" w14:textId="77777777">
      <w:pPr>
        <w:pStyle w:val="ListParagraph"/>
        <w:numPr>
          <w:ilvl w:val="0"/>
          <w:numId w:val="17"/>
        </w:numPr>
        <w:jc w:val="both"/>
        <w:rPr>
          <w:i/>
          <w:iCs/>
        </w:rPr>
      </w:pPr>
      <w:r w:rsidRPr="0091358C">
        <w:rPr>
          <w:i/>
          <w:iCs/>
        </w:rPr>
        <w:t>Investeringstoetsing</w:t>
      </w:r>
    </w:p>
    <w:p w:rsidR="00047A45" w:rsidP="00925B01" w14:paraId="7645F0FA" w14:textId="77777777">
      <w:pPr>
        <w:jc w:val="both"/>
      </w:pPr>
      <w:r w:rsidRPr="00537DBF">
        <w:t xml:space="preserve">In het kader van de voorgenomen investering vindt toetsing plaats op grond van de toepasselijke investeringstoetsen. De Autoriteit Consument en Markt (ACM) beoordeelt in het kader van de concentratietoets of de voorgenomen overname gevolgen heeft voor de mededinging en de werking van de markt. Met concentratietoetsing wordt toegezien op eerlijke concurrentie en marktwerking bij fusies, overnames en </w:t>
      </w:r>
      <w:r w:rsidRPr="007C70C6">
        <w:t>joint ventures</w:t>
      </w:r>
      <w:r w:rsidRPr="00537DBF">
        <w:t xml:space="preserve">. </w:t>
      </w:r>
    </w:p>
    <w:p w:rsidR="00047A45" w:rsidP="00925B01" w14:paraId="743AA1ED" w14:textId="77777777">
      <w:pPr>
        <w:jc w:val="both"/>
      </w:pPr>
      <w:r w:rsidRPr="00537DBF">
        <w:t xml:space="preserve"> </w:t>
      </w:r>
    </w:p>
    <w:p w:rsidR="00047A45" w:rsidP="00925B01" w14:paraId="0862EBB9" w14:textId="77777777">
      <w:pPr>
        <w:jc w:val="both"/>
      </w:pPr>
      <w:r w:rsidRPr="00537DBF">
        <w:t xml:space="preserve">Daarnaast vindt </w:t>
      </w:r>
      <w:r>
        <w:t>investerings</w:t>
      </w:r>
      <w:r w:rsidRPr="00537DBF">
        <w:t xml:space="preserve">toetsing plaats door het Bureau Toetsing Investeringen (BTI), dat opereert onder de verantwoordelijkheid van het ministerie van Economische Zaken. </w:t>
      </w:r>
      <w:r>
        <w:t xml:space="preserve">Investeringstoetsing ziet toe op risico’s voor de nationale veiligheid bij een beoogde overname. </w:t>
      </w:r>
      <w:r w:rsidRPr="00537DBF">
        <w:t>De duur van een BTI-onderzoek is afhankelijk van verschillende factoren, zoals de kwaliteit en snelheid van de antwoorden die betrokken bedrijven geven en de</w:t>
      </w:r>
      <w:r>
        <w:t xml:space="preserve"> </w:t>
      </w:r>
      <w:r w:rsidRPr="00537DBF">
        <w:t xml:space="preserve">complexiteit van het vraagstuk. </w:t>
      </w:r>
      <w:r w:rsidRPr="00537DBF">
        <w:t>Conform</w:t>
      </w:r>
      <w:r w:rsidRPr="00537DBF">
        <w:t xml:space="preserve"> het jaarverslag van het BTI is de gemiddelde doorlooptijd van een onderzoek circa 45 dagen. Complexere onderzoeken vergen in de praktijk vaak meer dan 120 dagen, </w:t>
      </w:r>
      <w:r w:rsidRPr="00537DBF">
        <w:t>met één uitschieter tot 309 dagen. Deze termijnen bieden ruimte voor een zorgvuldige en integrale afweging van eventuele risico’s.</w:t>
      </w:r>
      <w:r w:rsidR="00AC3DB0">
        <w:t xml:space="preserve"> </w:t>
      </w:r>
    </w:p>
    <w:p w:rsidR="00047A45" w:rsidP="00925B01" w14:paraId="55F9DDF7" w14:textId="77777777">
      <w:pPr>
        <w:jc w:val="both"/>
      </w:pPr>
      <w:r w:rsidRPr="00537DBF">
        <w:t xml:space="preserve"> </w:t>
      </w:r>
    </w:p>
    <w:p w:rsidR="00047A45" w:rsidP="00925B01" w14:paraId="6DC52AB0" w14:textId="77777777">
      <w:pPr>
        <w:jc w:val="both"/>
      </w:pPr>
      <w:r w:rsidRPr="00537DBF">
        <w:t xml:space="preserve">Deze toetsen maken deel uit van een proces van onafhankelijke beoordeling door de daartoe aangewezen toezichthouders. De overname zal niet eerder plaatsvinden dan nadat zowel de concentratietoets door de ACM als de </w:t>
      </w:r>
      <w:r>
        <w:t>investerings</w:t>
      </w:r>
      <w:r w:rsidRPr="00537DBF">
        <w:t>toetsing door het BTI volledig zijn afgerond. Het kabinet wacht het oordeel van deze onafhankelijke toezichthouders af alvorens verdere stappen te zetten.</w:t>
      </w:r>
      <w:r w:rsidR="00E44D5A">
        <w:t xml:space="preserve"> </w:t>
      </w:r>
    </w:p>
    <w:p w:rsidR="00E44D5A" w:rsidP="00E44D5A" w14:paraId="40039999" w14:textId="77777777">
      <w:pPr>
        <w:jc w:val="both"/>
      </w:pPr>
    </w:p>
    <w:p w:rsidRPr="0091358C" w:rsidR="00E44D5A" w:rsidP="0091358C" w14:paraId="65285F91" w14:textId="77777777">
      <w:pPr>
        <w:pStyle w:val="ListParagraph"/>
        <w:numPr>
          <w:ilvl w:val="0"/>
          <w:numId w:val="17"/>
        </w:numPr>
        <w:jc w:val="both"/>
        <w:rPr>
          <w:i/>
          <w:iCs/>
        </w:rPr>
      </w:pPr>
      <w:r w:rsidRPr="0091358C">
        <w:rPr>
          <w:i/>
          <w:iCs/>
        </w:rPr>
        <w:t>Integrale weging</w:t>
      </w:r>
    </w:p>
    <w:p w:rsidR="00E44D5A" w:rsidP="00E44D5A" w14:paraId="58E72779" w14:textId="77777777">
      <w:pPr>
        <w:jc w:val="both"/>
      </w:pPr>
      <w:r w:rsidRPr="000D4831">
        <w:t>De lopende risicoanalyses en adviezen in deze casus worden binnen de TFEV, onder voorzitterschap van de NCTV, nader besproken. De TFEV is een ambtelijk orgaan dat zich richt op economische veiligheidsrisico’s die de Nederlandse nationale veiligheidsbelangen kunnen raken. De integrale bespreking is ondersteunend aan de strategisch</w:t>
      </w:r>
      <w:r w:rsidR="00AC3DB0">
        <w:t>e</w:t>
      </w:r>
      <w:r w:rsidRPr="000D4831">
        <w:t xml:space="preserve"> afwegingen van het kabinet. </w:t>
      </w:r>
    </w:p>
    <w:p w:rsidRPr="00122953" w:rsidR="00047A45" w:rsidP="00925B01" w14:paraId="36E23914" w14:textId="77777777">
      <w:pPr>
        <w:jc w:val="both"/>
      </w:pPr>
    </w:p>
    <w:p w:rsidRPr="0091358C" w:rsidR="00B11EB7" w:rsidP="0091358C" w14:paraId="1FB4923A" w14:textId="77777777">
      <w:pPr>
        <w:pStyle w:val="ListParagraph"/>
        <w:numPr>
          <w:ilvl w:val="0"/>
          <w:numId w:val="17"/>
        </w:numPr>
        <w:jc w:val="both"/>
        <w:rPr>
          <w:i/>
          <w:iCs/>
        </w:rPr>
      </w:pPr>
      <w:r w:rsidRPr="0091358C">
        <w:rPr>
          <w:i/>
          <w:iCs/>
        </w:rPr>
        <w:t xml:space="preserve">Verkenning mitigerende maatregelen in de klantrelatie met </w:t>
      </w:r>
      <w:r w:rsidRPr="0091358C">
        <w:rPr>
          <w:i/>
          <w:iCs/>
        </w:rPr>
        <w:t>Solvinit</w:t>
      </w:r>
      <w:r w:rsidRPr="0091358C" w:rsidR="00925B01">
        <w:rPr>
          <w:i/>
          <w:iCs/>
        </w:rPr>
        <w:t>y</w:t>
      </w:r>
    </w:p>
    <w:p w:rsidR="00122953" w:rsidP="00925B01" w14:paraId="6D5A8C5D" w14:textId="77777777">
      <w:pPr>
        <w:jc w:val="both"/>
      </w:pPr>
      <w:r>
        <w:t xml:space="preserve">Daarnaast heeft </w:t>
      </w:r>
      <w:r>
        <w:t xml:space="preserve">BZK vanuit </w:t>
      </w:r>
      <w:r w:rsidR="498E18AB">
        <w:t xml:space="preserve">de positie van </w:t>
      </w:r>
      <w:r w:rsidR="008F5AAE">
        <w:t xml:space="preserve">de </w:t>
      </w:r>
      <w:r w:rsidR="498E18AB">
        <w:t xml:space="preserve">overheid als klant van dienstverlening van </w:t>
      </w:r>
      <w:r w:rsidR="498E18AB">
        <w:t>Solvinity</w:t>
      </w:r>
      <w:r w:rsidR="498E18AB">
        <w:t xml:space="preserve"> </w:t>
      </w:r>
      <w:r>
        <w:t>de</w:t>
      </w:r>
      <w:r w:rsidRPr="00122953">
        <w:t xml:space="preserve"> Taskforce Continuïteit ICT Dienstverlening</w:t>
      </w:r>
      <w:r w:rsidR="00686982">
        <w:t xml:space="preserve"> </w:t>
      </w:r>
      <w:r w:rsidR="001A53B8">
        <w:t xml:space="preserve">verzocht </w:t>
      </w:r>
      <w:r w:rsidRPr="00122953">
        <w:t xml:space="preserve">een </w:t>
      </w:r>
      <w:r>
        <w:t>aantal</w:t>
      </w:r>
      <w:r w:rsidRPr="00122953">
        <w:t xml:space="preserve"> onderzoeken uit</w:t>
      </w:r>
      <w:r w:rsidR="001A53B8">
        <w:t xml:space="preserve"> te zetten</w:t>
      </w:r>
      <w:r w:rsidR="002A3C20">
        <w:t xml:space="preserve"> om tot een risico</w:t>
      </w:r>
      <w:r w:rsidR="00FF1092">
        <w:t>-</w:t>
      </w:r>
      <w:r w:rsidR="002A3C20">
        <w:t>inschatting en handelingsperspectief in deze casus te komen</w:t>
      </w:r>
      <w:r w:rsidR="006A26B0">
        <w:t>.</w:t>
      </w:r>
      <w:r w:rsidR="000B1502">
        <w:t xml:space="preserve"> </w:t>
      </w:r>
      <w:r w:rsidR="003722CF">
        <w:t xml:space="preserve">Ook is </w:t>
      </w:r>
      <w:r w:rsidRPr="000B1502" w:rsidR="000B1502">
        <w:t xml:space="preserve">wekelijks </w:t>
      </w:r>
      <w:r w:rsidR="000B1502">
        <w:t xml:space="preserve">overleg ingesteld met </w:t>
      </w:r>
      <w:r w:rsidRPr="000B1502" w:rsidR="000B1502">
        <w:t>de betrokken overheidsorganisaties</w:t>
      </w:r>
      <w:r w:rsidRPr="00122953">
        <w:t xml:space="preserve">. Hierbij is </w:t>
      </w:r>
      <w:r w:rsidRPr="004A236B">
        <w:rPr>
          <w:color w:val="auto"/>
        </w:rPr>
        <w:t xml:space="preserve">het </w:t>
      </w:r>
      <w:r w:rsidRPr="004A236B" w:rsidR="004A236B">
        <w:rPr>
          <w:color w:val="auto"/>
        </w:rPr>
        <w:t xml:space="preserve">eerste </w:t>
      </w:r>
      <w:r w:rsidRPr="004A236B">
        <w:rPr>
          <w:color w:val="auto"/>
        </w:rPr>
        <w:t xml:space="preserve">risicobeeld </w:t>
      </w:r>
      <w:r w:rsidR="000D4831">
        <w:t xml:space="preserve">voor </w:t>
      </w:r>
      <w:r w:rsidR="005A1EC2">
        <w:t xml:space="preserve">de </w:t>
      </w:r>
      <w:r w:rsidRPr="00122953">
        <w:t xml:space="preserve">dienstverlening bij de overname in kaart gebracht en </w:t>
      </w:r>
      <w:r>
        <w:t>is</w:t>
      </w:r>
      <w:r w:rsidRPr="00122953">
        <w:t xml:space="preserve"> onderzoek uitgezet bij </w:t>
      </w:r>
      <w:r>
        <w:t xml:space="preserve">de </w:t>
      </w:r>
      <w:r w:rsidRPr="00122953">
        <w:t xml:space="preserve">Landsadvocaat. </w:t>
      </w:r>
    </w:p>
    <w:p w:rsidRPr="00122953" w:rsidR="00925B01" w:rsidP="00925B01" w14:paraId="45C7CF0F" w14:textId="77777777">
      <w:pPr>
        <w:jc w:val="both"/>
      </w:pPr>
    </w:p>
    <w:p w:rsidR="00122953" w:rsidP="00925B01" w14:paraId="1D5F5548" w14:textId="77777777">
      <w:pPr>
        <w:jc w:val="both"/>
      </w:pPr>
      <w:r w:rsidRPr="00122953">
        <w:t xml:space="preserve">Het onderzoek van de Landsadvocaat wijst uit dat </w:t>
      </w:r>
      <w:r w:rsidRPr="00122953">
        <w:t>Solvinity</w:t>
      </w:r>
      <w:r w:rsidRPr="00122953">
        <w:t xml:space="preserve"> </w:t>
      </w:r>
      <w:r w:rsidR="006B0DB6">
        <w:t>in geval van overname</w:t>
      </w:r>
      <w:r w:rsidRPr="00122953">
        <w:t xml:space="preserve"> door </w:t>
      </w:r>
      <w:r w:rsidRPr="00122953">
        <w:t>Kyndryl</w:t>
      </w:r>
      <w:r w:rsidRPr="00122953">
        <w:t xml:space="preserve"> binnen het bereik valt van </w:t>
      </w:r>
      <w:r w:rsidR="007A0A69">
        <w:t xml:space="preserve">bepaalde </w:t>
      </w:r>
      <w:r w:rsidRPr="00122953">
        <w:t>Amerikaanse wetgeving</w:t>
      </w:r>
      <w:r w:rsidRPr="007A0A69" w:rsidR="007A0A69">
        <w:t xml:space="preserve"> </w:t>
      </w:r>
      <w:r w:rsidR="007A0A69">
        <w:t>met extraterritoriale werking</w:t>
      </w:r>
      <w:r w:rsidRPr="00122953">
        <w:t>.</w:t>
      </w:r>
      <w:r>
        <w:t xml:space="preserve"> </w:t>
      </w:r>
      <w:r w:rsidRPr="004F6DEB" w:rsidR="004F6DEB">
        <w:t>De gevolgen hiervan voor de data-integriteit en continuïteit van dienstverlening worden momenteel onderzocht als onderdeel van de integrale risico-afweging.</w:t>
      </w:r>
    </w:p>
    <w:p w:rsidR="00925B01" w:rsidP="00925B01" w14:paraId="6D577508" w14:textId="77777777">
      <w:pPr>
        <w:jc w:val="both"/>
      </w:pPr>
    </w:p>
    <w:p w:rsidR="00122953" w:rsidP="00925B01" w14:paraId="4F31B7DB" w14:textId="77777777">
      <w:pPr>
        <w:jc w:val="both"/>
      </w:pPr>
      <w:r w:rsidRPr="00122953">
        <w:t>Onder coördinatie va</w:t>
      </w:r>
      <w:r w:rsidR="00C60766">
        <w:t>n BZK</w:t>
      </w:r>
      <w:r w:rsidR="00F50436">
        <w:t xml:space="preserve"> </w:t>
      </w:r>
      <w:r w:rsidRPr="00122953">
        <w:t xml:space="preserve">worden </w:t>
      </w:r>
      <w:r w:rsidR="000D4831">
        <w:t>g</w:t>
      </w:r>
      <w:r w:rsidRPr="00122953">
        <w:t xml:space="preserve">esprekken gevoerd </w:t>
      </w:r>
      <w:r w:rsidR="000D4831">
        <w:t xml:space="preserve">met </w:t>
      </w:r>
      <w:r w:rsidRPr="00122953">
        <w:t xml:space="preserve">de Landsadvocaat, </w:t>
      </w:r>
      <w:r w:rsidRPr="00122953">
        <w:t>Solvinity</w:t>
      </w:r>
      <w:r w:rsidRPr="00122953">
        <w:t xml:space="preserve"> en </w:t>
      </w:r>
      <w:r w:rsidRPr="00122953">
        <w:t>Kyndryl</w:t>
      </w:r>
      <w:r w:rsidRPr="00122953">
        <w:t xml:space="preserve"> over generieke aanvullende maatregelen t</w:t>
      </w:r>
      <w:r w:rsidR="00F50436">
        <w:t>en aanzien van</w:t>
      </w:r>
      <w:r w:rsidRPr="00122953">
        <w:t xml:space="preserve"> dataveiligheid, zeggenschap en continuïteit</w:t>
      </w:r>
      <w:r w:rsidR="001329B3">
        <w:t xml:space="preserve"> om bepaalde risico’s welke zijn geconstateerd</w:t>
      </w:r>
      <w:r w:rsidR="00945C44">
        <w:t xml:space="preserve"> in </w:t>
      </w:r>
      <w:r w:rsidR="00695752">
        <w:t>het risicobeeld</w:t>
      </w:r>
      <w:r w:rsidR="00EC16B0">
        <w:t xml:space="preserve"> te mitigeren</w:t>
      </w:r>
      <w:r w:rsidRPr="00122953">
        <w:t>.</w:t>
      </w:r>
      <w:r w:rsidR="003F2315">
        <w:t xml:space="preserve"> Logius en </w:t>
      </w:r>
      <w:r w:rsidR="003F2315">
        <w:t>J</w:t>
      </w:r>
      <w:r w:rsidR="00DC0471">
        <w:t>en</w:t>
      </w:r>
      <w:r w:rsidR="003F2315">
        <w:t>V</w:t>
      </w:r>
      <w:r w:rsidR="003F2315">
        <w:t xml:space="preserve"> maken </w:t>
      </w:r>
      <w:r w:rsidR="003F2315">
        <w:t>tevens</w:t>
      </w:r>
      <w:r w:rsidR="003F2315">
        <w:t xml:space="preserve"> </w:t>
      </w:r>
      <w:r w:rsidR="00EC16B0">
        <w:t xml:space="preserve">apart </w:t>
      </w:r>
      <w:r w:rsidR="003F2315">
        <w:t xml:space="preserve">afspraken </w:t>
      </w:r>
      <w:r w:rsidR="00EC16B0">
        <w:t xml:space="preserve">met </w:t>
      </w:r>
      <w:r w:rsidR="00EC16B0">
        <w:t>Solvinity</w:t>
      </w:r>
      <w:r w:rsidR="00EC16B0">
        <w:t xml:space="preserve"> </w:t>
      </w:r>
      <w:r w:rsidR="003F2315">
        <w:t xml:space="preserve">over specifieke technische </w:t>
      </w:r>
      <w:r w:rsidR="00EC16B0">
        <w:t>risico</w:t>
      </w:r>
      <w:r w:rsidR="00474121">
        <w:t>-</w:t>
      </w:r>
      <w:r w:rsidR="00EC16B0">
        <w:t xml:space="preserve">mitigerende </w:t>
      </w:r>
      <w:r w:rsidR="003F2315">
        <w:t>maatregelen</w:t>
      </w:r>
      <w:r w:rsidR="002837E7">
        <w:t xml:space="preserve"> geldend voor de specifieke dienstverlening die zij van </w:t>
      </w:r>
      <w:r w:rsidR="002837E7">
        <w:t>Solvinity</w:t>
      </w:r>
      <w:r w:rsidR="002837E7">
        <w:t xml:space="preserve"> afnemen</w:t>
      </w:r>
      <w:r w:rsidR="003F2315">
        <w:t xml:space="preserve">. </w:t>
      </w:r>
      <w:r w:rsidRPr="00122953">
        <w:t>Deze gesprekken</w:t>
      </w:r>
      <w:r>
        <w:t xml:space="preserve"> zijn nog gaande</w:t>
      </w:r>
      <w:r w:rsidRPr="00122953">
        <w:t>.</w:t>
      </w:r>
      <w:r>
        <w:t xml:space="preserve"> </w:t>
      </w:r>
    </w:p>
    <w:p w:rsidRPr="009C63B8" w:rsidR="001E3955" w:rsidP="00925B01" w14:paraId="41672174" w14:textId="77777777">
      <w:pPr>
        <w:jc w:val="both"/>
      </w:pPr>
    </w:p>
    <w:p w:rsidRPr="009C63B8" w:rsidR="009C63B8" w:rsidP="00925B01" w14:paraId="2C7B3143" w14:textId="77777777">
      <w:pPr>
        <w:jc w:val="both"/>
      </w:pPr>
      <w:r>
        <w:rPr>
          <w:b/>
          <w:bCs/>
        </w:rPr>
        <w:t xml:space="preserve">Aanpak </w:t>
      </w:r>
      <w:r w:rsidRPr="009C63B8">
        <w:rPr>
          <w:b/>
          <w:bCs/>
        </w:rPr>
        <w:t xml:space="preserve">in het kader van </w:t>
      </w:r>
      <w:r w:rsidR="001F42F7">
        <w:rPr>
          <w:b/>
          <w:bCs/>
        </w:rPr>
        <w:t>d</w:t>
      </w:r>
      <w:r w:rsidRPr="009C63B8">
        <w:rPr>
          <w:b/>
          <w:bCs/>
        </w:rPr>
        <w:t xml:space="preserve">igitale </w:t>
      </w:r>
      <w:r w:rsidR="001F42F7">
        <w:rPr>
          <w:b/>
          <w:bCs/>
        </w:rPr>
        <w:t>a</w:t>
      </w:r>
      <w:r w:rsidRPr="009C63B8">
        <w:rPr>
          <w:b/>
          <w:bCs/>
        </w:rPr>
        <w:t>utonomie</w:t>
      </w:r>
      <w:r w:rsidR="001F42F7">
        <w:rPr>
          <w:b/>
          <w:bCs/>
        </w:rPr>
        <w:t xml:space="preserve"> voor de overheid</w:t>
      </w:r>
      <w:r w:rsidRPr="009C63B8">
        <w:t xml:space="preserve"> </w:t>
      </w:r>
    </w:p>
    <w:p w:rsidR="007018EC" w:rsidP="00925B01" w14:paraId="0D1DB42E" w14:textId="77777777">
      <w:pPr>
        <w:jc w:val="both"/>
      </w:pPr>
    </w:p>
    <w:p w:rsidRPr="003A38A4" w:rsidR="003A38A4" w:rsidP="00925B01" w14:paraId="4795FE36" w14:textId="77777777">
      <w:pPr>
        <w:jc w:val="both"/>
        <w:rPr>
          <w:i/>
          <w:iCs/>
        </w:rPr>
      </w:pPr>
      <w:r>
        <w:rPr>
          <w:i/>
          <w:iCs/>
        </w:rPr>
        <w:t>Nationaal beleid rond</w:t>
      </w:r>
      <w:r w:rsidRPr="003A38A4">
        <w:rPr>
          <w:i/>
          <w:iCs/>
        </w:rPr>
        <w:t xml:space="preserve"> </w:t>
      </w:r>
      <w:r>
        <w:rPr>
          <w:i/>
          <w:iCs/>
        </w:rPr>
        <w:t>d</w:t>
      </w:r>
      <w:r w:rsidRPr="003A38A4">
        <w:rPr>
          <w:i/>
          <w:iCs/>
        </w:rPr>
        <w:t xml:space="preserve">igitale </w:t>
      </w:r>
      <w:r>
        <w:rPr>
          <w:i/>
          <w:iCs/>
        </w:rPr>
        <w:t>a</w:t>
      </w:r>
      <w:r w:rsidRPr="003A38A4">
        <w:rPr>
          <w:i/>
          <w:iCs/>
        </w:rPr>
        <w:t>utonomie</w:t>
      </w:r>
    </w:p>
    <w:p w:rsidR="003A38A4" w:rsidP="00925B01" w14:paraId="60462B9E" w14:textId="77777777">
      <w:pPr>
        <w:jc w:val="both"/>
      </w:pPr>
      <w:r w:rsidRPr="003A38A4">
        <w:t>In oktober 2023 heeft het kabinet de Agenda Digitale Open Strategische Autonomie (DOSA) vastgesteld. De Visie Digitale Autonomie en Soevereiniteit van de Overheid, die uw Kamer in december 2025 is toegezonden, werkt deze agenda verder uit voor de overheid. De visie beschrijft hoe de overheid, langs leidende principes en strategische bouwstenen, stapsgewijs werkt aan het verminderen van ongewenste afhankelijkheden en het vergroten van de digitale weerbaarheid. Digitale autonomie vormt een integraal onderdeel van de Nederlandse Digitaliseringsstrategie (NDS).</w:t>
      </w:r>
    </w:p>
    <w:p w:rsidR="003A38A4" w:rsidP="00925B01" w14:paraId="7F04299B" w14:textId="77777777">
      <w:pPr>
        <w:jc w:val="both"/>
      </w:pPr>
    </w:p>
    <w:p w:rsidRPr="003A38A4" w:rsidR="003A38A4" w:rsidP="00925B01" w14:paraId="5DBD1E03" w14:textId="77777777">
      <w:pPr>
        <w:jc w:val="both"/>
        <w:rPr>
          <w:i/>
          <w:iCs/>
        </w:rPr>
      </w:pPr>
      <w:r w:rsidRPr="003A38A4">
        <w:rPr>
          <w:i/>
          <w:iCs/>
        </w:rPr>
        <w:t xml:space="preserve">Nederlandse Digitalisering Strategie (NDS): soevereine </w:t>
      </w:r>
      <w:r w:rsidRPr="003A38A4">
        <w:rPr>
          <w:i/>
          <w:iCs/>
        </w:rPr>
        <w:t>cloud</w:t>
      </w:r>
      <w:r w:rsidRPr="003A38A4">
        <w:rPr>
          <w:i/>
          <w:iCs/>
        </w:rPr>
        <w:t xml:space="preserve"> </w:t>
      </w:r>
    </w:p>
    <w:p w:rsidRPr="003A38A4" w:rsidR="003A38A4" w:rsidP="00925B01" w14:paraId="3B3538EC" w14:textId="77777777">
      <w:pPr>
        <w:jc w:val="both"/>
      </w:pPr>
      <w:r w:rsidRPr="003A38A4">
        <w:t xml:space="preserve">Binnen het Rijk bestaat momenteel nog variatie in de invulling van beleid, onder meer op het gebied van </w:t>
      </w:r>
      <w:r w:rsidRPr="003A38A4">
        <w:t>cloudgebruik</w:t>
      </w:r>
      <w:r w:rsidRPr="003A38A4">
        <w:t xml:space="preserve"> en </w:t>
      </w:r>
      <w:r w:rsidRPr="0091358C">
        <w:rPr>
          <w:i/>
          <w:iCs/>
        </w:rPr>
        <w:t>sourcing</w:t>
      </w:r>
      <w:r w:rsidRPr="003A38A4">
        <w:t xml:space="preserve">. Deze verschillen kunnen het overzicht en de beheersing van risico’s bemoeilijken. Het kabinet zet daarom in op </w:t>
      </w:r>
      <w:r w:rsidRPr="003A38A4">
        <w:t>overheidsbreed</w:t>
      </w:r>
      <w:r w:rsidRPr="003A38A4">
        <w:t xml:space="preserve"> beleid, gezamenlijke uitvoering en versterkte centrale coördinatie, inclusief betere monitoring van afhankelijkheden en toezicht op de naleving van afspraken. In dat kader werkt het kabinet, binnen de NDS, onder meer aan het</w:t>
      </w:r>
      <w:r w:rsidR="00224CAA">
        <w:t xml:space="preserve"> </w:t>
      </w:r>
      <w:r w:rsidRPr="003A38A4">
        <w:t xml:space="preserve">verkennen van (meer) soevereine cloudoplossingen, het opstellen van </w:t>
      </w:r>
      <w:r w:rsidRPr="003A38A4">
        <w:t>overheidsbrede</w:t>
      </w:r>
      <w:r w:rsidRPr="003A38A4">
        <w:t xml:space="preserve"> kaders en handreikingen voor digitale autonomie en het aanscherpen van de IT-</w:t>
      </w:r>
      <w:r w:rsidRPr="003A38A4">
        <w:t>sourcingstrategie</w:t>
      </w:r>
      <w:r w:rsidRPr="003A38A4">
        <w:t>.</w:t>
      </w:r>
      <w:r w:rsidR="003516FF">
        <w:t xml:space="preserve"> </w:t>
      </w:r>
      <w:r w:rsidRPr="00024EA9" w:rsidR="00024EA9">
        <w:t xml:space="preserve">Er wordt komende periode interbestuurlijk toegewerkt naar een Investeringsagenda NDS. Daarin komt een nadere uitwerking en onderbouwing van de kosten, waaronder </w:t>
      </w:r>
      <w:r w:rsidR="003A54B0">
        <w:t xml:space="preserve">de kosten </w:t>
      </w:r>
      <w:r w:rsidRPr="00024EA9" w:rsidR="00024EA9">
        <w:t xml:space="preserve">van een soevereine </w:t>
      </w:r>
      <w:r w:rsidRPr="00024EA9" w:rsidR="00024EA9">
        <w:t>cloud</w:t>
      </w:r>
      <w:r w:rsidRPr="00024EA9" w:rsidR="00024EA9">
        <w:t>. Ook komen daarin de eventuele baten van de NDS aan bod voor Nederland, evenals voorgestelde financieringsmogelijkheden. Deze investeringsagenda wordt in de eerste helft van 2026 verwacht. Op basis hiervan kan dan later verdere besluitvorming plaatsvinden.</w:t>
      </w:r>
    </w:p>
    <w:p w:rsidRPr="003A38A4" w:rsidR="003A38A4" w:rsidP="00925B01" w14:paraId="03D59BCA" w14:textId="77777777">
      <w:pPr>
        <w:jc w:val="both"/>
      </w:pPr>
    </w:p>
    <w:p w:rsidRPr="003A38A4" w:rsidR="003A38A4" w:rsidP="00925B01" w14:paraId="34C656FF" w14:textId="77777777">
      <w:pPr>
        <w:jc w:val="both"/>
        <w:rPr>
          <w:i/>
          <w:iCs/>
        </w:rPr>
      </w:pPr>
      <w:r w:rsidRPr="5AF4F759">
        <w:rPr>
          <w:i/>
          <w:iCs/>
        </w:rPr>
        <w:t>E</w:t>
      </w:r>
      <w:r w:rsidRPr="5AF4F759" w:rsidR="5C1E7C10">
        <w:rPr>
          <w:i/>
          <w:iCs/>
        </w:rPr>
        <w:t>uropese</w:t>
      </w:r>
      <w:r w:rsidR="00321AA4">
        <w:rPr>
          <w:i/>
          <w:iCs/>
        </w:rPr>
        <w:t xml:space="preserve"> </w:t>
      </w:r>
      <w:r w:rsidRPr="5AF4F759">
        <w:rPr>
          <w:i/>
          <w:iCs/>
        </w:rPr>
        <w:t>samenwerking</w:t>
      </w:r>
      <w:r w:rsidRPr="5AF4F759" w:rsidR="31D940C6">
        <w:rPr>
          <w:i/>
          <w:iCs/>
        </w:rPr>
        <w:t xml:space="preserve"> op het gebied van digitale autonomie</w:t>
      </w:r>
      <w:r w:rsidRPr="5AF4F759">
        <w:rPr>
          <w:i/>
          <w:iCs/>
        </w:rPr>
        <w:t xml:space="preserve">  </w:t>
      </w:r>
    </w:p>
    <w:p w:rsidRPr="003A38A4" w:rsidR="003A38A4" w:rsidP="00925B01" w14:paraId="38043A78" w14:textId="77777777">
      <w:pPr>
        <w:jc w:val="both"/>
      </w:pPr>
      <w:r w:rsidRPr="003A38A4">
        <w:t xml:space="preserve">In het kader van de Agenda Digitale Open Strategische Autonomie werkt </w:t>
      </w:r>
      <w:r w:rsidR="00282B7F">
        <w:t>het kabinet</w:t>
      </w:r>
      <w:r w:rsidRPr="003A38A4">
        <w:t xml:space="preserve"> langs verschillende sporen aan het verbeteren van de werking van de </w:t>
      </w:r>
      <w:r w:rsidRPr="003A38A4">
        <w:t>cloudmarkt</w:t>
      </w:r>
      <w:r w:rsidRPr="003A38A4">
        <w:t xml:space="preserve">. Zo draagt wetgeving als de Dataverordening, de </w:t>
      </w:r>
      <w:r w:rsidRPr="003A38A4">
        <w:t>Digitalemarktenverordening</w:t>
      </w:r>
      <w:r w:rsidRPr="003A38A4">
        <w:t xml:space="preserve"> </w:t>
      </w:r>
      <w:r w:rsidR="003A54B0">
        <w:t>(</w:t>
      </w:r>
      <w:r w:rsidRPr="0091358C" w:rsidR="003A54B0">
        <w:t>Digital Services</w:t>
      </w:r>
      <w:r w:rsidR="003A54B0">
        <w:rPr>
          <w:i/>
          <w:iCs/>
        </w:rPr>
        <w:t xml:space="preserve"> </w:t>
      </w:r>
      <w:r w:rsidRPr="00DC0471" w:rsidR="003A54B0">
        <w:t>Act</w:t>
      </w:r>
      <w:r w:rsidR="003A54B0">
        <w:rPr>
          <w:i/>
          <w:iCs/>
        </w:rPr>
        <w:t xml:space="preserve">, </w:t>
      </w:r>
      <w:r w:rsidR="003A54B0">
        <w:t xml:space="preserve">DSA) </w:t>
      </w:r>
      <w:r w:rsidRPr="003A54B0">
        <w:t>en</w:t>
      </w:r>
      <w:r w:rsidRPr="003A38A4">
        <w:t xml:space="preserve"> de Cyberveiligheidsverordening bij aan de randvoorwaarden voor goede marktwerking. Daarnaast </w:t>
      </w:r>
      <w:r w:rsidR="00024EA9">
        <w:t>worden</w:t>
      </w:r>
      <w:r w:rsidRPr="003A38A4">
        <w:t xml:space="preserve"> ook investeringen in Europese alternatieven </w:t>
      </w:r>
      <w:r w:rsidR="00024EA9">
        <w:t xml:space="preserve">onderzocht als </w:t>
      </w:r>
      <w:r w:rsidRPr="003A38A4">
        <w:t xml:space="preserve">een belangrijk onderdeel van het beleid om de markt te verbeteren. Deze investeringen kunnen publiek-privaat zijn, zoals de financiering via het Important Project of Common European Interest Cloud </w:t>
      </w:r>
      <w:r w:rsidRPr="003A38A4">
        <w:t>Infrastructure</w:t>
      </w:r>
      <w:r w:rsidRPr="003A38A4">
        <w:t xml:space="preserve"> </w:t>
      </w:r>
      <w:r w:rsidRPr="003A38A4">
        <w:t>and</w:t>
      </w:r>
      <w:r w:rsidRPr="003A38A4">
        <w:t xml:space="preserve"> Services (IPCEI CIS) en het Digital Europe </w:t>
      </w:r>
      <w:r w:rsidRPr="003A38A4">
        <w:t>Programme</w:t>
      </w:r>
      <w:r w:rsidRPr="003A38A4">
        <w:t xml:space="preserve"> (DEP). Ook proberen we als overheid een verbeterde nationale en Europese samenwerking tussen belanghebbenden in de sector tot stand te brengen</w:t>
      </w:r>
      <w:r w:rsidR="00C73A6D">
        <w:t xml:space="preserve">, onder andere via </w:t>
      </w:r>
      <w:r w:rsidR="00E96859">
        <w:t xml:space="preserve">de </w:t>
      </w:r>
      <w:r w:rsidRPr="00E96859" w:rsidR="00E96859">
        <w:t xml:space="preserve">European Alliance </w:t>
      </w:r>
      <w:r w:rsidRPr="00E96859" w:rsidR="00E96859">
        <w:t>for</w:t>
      </w:r>
      <w:r w:rsidRPr="00E96859" w:rsidR="00E96859">
        <w:t xml:space="preserve"> Industrial Data, </w:t>
      </w:r>
      <w:r w:rsidRPr="00E96859" w:rsidR="00E96859">
        <w:t>Edge</w:t>
      </w:r>
      <w:r w:rsidRPr="00E96859" w:rsidR="00E96859">
        <w:t xml:space="preserve"> </w:t>
      </w:r>
      <w:r w:rsidRPr="00E96859" w:rsidR="00E96859">
        <w:t>and</w:t>
      </w:r>
      <w:r w:rsidRPr="00E96859" w:rsidR="00E96859">
        <w:t xml:space="preserve"> Cloud</w:t>
      </w:r>
      <w:r w:rsidRPr="003A38A4">
        <w:t>.</w:t>
      </w:r>
    </w:p>
    <w:p w:rsidR="00B404F0" w:rsidP="00925B01" w14:paraId="1543F286" w14:textId="77777777">
      <w:pPr>
        <w:jc w:val="both"/>
      </w:pPr>
    </w:p>
    <w:p w:rsidRPr="003A38A4" w:rsidR="003A38A4" w:rsidP="00925B01" w14:paraId="6ABBCBDB" w14:textId="77777777">
      <w:pPr>
        <w:jc w:val="both"/>
      </w:pPr>
      <w:r w:rsidRPr="007E4F14">
        <w:t xml:space="preserve">Eind 2025 heeft de Europese Commissie goedkeuring gegeven voor de oprichting van het European Digital </w:t>
      </w:r>
      <w:r w:rsidRPr="007E4F14">
        <w:t>Infrastructure</w:t>
      </w:r>
      <w:r w:rsidRPr="007E4F14">
        <w:t xml:space="preserve"> Consortium (EDIC). Nederland heeft een trekkersrol, met de EDIC Digitale Gemeenschapsgoederen bundelen we onze krachten en schalen we gezamenlijke Europese oplossingen op om de digitale soevereiniteit te versterken. </w:t>
      </w:r>
      <w:r w:rsidR="00B559AF">
        <w:t xml:space="preserve">Tegelijkertijd </w:t>
      </w:r>
      <w:r w:rsidR="00E73C0D">
        <w:t xml:space="preserve">worden Europees ook nieuwe </w:t>
      </w:r>
      <w:r w:rsidR="005F1386">
        <w:t xml:space="preserve">beleidsinitiatieven en wet- en regelgeving ontwikkeld </w:t>
      </w:r>
      <w:r w:rsidR="00051C67">
        <w:t>ter versterking van de Europese digitale autonomie</w:t>
      </w:r>
      <w:r w:rsidR="003D4DBF">
        <w:t>.</w:t>
      </w:r>
      <w:r w:rsidR="00E96859">
        <w:t xml:space="preserve"> </w:t>
      </w:r>
      <w:r w:rsidRPr="003A38A4">
        <w:t xml:space="preserve">Naar verwachting publiceert de Europese Commissie in april 2026 het voorstel voor een Cloud </w:t>
      </w:r>
      <w:r w:rsidRPr="003A38A4">
        <w:t>and</w:t>
      </w:r>
      <w:r w:rsidRPr="003A38A4">
        <w:t xml:space="preserve"> AI Development Verordening (CADA) met parallel een aanbeveling voor aanbestedingen van clouddiensten door overheden. Nederland heeft hierbij </w:t>
      </w:r>
      <w:r w:rsidRPr="003A38A4">
        <w:t>tevens</w:t>
      </w:r>
      <w:r w:rsidRPr="003A38A4">
        <w:t xml:space="preserve"> aandacht gevraagd voor het opnemen van soevereiniteitsvereisten in de CADA</w:t>
      </w:r>
      <w:r w:rsidR="0031475D">
        <w:t>, onder andere</w:t>
      </w:r>
      <w:r w:rsidRPr="003A38A4">
        <w:t xml:space="preserve"> middels het non-paper </w:t>
      </w:r>
      <w:r w:rsidRPr="00FA7C6A">
        <w:rPr>
          <w:i/>
          <w:iCs/>
        </w:rPr>
        <w:t>‘</w:t>
      </w:r>
      <w:r w:rsidRPr="00FA7C6A">
        <w:rPr>
          <w:i/>
          <w:iCs/>
        </w:rPr>
        <w:t>Strenghtening</w:t>
      </w:r>
      <w:r w:rsidRPr="00FA7C6A">
        <w:rPr>
          <w:i/>
          <w:iCs/>
        </w:rPr>
        <w:t xml:space="preserve"> </w:t>
      </w:r>
      <w:r w:rsidRPr="00FA7C6A">
        <w:rPr>
          <w:i/>
          <w:iCs/>
        </w:rPr>
        <w:t>cloud</w:t>
      </w:r>
      <w:r w:rsidRPr="00FA7C6A">
        <w:rPr>
          <w:i/>
          <w:iCs/>
        </w:rPr>
        <w:t xml:space="preserve"> </w:t>
      </w:r>
      <w:r w:rsidRPr="00FA7C6A">
        <w:rPr>
          <w:i/>
          <w:iCs/>
        </w:rPr>
        <w:t>sovereignty</w:t>
      </w:r>
      <w:r w:rsidRPr="00FA7C6A">
        <w:rPr>
          <w:i/>
          <w:iCs/>
        </w:rPr>
        <w:t xml:space="preserve"> of public </w:t>
      </w:r>
      <w:r w:rsidRPr="00FA7C6A">
        <w:rPr>
          <w:i/>
          <w:iCs/>
        </w:rPr>
        <w:t>administrations</w:t>
      </w:r>
      <w:r w:rsidRPr="00FA7C6A">
        <w:rPr>
          <w:i/>
          <w:iCs/>
        </w:rPr>
        <w:t>’</w:t>
      </w:r>
      <w:r w:rsidRPr="003A38A4">
        <w:t>.</w:t>
      </w:r>
      <w:r>
        <w:rPr>
          <w:rStyle w:val="FootnoteReference"/>
        </w:rPr>
        <w:footnoteReference w:id="2"/>
      </w:r>
      <w:r w:rsidRPr="003A38A4">
        <w:t xml:space="preserve"> Deze nieuwe initiatieven zullen naar verwachting onder meer aandacht hebben voor publieke aanbesteding van clouddienstverlening en bepalingen bevatten over de (versnelde) ontwikkeling van Europese digitale infrastructuur en soevereiniteitseisen voor </w:t>
      </w:r>
      <w:r w:rsidRPr="003A38A4">
        <w:t xml:space="preserve">clouddiensten. Het kabinet heeft een positieve grondhouding ten opzichte van de ambities van de CADA en kijkt uit naar het wetsvoorstel van de Commissie. </w:t>
      </w:r>
    </w:p>
    <w:p w:rsidR="003D4DBF" w:rsidP="00925B01" w14:paraId="41886DD8" w14:textId="77777777">
      <w:pPr>
        <w:jc w:val="both"/>
      </w:pPr>
    </w:p>
    <w:p w:rsidRPr="003A38A4" w:rsidR="003A38A4" w:rsidP="00925B01" w14:paraId="29EAD6C7" w14:textId="77777777">
      <w:pPr>
        <w:jc w:val="both"/>
      </w:pPr>
      <w:r w:rsidRPr="003A38A4">
        <w:t>De Europese Commissie heeft in januari 2026 een voorstel gepresenteerd voor de herziening van de Cyberveiligheidsverordening. De focus ligt hierbij op het versnellen van het proces voor Europese certificeringsschema's, zoals dat voor clouddiensten (EUCS). Hiermee wordt ICT-</w:t>
      </w:r>
      <w:r w:rsidRPr="003A38A4">
        <w:t>supply</w:t>
      </w:r>
      <w:r w:rsidRPr="003A38A4">
        <w:t xml:space="preserve">-chain security verankerd als kernonderdeel van het EU-cyberbeleid. Dit stelt de Unie in staat om strengere eisen te stellen aan de herkomst en transparantie van kritieke technologie, waardoor de afhankelijkheid van hoog-risico aanbieders uit derde landen structureel wordt verminderd. </w:t>
      </w:r>
    </w:p>
    <w:p w:rsidR="003A38A4" w:rsidP="00925B01" w14:paraId="313E6BEE" w14:textId="77777777">
      <w:pPr>
        <w:jc w:val="both"/>
      </w:pPr>
    </w:p>
    <w:p w:rsidR="003A38A4" w:rsidP="00925B01" w14:paraId="42BF68EB" w14:textId="77777777">
      <w:pPr>
        <w:jc w:val="both"/>
        <w:rPr>
          <w:b/>
          <w:bCs/>
        </w:rPr>
      </w:pPr>
      <w:r w:rsidRPr="004D292D">
        <w:rPr>
          <w:b/>
          <w:bCs/>
        </w:rPr>
        <w:t>Kabinetslijn</w:t>
      </w:r>
      <w:r w:rsidR="00143DD3">
        <w:rPr>
          <w:b/>
          <w:bCs/>
        </w:rPr>
        <w:t xml:space="preserve"> vervolgstappen </w:t>
      </w:r>
      <w:r w:rsidR="00143DD3">
        <w:rPr>
          <w:b/>
          <w:bCs/>
        </w:rPr>
        <w:t>Solvinity</w:t>
      </w:r>
    </w:p>
    <w:p w:rsidR="00E52108" w:rsidP="00E52108" w14:paraId="4428E8F2" w14:textId="77777777">
      <w:pPr>
        <w:spacing w:line="240" w:lineRule="exact"/>
        <w:jc w:val="both"/>
      </w:pPr>
      <w:r w:rsidRPr="00FA7C6A">
        <w:rPr>
          <w:rFonts w:eastAsia="Verdana" w:cs="Verdana"/>
          <w:color w:val="auto"/>
        </w:rPr>
        <w:t xml:space="preserve">Nederland </w:t>
      </w:r>
      <w:r w:rsidR="0091358C">
        <w:rPr>
          <w:rFonts w:eastAsia="Verdana" w:cs="Verdana"/>
          <w:color w:val="auto"/>
        </w:rPr>
        <w:t xml:space="preserve">beschikt </w:t>
      </w:r>
      <w:r w:rsidRPr="00FA7C6A">
        <w:rPr>
          <w:rFonts w:eastAsia="Verdana" w:cs="Verdana"/>
          <w:color w:val="auto"/>
        </w:rPr>
        <w:t xml:space="preserve">over een breed instrumentarium ter borging van </w:t>
      </w:r>
      <w:r>
        <w:rPr>
          <w:rFonts w:eastAsia="Verdana" w:cs="Verdana"/>
          <w:color w:val="auto"/>
        </w:rPr>
        <w:t>onz</w:t>
      </w:r>
      <w:r w:rsidRPr="00FA7C6A">
        <w:rPr>
          <w:rFonts w:eastAsia="Verdana" w:cs="Verdana"/>
          <w:color w:val="auto"/>
        </w:rPr>
        <w:t>e economische veiligheid, waaronder de continuïteit van vitale (</w:t>
      </w:r>
      <w:r w:rsidRPr="00FA7C6A">
        <w:rPr>
          <w:rFonts w:eastAsia="Verdana" w:cs="Verdana"/>
          <w:color w:val="auto"/>
        </w:rPr>
        <w:t>overheids</w:t>
      </w:r>
      <w:r w:rsidRPr="00FA7C6A">
        <w:rPr>
          <w:rFonts w:eastAsia="Verdana" w:cs="Verdana"/>
          <w:color w:val="auto"/>
        </w:rPr>
        <w:t>)processen. Dit bestaat onder andere uit het stelsel van investeringstoetsing, exportcontrolebeleid, en beveiligingsmaatregelen in het vitaal stelsel, zoals toegelicht in de Kamerbrief van 1 juli 2025</w:t>
      </w:r>
      <w:r>
        <w:rPr>
          <w:rStyle w:val="FootnoteReference"/>
          <w:rFonts w:eastAsia="Verdana" w:cs="Verdana"/>
          <w:color w:val="auto"/>
        </w:rPr>
        <w:footnoteReference w:id="3"/>
      </w:r>
      <w:r w:rsidRPr="00FA7C6A">
        <w:rPr>
          <w:rFonts w:eastAsia="Verdana" w:cs="Verdana"/>
          <w:color w:val="auto"/>
        </w:rPr>
        <w:t>.</w:t>
      </w:r>
      <w:r w:rsidR="00F80F16">
        <w:t xml:space="preserve"> </w:t>
      </w:r>
    </w:p>
    <w:p w:rsidR="004F6DEB" w:rsidP="00E52108" w14:paraId="707D6321" w14:textId="77777777">
      <w:pPr>
        <w:spacing w:line="240" w:lineRule="exact"/>
        <w:jc w:val="both"/>
        <w:rPr>
          <w:color w:val="auto"/>
        </w:rPr>
      </w:pPr>
    </w:p>
    <w:p w:rsidR="00E52108" w:rsidP="00E52108" w14:paraId="1550D351" w14:textId="77777777">
      <w:pPr>
        <w:spacing w:line="240" w:lineRule="exact"/>
        <w:jc w:val="both"/>
        <w:rPr>
          <w:rFonts w:eastAsia="Verdana" w:cs="Verdana"/>
          <w:color w:val="auto"/>
        </w:rPr>
      </w:pPr>
      <w:r>
        <w:rPr>
          <w:color w:val="auto"/>
        </w:rPr>
        <w:t>Inzake</w:t>
      </w:r>
      <w:r>
        <w:rPr>
          <w:color w:val="auto"/>
        </w:rPr>
        <w:t xml:space="preserve"> deze casus, z</w:t>
      </w:r>
      <w:r w:rsidRPr="6A866743">
        <w:rPr>
          <w:color w:val="auto"/>
        </w:rPr>
        <w:t xml:space="preserve">oals </w:t>
      </w:r>
      <w:r>
        <w:rPr>
          <w:color w:val="auto"/>
        </w:rPr>
        <w:t xml:space="preserve">eerder </w:t>
      </w:r>
      <w:r w:rsidRPr="4CBA3842">
        <w:rPr>
          <w:color w:val="auto"/>
        </w:rPr>
        <w:t>aangegeven in deze brief</w:t>
      </w:r>
      <w:r>
        <w:rPr>
          <w:color w:val="auto"/>
        </w:rPr>
        <w:t>,</w:t>
      </w:r>
      <w:r w:rsidRPr="4CBA3842">
        <w:rPr>
          <w:color w:val="auto"/>
        </w:rPr>
        <w:t xml:space="preserve"> handelt het </w:t>
      </w:r>
      <w:r w:rsidRPr="39D21F37">
        <w:rPr>
          <w:color w:val="auto"/>
        </w:rPr>
        <w:t xml:space="preserve">kabinet </w:t>
      </w:r>
      <w:r w:rsidRPr="22ACD865">
        <w:rPr>
          <w:color w:val="auto"/>
        </w:rPr>
        <w:t xml:space="preserve">naar een </w:t>
      </w:r>
      <w:r w:rsidRPr="574212DA">
        <w:rPr>
          <w:color w:val="auto"/>
        </w:rPr>
        <w:t>driesporen</w:t>
      </w:r>
      <w:r w:rsidRPr="1082D4AA">
        <w:rPr>
          <w:color w:val="auto"/>
        </w:rPr>
        <w:t xml:space="preserve">beleid, </w:t>
      </w:r>
      <w:r w:rsidRPr="41B044C4">
        <w:rPr>
          <w:color w:val="auto"/>
        </w:rPr>
        <w:t xml:space="preserve">te weten: </w:t>
      </w:r>
      <w:r w:rsidR="00143DD3">
        <w:rPr>
          <w:color w:val="auto"/>
        </w:rPr>
        <w:t xml:space="preserve">1. </w:t>
      </w:r>
      <w:r w:rsidRPr="63C88BAF">
        <w:rPr>
          <w:color w:val="auto"/>
        </w:rPr>
        <w:t>investeringstoetsing</w:t>
      </w:r>
      <w:r w:rsidRPr="61414437">
        <w:rPr>
          <w:color w:val="auto"/>
        </w:rPr>
        <w:t>,</w:t>
      </w:r>
      <w:r w:rsidRPr="75083859">
        <w:rPr>
          <w:color w:val="auto"/>
        </w:rPr>
        <w:t xml:space="preserve"> </w:t>
      </w:r>
      <w:r w:rsidR="00143DD3">
        <w:rPr>
          <w:color w:val="auto"/>
        </w:rPr>
        <w:t xml:space="preserve">2. </w:t>
      </w:r>
      <w:r w:rsidRPr="5B827C05" w:rsidR="007B4B1D">
        <w:rPr>
          <w:color w:val="auto"/>
        </w:rPr>
        <w:t xml:space="preserve">het </w:t>
      </w:r>
      <w:r w:rsidRPr="562E7A7D" w:rsidR="007B4B1D">
        <w:rPr>
          <w:color w:val="auto"/>
        </w:rPr>
        <w:t xml:space="preserve">uitlopen van een </w:t>
      </w:r>
      <w:r w:rsidRPr="5CE998EA" w:rsidR="007B4B1D">
        <w:rPr>
          <w:color w:val="auto"/>
        </w:rPr>
        <w:t>risicoanalyse</w:t>
      </w:r>
      <w:r w:rsidRPr="61414437" w:rsidR="007B4B1D">
        <w:rPr>
          <w:color w:val="auto"/>
        </w:rPr>
        <w:t xml:space="preserve"> </w:t>
      </w:r>
      <w:r w:rsidR="007B4B1D">
        <w:rPr>
          <w:color w:val="auto"/>
        </w:rPr>
        <w:t>plus</w:t>
      </w:r>
      <w:r w:rsidRPr="61414437" w:rsidR="007B4B1D">
        <w:rPr>
          <w:color w:val="auto"/>
        </w:rPr>
        <w:t xml:space="preserve"> integrale weging</w:t>
      </w:r>
      <w:r w:rsidR="007B4B1D">
        <w:rPr>
          <w:color w:val="auto"/>
        </w:rPr>
        <w:t xml:space="preserve"> en </w:t>
      </w:r>
      <w:r w:rsidR="00143DD3">
        <w:rPr>
          <w:color w:val="auto"/>
        </w:rPr>
        <w:t xml:space="preserve">3. </w:t>
      </w:r>
      <w:r w:rsidR="007B4B1D">
        <w:rPr>
          <w:color w:val="auto"/>
        </w:rPr>
        <w:t>de</w:t>
      </w:r>
      <w:r w:rsidRPr="75083859" w:rsidR="007B4B1D">
        <w:rPr>
          <w:color w:val="auto"/>
        </w:rPr>
        <w:t xml:space="preserve"> </w:t>
      </w:r>
      <w:r w:rsidRPr="75083859">
        <w:rPr>
          <w:color w:val="auto"/>
        </w:rPr>
        <w:t>verkenning</w:t>
      </w:r>
      <w:r w:rsidRPr="61414437">
        <w:rPr>
          <w:color w:val="auto"/>
        </w:rPr>
        <w:t xml:space="preserve"> </w:t>
      </w:r>
      <w:r w:rsidR="007B4B1D">
        <w:rPr>
          <w:color w:val="auto"/>
        </w:rPr>
        <w:t xml:space="preserve">van </w:t>
      </w:r>
      <w:r w:rsidRPr="61414437">
        <w:rPr>
          <w:color w:val="auto"/>
        </w:rPr>
        <w:t xml:space="preserve">mitigerende maatregelen in de klantrelatie met </w:t>
      </w:r>
      <w:r w:rsidRPr="61414437">
        <w:rPr>
          <w:color w:val="auto"/>
        </w:rPr>
        <w:t>Solvinity</w:t>
      </w:r>
      <w:r w:rsidRPr="5CE998EA">
        <w:rPr>
          <w:color w:val="auto"/>
        </w:rPr>
        <w:t>.</w:t>
      </w:r>
      <w:r w:rsidRPr="61414437">
        <w:rPr>
          <w:color w:val="auto"/>
        </w:rPr>
        <w:t xml:space="preserve"> </w:t>
      </w:r>
    </w:p>
    <w:p w:rsidR="00143DD3" w:rsidP="00E52108" w14:paraId="58C7744F" w14:textId="77777777">
      <w:pPr>
        <w:spacing w:line="240" w:lineRule="exact"/>
        <w:jc w:val="both"/>
        <w:rPr>
          <w:color w:val="auto"/>
        </w:rPr>
      </w:pPr>
    </w:p>
    <w:p w:rsidR="00AC3DB0" w:rsidP="00E52108" w14:paraId="76C5E924" w14:textId="77777777">
      <w:pPr>
        <w:spacing w:line="240" w:lineRule="exact"/>
        <w:jc w:val="both"/>
        <w:rPr>
          <w:rFonts w:eastAsia="Verdana" w:cs="Verdana"/>
          <w:color w:val="auto"/>
        </w:rPr>
      </w:pPr>
      <w:r w:rsidRPr="7ED9A48D">
        <w:rPr>
          <w:color w:val="auto"/>
        </w:rPr>
        <w:t xml:space="preserve">Ten aanzien van het eerste </w:t>
      </w:r>
      <w:r w:rsidRPr="13A8A82E">
        <w:rPr>
          <w:color w:val="auto"/>
        </w:rPr>
        <w:t>spoor</w:t>
      </w:r>
      <w:r>
        <w:rPr>
          <w:color w:val="auto"/>
        </w:rPr>
        <w:t xml:space="preserve"> </w:t>
      </w:r>
      <w:r w:rsidRPr="41B044C4">
        <w:rPr>
          <w:color w:val="auto"/>
        </w:rPr>
        <w:t>wacht</w:t>
      </w:r>
      <w:r>
        <w:rPr>
          <w:color w:val="auto"/>
        </w:rPr>
        <w:t xml:space="preserve"> het kabinet</w:t>
      </w:r>
      <w:r w:rsidRPr="541691EA">
        <w:rPr>
          <w:color w:val="auto"/>
        </w:rPr>
        <w:t>,</w:t>
      </w:r>
      <w:r w:rsidRPr="41B044C4">
        <w:rPr>
          <w:color w:val="auto"/>
        </w:rPr>
        <w:t xml:space="preserve"> </w:t>
      </w:r>
      <w:r w:rsidRPr="15B0740E">
        <w:rPr>
          <w:color w:val="auto"/>
        </w:rPr>
        <w:t xml:space="preserve">zoals </w:t>
      </w:r>
      <w:r w:rsidRPr="4DB8E485">
        <w:rPr>
          <w:color w:val="auto"/>
        </w:rPr>
        <w:t>gebruikelijk,</w:t>
      </w:r>
      <w:r w:rsidRPr="124E1CBD">
        <w:rPr>
          <w:color w:val="auto"/>
        </w:rPr>
        <w:t xml:space="preserve"> </w:t>
      </w:r>
      <w:r w:rsidRPr="41B044C4">
        <w:rPr>
          <w:color w:val="auto"/>
        </w:rPr>
        <w:t xml:space="preserve">de </w:t>
      </w:r>
      <w:r w:rsidRPr="00FA7C6A">
        <w:rPr>
          <w:color w:val="auto"/>
        </w:rPr>
        <w:t xml:space="preserve">beoordeling van de toezichthouders af. Een zorgvuldige afweging wordt zeer van belang geacht. </w:t>
      </w:r>
      <w:r w:rsidRPr="5F2119E5">
        <w:rPr>
          <w:rFonts w:eastAsia="Verdana" w:cs="Verdana"/>
          <w:color w:val="auto"/>
        </w:rPr>
        <w:t xml:space="preserve">Ten aanzien </w:t>
      </w:r>
      <w:r w:rsidRPr="5B727762">
        <w:rPr>
          <w:rFonts w:eastAsia="Verdana" w:cs="Verdana"/>
          <w:color w:val="auto"/>
        </w:rPr>
        <w:t xml:space="preserve">van het tweede </w:t>
      </w:r>
      <w:r w:rsidRPr="3150ABB9">
        <w:rPr>
          <w:rFonts w:eastAsia="Verdana" w:cs="Verdana"/>
          <w:color w:val="auto"/>
        </w:rPr>
        <w:t xml:space="preserve">spoor </w:t>
      </w:r>
      <w:r w:rsidR="007B4B1D">
        <w:rPr>
          <w:rFonts w:eastAsia="Verdana" w:cs="Verdana"/>
          <w:color w:val="auto"/>
        </w:rPr>
        <w:t>vindt een integrale bespreking van de brede risicoanalyse plaats in de Taskforce Economische Veiligheid</w:t>
      </w:r>
      <w:r w:rsidRPr="49BC112A">
        <w:rPr>
          <w:rFonts w:eastAsia="Verdana" w:cs="Verdana"/>
          <w:color w:val="auto"/>
        </w:rPr>
        <w:t>.</w:t>
      </w:r>
      <w:r w:rsidR="007B4B1D">
        <w:rPr>
          <w:rFonts w:eastAsia="Verdana" w:cs="Verdana"/>
          <w:color w:val="auto"/>
        </w:rPr>
        <w:t xml:space="preserve"> </w:t>
      </w:r>
      <w:r w:rsidRPr="489ED589">
        <w:rPr>
          <w:rFonts w:eastAsia="Verdana" w:cs="Verdana"/>
          <w:color w:val="auto"/>
        </w:rPr>
        <w:t xml:space="preserve">Ten </w:t>
      </w:r>
      <w:r w:rsidRPr="1C64ED06">
        <w:rPr>
          <w:rFonts w:eastAsia="Verdana" w:cs="Verdana"/>
          <w:color w:val="auto"/>
        </w:rPr>
        <w:t xml:space="preserve">aanzien </w:t>
      </w:r>
      <w:r w:rsidRPr="589E1454">
        <w:rPr>
          <w:rFonts w:eastAsia="Verdana" w:cs="Verdana"/>
          <w:color w:val="auto"/>
        </w:rPr>
        <w:t xml:space="preserve">van het derde </w:t>
      </w:r>
      <w:r w:rsidRPr="32000F65">
        <w:rPr>
          <w:rFonts w:eastAsia="Verdana" w:cs="Verdana"/>
          <w:color w:val="auto"/>
        </w:rPr>
        <w:t>spoor</w:t>
      </w:r>
      <w:r w:rsidR="007B4B1D">
        <w:rPr>
          <w:rFonts w:eastAsia="Verdana" w:cs="Verdana"/>
          <w:color w:val="auto"/>
        </w:rPr>
        <w:t xml:space="preserve"> </w:t>
      </w:r>
      <w:r w:rsidRPr="5790137D" w:rsidR="007B4B1D">
        <w:rPr>
          <w:rFonts w:eastAsia="Verdana" w:cs="Verdana"/>
          <w:color w:val="auto"/>
        </w:rPr>
        <w:t xml:space="preserve">is het </w:t>
      </w:r>
      <w:r w:rsidRPr="07AB7C86" w:rsidR="007B4B1D">
        <w:rPr>
          <w:rFonts w:eastAsia="Verdana" w:cs="Verdana"/>
          <w:color w:val="auto"/>
        </w:rPr>
        <w:t xml:space="preserve">kabinet </w:t>
      </w:r>
      <w:r w:rsidRPr="170B9D67" w:rsidR="007B4B1D">
        <w:rPr>
          <w:rFonts w:eastAsia="Verdana" w:cs="Verdana"/>
          <w:color w:val="auto"/>
        </w:rPr>
        <w:t xml:space="preserve">middels </w:t>
      </w:r>
      <w:r w:rsidR="007B4B1D">
        <w:t xml:space="preserve">de Taskforce Continuïteit ICT Dienstverlening </w:t>
      </w:r>
      <w:r w:rsidRPr="1AF22BFC" w:rsidR="007B4B1D">
        <w:rPr>
          <w:rFonts w:eastAsia="Verdana" w:cs="Verdana"/>
          <w:color w:val="auto"/>
        </w:rPr>
        <w:t xml:space="preserve">actief in </w:t>
      </w:r>
      <w:r w:rsidRPr="6F3B665F" w:rsidR="007B4B1D">
        <w:rPr>
          <w:rFonts w:eastAsia="Verdana" w:cs="Verdana"/>
          <w:color w:val="auto"/>
        </w:rPr>
        <w:t xml:space="preserve">gesprek met </w:t>
      </w:r>
      <w:r w:rsidRPr="0FC56460" w:rsidR="007B4B1D">
        <w:rPr>
          <w:rFonts w:eastAsia="Verdana" w:cs="Verdana"/>
          <w:color w:val="auto"/>
        </w:rPr>
        <w:t xml:space="preserve">stakeholders om </w:t>
      </w:r>
      <w:r w:rsidRPr="06D85024" w:rsidR="007B4B1D">
        <w:rPr>
          <w:rFonts w:eastAsia="Verdana" w:cs="Verdana"/>
          <w:color w:val="auto"/>
        </w:rPr>
        <w:t xml:space="preserve">mitigerende </w:t>
      </w:r>
      <w:r w:rsidRPr="1D11A391" w:rsidR="007B4B1D">
        <w:rPr>
          <w:rFonts w:eastAsia="Verdana" w:cs="Verdana"/>
          <w:color w:val="auto"/>
        </w:rPr>
        <w:t xml:space="preserve">maatregelen in </w:t>
      </w:r>
      <w:r w:rsidRPr="54E75AC4" w:rsidR="007B4B1D">
        <w:rPr>
          <w:rFonts w:eastAsia="Verdana" w:cs="Verdana"/>
          <w:color w:val="auto"/>
        </w:rPr>
        <w:t xml:space="preserve">kaart te brengen ten behoeve </w:t>
      </w:r>
      <w:r w:rsidRPr="24022A5E" w:rsidR="007B4B1D">
        <w:rPr>
          <w:rFonts w:eastAsia="Verdana" w:cs="Verdana"/>
          <w:color w:val="auto"/>
        </w:rPr>
        <w:t xml:space="preserve">van de </w:t>
      </w:r>
      <w:r w:rsidRPr="6AC8EA9D" w:rsidR="007B4B1D">
        <w:rPr>
          <w:rFonts w:eastAsia="Verdana" w:cs="Verdana"/>
          <w:color w:val="auto"/>
        </w:rPr>
        <w:t xml:space="preserve">continuïteit </w:t>
      </w:r>
      <w:r w:rsidRPr="168D8BDB" w:rsidR="007B4B1D">
        <w:rPr>
          <w:rFonts w:eastAsia="Verdana" w:cs="Verdana"/>
          <w:color w:val="auto"/>
        </w:rPr>
        <w:t xml:space="preserve">van de </w:t>
      </w:r>
      <w:r w:rsidRPr="49BC112A" w:rsidR="007B4B1D">
        <w:rPr>
          <w:rFonts w:eastAsia="Verdana" w:cs="Verdana"/>
          <w:color w:val="auto"/>
        </w:rPr>
        <w:t>dienstverlening</w:t>
      </w:r>
      <w:r>
        <w:rPr>
          <w:rFonts w:eastAsia="Verdana" w:cs="Verdana"/>
          <w:color w:val="auto"/>
        </w:rPr>
        <w:t xml:space="preserve">. </w:t>
      </w:r>
    </w:p>
    <w:p w:rsidR="00AC3DB0" w:rsidP="00E52108" w14:paraId="218E003E" w14:textId="77777777">
      <w:pPr>
        <w:spacing w:line="240" w:lineRule="exact"/>
        <w:jc w:val="both"/>
        <w:rPr>
          <w:rFonts w:eastAsia="Verdana" w:cs="Verdana"/>
          <w:color w:val="auto"/>
        </w:rPr>
      </w:pPr>
    </w:p>
    <w:p w:rsidRPr="00FA7C6A" w:rsidR="00E52108" w:rsidP="00E52108" w14:paraId="5FAC0F3B" w14:textId="77777777">
      <w:pPr>
        <w:spacing w:line="240" w:lineRule="exact"/>
        <w:jc w:val="both"/>
        <w:rPr>
          <w:color w:val="auto"/>
        </w:rPr>
      </w:pPr>
      <w:r>
        <w:rPr>
          <w:rFonts w:eastAsia="Verdana" w:cs="Verdana"/>
          <w:color w:val="auto"/>
        </w:rPr>
        <w:t>O</w:t>
      </w:r>
      <w:r w:rsidRPr="00AC3DB0">
        <w:rPr>
          <w:rFonts w:eastAsia="Verdana" w:cs="Verdana"/>
          <w:color w:val="auto"/>
        </w:rPr>
        <w:t xml:space="preserve">p basis van de uitkomsten van de toetsen en de </w:t>
      </w:r>
      <w:r w:rsidRPr="00334CF2">
        <w:rPr>
          <w:rFonts w:eastAsia="Verdana" w:cs="Verdana"/>
          <w:color w:val="auto"/>
        </w:rPr>
        <w:t xml:space="preserve">zorgvuldige weging </w:t>
      </w:r>
      <w:r w:rsidRPr="00AC3DB0">
        <w:rPr>
          <w:rFonts w:eastAsia="Verdana" w:cs="Verdana"/>
          <w:color w:val="auto"/>
        </w:rPr>
        <w:t xml:space="preserve">van de integrale </w:t>
      </w:r>
      <w:r w:rsidRPr="00AC3DB0">
        <w:rPr>
          <w:rFonts w:eastAsia="Verdana" w:cs="Verdana"/>
          <w:color w:val="auto"/>
        </w:rPr>
        <w:t>risico-analyse</w:t>
      </w:r>
      <w:r w:rsidRPr="00AC3DB0">
        <w:rPr>
          <w:rFonts w:eastAsia="Verdana" w:cs="Verdana"/>
          <w:color w:val="auto"/>
        </w:rPr>
        <w:t xml:space="preserve"> </w:t>
      </w:r>
      <w:r>
        <w:rPr>
          <w:rFonts w:eastAsia="Verdana" w:cs="Verdana"/>
          <w:color w:val="auto"/>
        </w:rPr>
        <w:t xml:space="preserve">worden </w:t>
      </w:r>
      <w:r w:rsidRPr="00AC3DB0">
        <w:rPr>
          <w:rFonts w:eastAsia="Verdana" w:cs="Verdana"/>
          <w:color w:val="auto"/>
        </w:rPr>
        <w:t>verdere acties in gang gezet</w:t>
      </w:r>
      <w:r>
        <w:rPr>
          <w:rFonts w:eastAsia="Verdana" w:cs="Verdana"/>
          <w:color w:val="auto"/>
        </w:rPr>
        <w:t xml:space="preserve">. </w:t>
      </w:r>
      <w:r w:rsidRPr="21BEC91E">
        <w:rPr>
          <w:rFonts w:eastAsia="Verdana" w:cs="Verdana"/>
          <w:color w:val="auto"/>
        </w:rPr>
        <w:t>Het kabinet hecht er ten slotte aan te benadrukken dat de continuïteit van kritieke overheidsprocessen van cruciaal belang is. Daarmee zijn alle opties om de continuïteit van ICT-dienstverlening te borgen open.</w:t>
      </w:r>
      <w:r w:rsidRPr="21BEC91E">
        <w:rPr>
          <w:color w:val="auto"/>
        </w:rPr>
        <w:t xml:space="preserve"> </w:t>
      </w:r>
    </w:p>
    <w:p w:rsidR="007E4F14" w:rsidP="00925B01" w14:paraId="66D139ED" w14:textId="77777777">
      <w:pPr>
        <w:jc w:val="both"/>
      </w:pPr>
    </w:p>
    <w:p w:rsidR="00F80F16" w:rsidP="00925B01" w14:paraId="03A81DBB" w14:textId="77777777">
      <w:pPr>
        <w:jc w:val="both"/>
      </w:pPr>
    </w:p>
    <w:p w:rsidR="009C63B8" w:rsidP="00925B01" w14:paraId="6389403C" w14:textId="77777777">
      <w:pPr>
        <w:jc w:val="both"/>
      </w:pPr>
      <w:r>
        <w:t>De staatssecretaris van Binnenlandse Zaken en Koninkrijksrelaties</w:t>
      </w:r>
      <w:r>
        <w:rPr>
          <w:i/>
        </w:rPr>
        <w:t>,</w:t>
      </w:r>
    </w:p>
    <w:p w:rsidR="009C63B8" w:rsidP="00925B01" w14:paraId="23722B92" w14:textId="77777777">
      <w:pPr>
        <w:jc w:val="both"/>
        <w:rPr>
          <w:i/>
          <w:iCs/>
        </w:rPr>
      </w:pPr>
      <w:r>
        <w:rPr>
          <w:i/>
          <w:iCs/>
        </w:rPr>
        <w:t>Herstel Groningen, Koninkrijksrelaties en Digitalisering</w:t>
      </w:r>
    </w:p>
    <w:p w:rsidR="007018EC" w:rsidP="00925B01" w14:paraId="6DFE377C" w14:textId="77777777">
      <w:pPr>
        <w:jc w:val="both"/>
      </w:pPr>
    </w:p>
    <w:p w:rsidR="0043799B" w:rsidP="00925B01" w14:paraId="4CA379C5" w14:textId="77777777">
      <w:pPr>
        <w:jc w:val="both"/>
      </w:pPr>
    </w:p>
    <w:p w:rsidR="0043799B" w:rsidP="00925B01" w14:paraId="36835FCC" w14:textId="77777777">
      <w:pPr>
        <w:jc w:val="both"/>
      </w:pPr>
    </w:p>
    <w:p w:rsidR="008B3E9E" w:rsidP="00925B01" w14:paraId="68FED7CB" w14:textId="77777777">
      <w:pPr>
        <w:jc w:val="both"/>
      </w:pPr>
    </w:p>
    <w:p w:rsidR="0043799B" w:rsidP="00925B01" w14:paraId="13A979EA" w14:textId="77777777">
      <w:pPr>
        <w:jc w:val="both"/>
      </w:pPr>
    </w:p>
    <w:p w:rsidR="0043799B" w:rsidP="00925B01" w14:paraId="67B6C073" w14:textId="77777777">
      <w:pPr>
        <w:jc w:val="both"/>
      </w:pPr>
    </w:p>
    <w:p w:rsidR="009F59A4" w:rsidP="00925B01" w14:paraId="6901EFB0" w14:textId="77777777">
      <w:pPr>
        <w:jc w:val="both"/>
      </w:pPr>
      <w:r>
        <w:t>Edd</w:t>
      </w:r>
      <w:r w:rsidR="002A3118">
        <w:t>ie</w:t>
      </w:r>
      <w:r>
        <w:t xml:space="preserve"> van Marum</w:t>
      </w:r>
      <w:r w:rsidR="007E4F14">
        <w:t xml:space="preserve"> </w:t>
      </w:r>
    </w:p>
    <w:sectPr>
      <w:headerReference w:type="default" r:id="rId9"/>
      <w:footerReference w:type="even" r:id="rId10"/>
      <w:footerReference w:type="default" r:id="rId11"/>
      <w:head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3B8" w14:paraId="6963890D"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240512693"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2A3C20" w:rsidRPr="002A3C20" w:rsidP="002A3C20" w14:textId="77777777">
                          <w:pPr>
                            <w:rPr>
                              <w:rFonts w:ascii="Aptos" w:eastAsia="Aptos" w:hAnsi="Aptos" w:cs="Aptos"/>
                              <w:noProof/>
                              <w:sz w:val="20"/>
                              <w:szCs w:val="20"/>
                            </w:rPr>
                          </w:pPr>
                          <w:r w:rsidRPr="002A3C20">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2A3C20" w:rsidRPr="002A3C20" w:rsidP="002A3C20" w14:paraId="00E1BE3C" w14:textId="77777777">
                    <w:pPr>
                      <w:rPr>
                        <w:rFonts w:ascii="Aptos" w:eastAsia="Aptos" w:hAnsi="Aptos" w:cs="Aptos"/>
                        <w:noProof/>
                        <w:sz w:val="20"/>
                        <w:szCs w:val="20"/>
                      </w:rPr>
                    </w:pPr>
                    <w:r w:rsidRPr="002A3C20">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8EC" w14:paraId="1558048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307D" w14:paraId="5FF70E9D" w14:textId="77777777">
      <w:pPr>
        <w:spacing w:line="240" w:lineRule="auto"/>
      </w:pPr>
      <w:r>
        <w:separator/>
      </w:r>
    </w:p>
  </w:footnote>
  <w:footnote w:type="continuationSeparator" w:id="1">
    <w:p w:rsidR="0078307D" w14:paraId="0EFAD548" w14:textId="77777777">
      <w:pPr>
        <w:spacing w:line="240" w:lineRule="auto"/>
      </w:pPr>
      <w:r>
        <w:continuationSeparator/>
      </w:r>
    </w:p>
  </w:footnote>
  <w:footnote w:id="2">
    <w:p w:rsidR="007A28BF" w:rsidRPr="007A28BF" w14:paraId="1EF35F68" w14:textId="77777777">
      <w:pPr>
        <w:pStyle w:val="FootnoteText"/>
        <w:rPr>
          <w:lang w:val="en-US"/>
        </w:rPr>
      </w:pPr>
      <w:r>
        <w:rPr>
          <w:rStyle w:val="FootnoteReference"/>
        </w:rPr>
        <w:footnoteRef/>
      </w:r>
      <w:r w:rsidRPr="007A28BF">
        <w:rPr>
          <w:lang w:val="en-US"/>
        </w:rPr>
        <w:t xml:space="preserve"> </w:t>
      </w:r>
      <w:hyperlink r:id="rId1" w:history="1">
        <w:r w:rsidRPr="001F5FAA">
          <w:rPr>
            <w:rStyle w:val="Hyperlink"/>
            <w:color w:val="auto"/>
            <w:sz w:val="16"/>
            <w:szCs w:val="16"/>
            <w:lang w:val="en-GB"/>
          </w:rPr>
          <w:t>Non paper 'Strengthening cloud sovereignty of public administrations' | Publicatie | Rijksoverheid.nl</w:t>
        </w:r>
      </w:hyperlink>
    </w:p>
  </w:footnote>
  <w:footnote w:id="3">
    <w:p w:rsidR="007A28BF" w:rsidRPr="007A28BF" w14:paraId="799FEAF9" w14:textId="77777777">
      <w:pPr>
        <w:pStyle w:val="FootnoteText"/>
        <w:rPr>
          <w:sz w:val="16"/>
          <w:szCs w:val="16"/>
        </w:rPr>
      </w:pPr>
      <w:r w:rsidRPr="007A28BF">
        <w:rPr>
          <w:rStyle w:val="FootnoteReference"/>
          <w:color w:val="auto"/>
          <w:sz w:val="16"/>
          <w:szCs w:val="16"/>
        </w:rPr>
        <w:footnoteRef/>
      </w:r>
      <w:r w:rsidRPr="007A28BF">
        <w:rPr>
          <w:color w:val="auto"/>
          <w:sz w:val="16"/>
          <w:szCs w:val="16"/>
        </w:rPr>
        <w:t xml:space="preserve"> TK2025/30821-302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8EC" w14:paraId="1675379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5043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50436" w14:paraId="1A1C3DD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018EC" w14:textId="77777777">
                          <w:pPr>
                            <w:pStyle w:val="Referentiegegevensbold"/>
                          </w:pPr>
                          <w:r>
                            <w:t>DGDOO</w:t>
                          </w:r>
                        </w:p>
                        <w:p w:rsidR="007018EC" w14:textId="77777777">
                          <w:pPr>
                            <w:pStyle w:val="Referentiegegevens"/>
                          </w:pPr>
                          <w:r>
                            <w:t>CRD en IFHR</w:t>
                          </w:r>
                        </w:p>
                        <w:p w:rsidR="007018EC" w14:textId="77777777">
                          <w:pPr>
                            <w:pStyle w:val="Referentiegegevens"/>
                          </w:pPr>
                          <w:r>
                            <w:t>Taskforce Continuïteit ICT Dienstverlening</w:t>
                          </w:r>
                        </w:p>
                        <w:p w:rsidR="007018EC" w14:textId="77777777">
                          <w:pPr>
                            <w:pStyle w:val="WitregelW2"/>
                          </w:pPr>
                        </w:p>
                        <w:p w:rsidR="007018EC" w14:textId="77777777">
                          <w:pPr>
                            <w:pStyle w:val="Referentiegegevensbold"/>
                          </w:pPr>
                          <w:r>
                            <w:t>Datum</w:t>
                          </w:r>
                        </w:p>
                        <w:p w:rsidR="00304B87" w14:textId="1B585066">
                          <w:pPr>
                            <w:pStyle w:val="Referentiegegevens"/>
                          </w:pPr>
                        </w:p>
                        <w:p w:rsidR="007018EC" w14:textId="77777777">
                          <w:pPr>
                            <w:pStyle w:val="WitregelW1"/>
                          </w:pPr>
                        </w:p>
                        <w:p w:rsidR="007018EC" w14:textId="77777777">
                          <w:pPr>
                            <w:pStyle w:val="Referentiegegevensbold"/>
                          </w:pPr>
                          <w:r>
                            <w:t>Onze referentie</w:t>
                          </w:r>
                        </w:p>
                        <w:p w:rsidR="00304B87" w14:textId="77777777">
                          <w:pPr>
                            <w:pStyle w:val="Referentiegegevens"/>
                          </w:pPr>
                          <w:r>
                            <w:fldChar w:fldCharType="begin"/>
                          </w:r>
                          <w:r>
                            <w:instrText xml:space="preserve"> DOCPROPERTY  "Kenmerk"  \* MERGEFORMAT </w:instrText>
                          </w:r>
                          <w:r>
                            <w:fldChar w:fldCharType="separate"/>
                          </w:r>
                          <w:r w:rsidR="008C0435">
                            <w:t>2026-0000061046</w:t>
                          </w:r>
                          <w:r w:rsidR="008C043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018EC" w14:paraId="2DD18BDF" w14:textId="77777777">
                    <w:pPr>
                      <w:pStyle w:val="Referentiegegevensbold"/>
                    </w:pPr>
                    <w:r>
                      <w:t>DGDOO</w:t>
                    </w:r>
                  </w:p>
                  <w:p w:rsidR="007018EC" w14:paraId="5AEFADBF" w14:textId="77777777">
                    <w:pPr>
                      <w:pStyle w:val="Referentiegegevens"/>
                    </w:pPr>
                    <w:r>
                      <w:t>CRD en IFHR</w:t>
                    </w:r>
                  </w:p>
                  <w:p w:rsidR="007018EC" w14:paraId="37E95A05" w14:textId="77777777">
                    <w:pPr>
                      <w:pStyle w:val="Referentiegegevens"/>
                    </w:pPr>
                    <w:r>
                      <w:t>Taskforce Continuïteit ICT Dienstverlening</w:t>
                    </w:r>
                  </w:p>
                  <w:p w:rsidR="007018EC" w14:paraId="0E2F3F4C" w14:textId="77777777">
                    <w:pPr>
                      <w:pStyle w:val="WitregelW2"/>
                    </w:pPr>
                  </w:p>
                  <w:p w:rsidR="007018EC" w14:paraId="459BF30B" w14:textId="77777777">
                    <w:pPr>
                      <w:pStyle w:val="Referentiegegevensbold"/>
                    </w:pPr>
                    <w:r>
                      <w:t>Datum</w:t>
                    </w:r>
                  </w:p>
                  <w:p w:rsidR="00304B87" w14:paraId="0AC7BBD3" w14:textId="1B585066">
                    <w:pPr>
                      <w:pStyle w:val="Referentiegegevens"/>
                    </w:pPr>
                  </w:p>
                  <w:p w:rsidR="007018EC" w14:paraId="2B7D446D" w14:textId="77777777">
                    <w:pPr>
                      <w:pStyle w:val="WitregelW1"/>
                    </w:pPr>
                  </w:p>
                  <w:p w:rsidR="007018EC" w14:paraId="7FB6DAF7" w14:textId="77777777">
                    <w:pPr>
                      <w:pStyle w:val="Referentiegegevensbold"/>
                    </w:pPr>
                    <w:r>
                      <w:t>Onze referentie</w:t>
                    </w:r>
                  </w:p>
                  <w:p w:rsidR="00304B87" w14:paraId="24FB3FFA" w14:textId="77777777">
                    <w:pPr>
                      <w:pStyle w:val="Referentiegegevens"/>
                    </w:pPr>
                    <w:r>
                      <w:fldChar w:fldCharType="begin"/>
                    </w:r>
                    <w:r>
                      <w:instrText xml:space="preserve"> DOCPROPERTY  "Kenmerk"  \* MERGEFORMAT </w:instrText>
                    </w:r>
                    <w:r>
                      <w:fldChar w:fldCharType="separate"/>
                    </w:r>
                    <w:r w:rsidR="008C0435">
                      <w:t>2026-0000061046</w:t>
                    </w:r>
                    <w:r w:rsidR="008C043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043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50436" w14:paraId="7712A5B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04B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04B87" w14:paraId="7CFB8B8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8EC" w14:paraId="6FBCAA1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018EC" w14:textId="77777777">
                          <w:pPr>
                            <w:spacing w:line="240" w:lineRule="auto"/>
                          </w:pPr>
                          <w:r>
                            <w:rPr>
                              <w:noProof/>
                            </w:rPr>
                            <w:drawing>
                              <wp:inline distT="0" distB="0" distL="0" distR="0">
                                <wp:extent cx="467995" cy="1583865"/>
                                <wp:effectExtent l="0" t="0" r="0" b="0"/>
                                <wp:docPr id="8192854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192854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018EC" w14:paraId="457DF8B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018EC" w14:textId="77777777">
                          <w:pPr>
                            <w:spacing w:line="240" w:lineRule="auto"/>
                          </w:pPr>
                          <w:r>
                            <w:rPr>
                              <w:noProof/>
                            </w:rPr>
                            <w:drawing>
                              <wp:inline distT="0" distB="0" distL="0" distR="0">
                                <wp:extent cx="2339975" cy="1582834"/>
                                <wp:effectExtent l="0" t="0" r="0" b="0"/>
                                <wp:docPr id="8230809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230809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018EC" w14:paraId="0D96A50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18E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018EC" w14:paraId="62B10FC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018EC" w14:textId="77777777">
                          <w:r>
                            <w:t>Aan de Voorzitter van de Tweede Kamer der Staten-Generaal</w:t>
                          </w:r>
                        </w:p>
                        <w:p w:rsidR="007018EC" w14:textId="77777777">
                          <w:r>
                            <w:t>Postbus 20018</w:t>
                          </w:r>
                        </w:p>
                        <w:p w:rsidR="007018EC" w14:textId="77777777">
                          <w:r>
                            <w:t>2500 EA  Den Haag</w:t>
                          </w:r>
                        </w:p>
                      </w:txbxContent>
                    </wps:txbx>
                    <wps:bodyPr vert="horz" wrap="square" lIns="0" tIns="0" rIns="0" bIns="0" anchor="t" anchorCtr="0"/>
                  </wps:wsp>
                </a:graphicData>
              </a:graphic>
            </wp:anchor>
          </w:drawing>
        </mc:Choice>
        <mc:Fallback>
          <w:pict>
            <v:shape id="d302f2a1-bb28-4417-9701-e3b1450e5fb6" o:spid="_x0000_s2057"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018EC" w14:paraId="65B3FE55" w14:textId="77777777">
                    <w:r>
                      <w:t>Aan de Voorzitter van de Tweede Kamer der Staten-Generaal</w:t>
                    </w:r>
                  </w:p>
                  <w:p w:rsidR="007018EC" w14:paraId="4531003C" w14:textId="77777777">
                    <w:r>
                      <w:t>Postbus 20018</w:t>
                    </w:r>
                  </w:p>
                  <w:p w:rsidR="007018EC" w14:paraId="03E2D33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8174D02" w14:textId="77777777">
                            <w:tblPrEx>
                              <w:tblW w:w="0" w:type="auto"/>
                              <w:tblInd w:w="-120" w:type="dxa"/>
                              <w:tblLayout w:type="fixed"/>
                              <w:tblLook w:val="07E0"/>
                            </w:tblPrEx>
                            <w:trPr>
                              <w:trHeight w:val="240"/>
                            </w:trPr>
                            <w:tc>
                              <w:tcPr>
                                <w:tcW w:w="1140" w:type="dxa"/>
                              </w:tcPr>
                              <w:p w:rsidR="007018EC" w14:textId="77777777">
                                <w:r>
                                  <w:t>Datum</w:t>
                                </w:r>
                              </w:p>
                            </w:tc>
                            <w:tc>
                              <w:tcPr>
                                <w:tcW w:w="5918" w:type="dxa"/>
                              </w:tcPr>
                              <w:p w:rsidR="00BD065F" w14:textId="4E368F17">
                                <w:r>
                                  <w:t>10 februari 2026</w:t>
                                </w:r>
                              </w:p>
                            </w:tc>
                          </w:tr>
                          <w:tr w14:paraId="4BFA5051" w14:textId="77777777">
                            <w:tblPrEx>
                              <w:tblW w:w="0" w:type="auto"/>
                              <w:tblInd w:w="-120" w:type="dxa"/>
                              <w:tblLayout w:type="fixed"/>
                              <w:tblLook w:val="07E0"/>
                            </w:tblPrEx>
                            <w:trPr>
                              <w:trHeight w:val="240"/>
                            </w:trPr>
                            <w:tc>
                              <w:tcPr>
                                <w:tcW w:w="1140" w:type="dxa"/>
                              </w:tcPr>
                              <w:p w:rsidR="007018EC" w14:textId="77777777">
                                <w:r>
                                  <w:t>Betreft</w:t>
                                </w:r>
                              </w:p>
                            </w:tc>
                            <w:bookmarkStart w:id="0" w:name="_Hlk221617112"/>
                            <w:tc>
                              <w:tcPr>
                                <w:tcW w:w="5918" w:type="dxa"/>
                              </w:tcPr>
                              <w:p w:rsidR="00304B87" w14:textId="77777777">
                                <w:r>
                                  <w:fldChar w:fldCharType="begin"/>
                                </w:r>
                                <w:r>
                                  <w:instrText xml:space="preserve"> DOCPROPERTY  "Onderwerp"  \* MERGEFORMAT </w:instrText>
                                </w:r>
                                <w:r>
                                  <w:fldChar w:fldCharType="separate"/>
                                </w:r>
                                <w:r w:rsidR="008C0435">
                                  <w:t xml:space="preserve">Stand van zaken en aanpak casus </w:t>
                                </w:r>
                                <w:r w:rsidR="008C0435">
                                  <w:t>Solvinity</w:t>
                                </w:r>
                                <w:r>
                                  <w:fldChar w:fldCharType="end"/>
                                </w:r>
                                <w:bookmarkEnd w:id="0"/>
                              </w:p>
                            </w:tc>
                          </w:tr>
                        </w:tbl>
                        <w:p w:rsidR="00F50436" w14:textId="77777777"/>
                      </w:txbxContent>
                    </wps:txbx>
                    <wps:bodyPr vert="horz" wrap="square" lIns="0" tIns="0" rIns="0" bIns="0" anchor="t" anchorCtr="0"/>
                  </wps:wsp>
                </a:graphicData>
              </a:graphic>
            </wp:anchor>
          </w:drawing>
        </mc:Choice>
        <mc:Fallback>
          <w:pict>
            <v:shape id="1670fa0c-13cb-45ec-92be-ef1f34d237c5" o:spid="_x0000_s2058"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8174D01" w14:textId="77777777">
                      <w:tblPrEx>
                        <w:tblW w:w="0" w:type="auto"/>
                        <w:tblInd w:w="-120" w:type="dxa"/>
                        <w:tblLayout w:type="fixed"/>
                        <w:tblLook w:val="07E0"/>
                      </w:tblPrEx>
                      <w:trPr>
                        <w:trHeight w:val="240"/>
                      </w:trPr>
                      <w:tc>
                        <w:tcPr>
                          <w:tcW w:w="1140" w:type="dxa"/>
                        </w:tcPr>
                        <w:p w:rsidR="007018EC" w14:paraId="0385CB4F" w14:textId="77777777">
                          <w:r>
                            <w:t>Datum</w:t>
                          </w:r>
                        </w:p>
                      </w:tc>
                      <w:tc>
                        <w:tcPr>
                          <w:tcW w:w="5918" w:type="dxa"/>
                        </w:tcPr>
                        <w:p w:rsidR="00BD065F" w14:paraId="3ED54DD2" w14:textId="4E368F17">
                          <w:r>
                            <w:t>10 februari 2026</w:t>
                          </w:r>
                        </w:p>
                      </w:tc>
                    </w:tr>
                    <w:tr w14:paraId="4BFA5050" w14:textId="77777777">
                      <w:tblPrEx>
                        <w:tblW w:w="0" w:type="auto"/>
                        <w:tblInd w:w="-120" w:type="dxa"/>
                        <w:tblLayout w:type="fixed"/>
                        <w:tblLook w:val="07E0"/>
                      </w:tblPrEx>
                      <w:trPr>
                        <w:trHeight w:val="240"/>
                      </w:trPr>
                      <w:tc>
                        <w:tcPr>
                          <w:tcW w:w="1140" w:type="dxa"/>
                        </w:tcPr>
                        <w:p w:rsidR="007018EC" w14:paraId="50F1DF6D" w14:textId="77777777">
                          <w:r>
                            <w:t>Betreft</w:t>
                          </w:r>
                        </w:p>
                      </w:tc>
                      <w:bookmarkStart w:id="0" w:name="_Hlk221617112"/>
                      <w:tc>
                        <w:tcPr>
                          <w:tcW w:w="5918" w:type="dxa"/>
                        </w:tcPr>
                        <w:p w:rsidR="00304B87" w14:paraId="6A153E0C" w14:textId="77777777">
                          <w:r>
                            <w:fldChar w:fldCharType="begin"/>
                          </w:r>
                          <w:r>
                            <w:instrText xml:space="preserve"> DOCPROPERTY  "Onderwerp"  \* MERGEFORMAT </w:instrText>
                          </w:r>
                          <w:r>
                            <w:fldChar w:fldCharType="separate"/>
                          </w:r>
                          <w:r w:rsidR="008C0435">
                            <w:t xml:space="preserve">Stand van zaken en aanpak casus </w:t>
                          </w:r>
                          <w:r w:rsidR="008C0435">
                            <w:t>Solvinity</w:t>
                          </w:r>
                          <w:r>
                            <w:fldChar w:fldCharType="end"/>
                          </w:r>
                          <w:bookmarkEnd w:id="0"/>
                        </w:p>
                      </w:tc>
                    </w:tr>
                  </w:tbl>
                  <w:p w:rsidR="00F50436" w14:paraId="5CE7F3D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018EC" w14:textId="77777777">
                          <w:pPr>
                            <w:pStyle w:val="Referentiegegevensbold"/>
                          </w:pPr>
                          <w:r>
                            <w:t>DGDOO</w:t>
                          </w:r>
                        </w:p>
                        <w:p w:rsidR="007018EC" w14:textId="77777777">
                          <w:pPr>
                            <w:pStyle w:val="Referentiegegevens"/>
                          </w:pPr>
                          <w:r>
                            <w:t>CRD en IFHR</w:t>
                          </w:r>
                        </w:p>
                        <w:p w:rsidR="007018EC" w14:textId="77777777">
                          <w:pPr>
                            <w:pStyle w:val="Referentiegegevens"/>
                          </w:pPr>
                          <w:r>
                            <w:t>Taskforce Continuïteit ICT Dienstverlening</w:t>
                          </w:r>
                        </w:p>
                        <w:p w:rsidR="007018EC" w14:textId="77777777">
                          <w:pPr>
                            <w:pStyle w:val="WitregelW1"/>
                          </w:pPr>
                        </w:p>
                        <w:p w:rsidR="007018EC" w:rsidRPr="009C63B8" w14:textId="77777777">
                          <w:pPr>
                            <w:pStyle w:val="Referentiegegevens"/>
                            <w:rPr>
                              <w:lang w:val="de-DE"/>
                            </w:rPr>
                          </w:pPr>
                          <w:r w:rsidRPr="009C63B8">
                            <w:rPr>
                              <w:lang w:val="de-DE"/>
                            </w:rPr>
                            <w:t>Turfmarkt</w:t>
                          </w:r>
                          <w:r w:rsidRPr="009C63B8">
                            <w:rPr>
                              <w:lang w:val="de-DE"/>
                            </w:rPr>
                            <w:t xml:space="preserve"> 147</w:t>
                          </w:r>
                        </w:p>
                        <w:p w:rsidR="007018EC" w:rsidRPr="009C63B8" w14:textId="77777777">
                          <w:pPr>
                            <w:pStyle w:val="Referentiegegevens"/>
                            <w:rPr>
                              <w:lang w:val="de-DE"/>
                            </w:rPr>
                          </w:pPr>
                          <w:r w:rsidRPr="009C63B8">
                            <w:rPr>
                              <w:lang w:val="de-DE"/>
                            </w:rPr>
                            <w:t>2511 DP Den Haag</w:t>
                          </w:r>
                        </w:p>
                        <w:p w:rsidR="007018EC" w:rsidRPr="009C63B8" w14:textId="77777777">
                          <w:pPr>
                            <w:pStyle w:val="Referentiegegevens"/>
                            <w:rPr>
                              <w:lang w:val="de-DE"/>
                            </w:rPr>
                          </w:pPr>
                          <w:r w:rsidRPr="009C63B8">
                            <w:rPr>
                              <w:lang w:val="de-DE"/>
                            </w:rPr>
                            <w:t>Postbus 20011</w:t>
                          </w:r>
                        </w:p>
                        <w:p w:rsidR="007018EC" w14:textId="77777777">
                          <w:pPr>
                            <w:pStyle w:val="Referentiegegevens"/>
                          </w:pPr>
                          <w:r>
                            <w:t>2500 EA  Den Haag</w:t>
                          </w:r>
                        </w:p>
                        <w:p w:rsidR="007018EC" w14:textId="77777777">
                          <w:pPr>
                            <w:pStyle w:val="WitregelW1"/>
                          </w:pPr>
                        </w:p>
                        <w:p w:rsidR="007018EC" w14:textId="77777777">
                          <w:pPr>
                            <w:pStyle w:val="Referentiegegevensbold"/>
                          </w:pPr>
                          <w:r>
                            <w:t>Onze referentie</w:t>
                          </w:r>
                        </w:p>
                        <w:bookmarkStart w:id="1" w:name="_Hlk221617125"/>
                        <w:p w:rsidR="00304B87" w14:textId="77777777">
                          <w:pPr>
                            <w:pStyle w:val="Referentiegegevens"/>
                          </w:pPr>
                          <w:r>
                            <w:fldChar w:fldCharType="begin"/>
                          </w:r>
                          <w:r>
                            <w:instrText xml:space="preserve"> DOCPROPERTY  "Kenmerk"  \* MERGEFORMAT </w:instrText>
                          </w:r>
                          <w:r>
                            <w:fldChar w:fldCharType="separate"/>
                          </w:r>
                          <w:r w:rsidR="008C0435">
                            <w:t>2026-0000061046</w:t>
                          </w:r>
                          <w:r>
                            <w:fldChar w:fldCharType="end"/>
                          </w:r>
                          <w:bookmarkEnd w:id="1"/>
                        </w:p>
                        <w:p w:rsidR="007018EC" w14:textId="77777777">
                          <w:pPr>
                            <w:pStyle w:val="WitregelW1"/>
                          </w:pPr>
                        </w:p>
                        <w:p w:rsidR="007018EC" w14:textId="77777777"/>
                      </w:txbxContent>
                    </wps:txbx>
                    <wps:bodyPr vert="horz" wrap="square" lIns="0" tIns="0" rIns="0" bIns="0" anchor="t" anchorCtr="0"/>
                  </wps:wsp>
                </a:graphicData>
              </a:graphic>
            </wp:anchor>
          </w:drawing>
        </mc:Choice>
        <mc:Fallback>
          <w:pict>
            <v:shape id="aa29ef58-fa5a-4ef1-bc47-43f659f7c670" o:spid="_x0000_s205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018EC" w14:paraId="4C4FF254" w14:textId="77777777">
                    <w:pPr>
                      <w:pStyle w:val="Referentiegegevensbold"/>
                    </w:pPr>
                    <w:r>
                      <w:t>DGDOO</w:t>
                    </w:r>
                  </w:p>
                  <w:p w:rsidR="007018EC" w14:paraId="32106931" w14:textId="77777777">
                    <w:pPr>
                      <w:pStyle w:val="Referentiegegevens"/>
                    </w:pPr>
                    <w:r>
                      <w:t>CRD en IFHR</w:t>
                    </w:r>
                  </w:p>
                  <w:p w:rsidR="007018EC" w14:paraId="3AA04D20" w14:textId="77777777">
                    <w:pPr>
                      <w:pStyle w:val="Referentiegegevens"/>
                    </w:pPr>
                    <w:r>
                      <w:t>Taskforce Continuïteit ICT Dienstverlening</w:t>
                    </w:r>
                  </w:p>
                  <w:p w:rsidR="007018EC" w14:paraId="32BB93AD" w14:textId="77777777">
                    <w:pPr>
                      <w:pStyle w:val="WitregelW1"/>
                    </w:pPr>
                  </w:p>
                  <w:p w:rsidR="007018EC" w:rsidRPr="009C63B8" w14:paraId="611D1F86" w14:textId="77777777">
                    <w:pPr>
                      <w:pStyle w:val="Referentiegegevens"/>
                      <w:rPr>
                        <w:lang w:val="de-DE"/>
                      </w:rPr>
                    </w:pPr>
                    <w:r w:rsidRPr="009C63B8">
                      <w:rPr>
                        <w:lang w:val="de-DE"/>
                      </w:rPr>
                      <w:t>Turfmarkt</w:t>
                    </w:r>
                    <w:r w:rsidRPr="009C63B8">
                      <w:rPr>
                        <w:lang w:val="de-DE"/>
                      </w:rPr>
                      <w:t xml:space="preserve"> 147</w:t>
                    </w:r>
                  </w:p>
                  <w:p w:rsidR="007018EC" w:rsidRPr="009C63B8" w14:paraId="354F430E" w14:textId="77777777">
                    <w:pPr>
                      <w:pStyle w:val="Referentiegegevens"/>
                      <w:rPr>
                        <w:lang w:val="de-DE"/>
                      </w:rPr>
                    </w:pPr>
                    <w:r w:rsidRPr="009C63B8">
                      <w:rPr>
                        <w:lang w:val="de-DE"/>
                      </w:rPr>
                      <w:t>2511 DP Den Haag</w:t>
                    </w:r>
                  </w:p>
                  <w:p w:rsidR="007018EC" w:rsidRPr="009C63B8" w14:paraId="3CCC2EBA" w14:textId="77777777">
                    <w:pPr>
                      <w:pStyle w:val="Referentiegegevens"/>
                      <w:rPr>
                        <w:lang w:val="de-DE"/>
                      </w:rPr>
                    </w:pPr>
                    <w:r w:rsidRPr="009C63B8">
                      <w:rPr>
                        <w:lang w:val="de-DE"/>
                      </w:rPr>
                      <w:t>Postbus 20011</w:t>
                    </w:r>
                  </w:p>
                  <w:p w:rsidR="007018EC" w14:paraId="002969B8" w14:textId="77777777">
                    <w:pPr>
                      <w:pStyle w:val="Referentiegegevens"/>
                    </w:pPr>
                    <w:r>
                      <w:t>2500 EA  Den Haag</w:t>
                    </w:r>
                  </w:p>
                  <w:p w:rsidR="007018EC" w14:paraId="4FC96AA5" w14:textId="77777777">
                    <w:pPr>
                      <w:pStyle w:val="WitregelW1"/>
                    </w:pPr>
                  </w:p>
                  <w:p w:rsidR="007018EC" w14:paraId="7D0D1B9F" w14:textId="77777777">
                    <w:pPr>
                      <w:pStyle w:val="Referentiegegevensbold"/>
                    </w:pPr>
                    <w:r>
                      <w:t>Onze referentie</w:t>
                    </w:r>
                  </w:p>
                  <w:bookmarkStart w:id="1" w:name="_Hlk221617125"/>
                  <w:p w:rsidR="00304B87" w14:paraId="7AE9AFA0" w14:textId="77777777">
                    <w:pPr>
                      <w:pStyle w:val="Referentiegegevens"/>
                    </w:pPr>
                    <w:r>
                      <w:fldChar w:fldCharType="begin"/>
                    </w:r>
                    <w:r>
                      <w:instrText xml:space="preserve"> DOCPROPERTY  "Kenmerk"  \* MERGEFORMAT </w:instrText>
                    </w:r>
                    <w:r>
                      <w:fldChar w:fldCharType="separate"/>
                    </w:r>
                    <w:r w:rsidR="008C0435">
                      <w:t>2026-0000061046</w:t>
                    </w:r>
                    <w:r>
                      <w:fldChar w:fldCharType="end"/>
                    </w:r>
                    <w:bookmarkEnd w:id="1"/>
                  </w:p>
                  <w:p w:rsidR="007018EC" w14:paraId="7203798B" w14:textId="77777777">
                    <w:pPr>
                      <w:pStyle w:val="WitregelW1"/>
                    </w:pPr>
                  </w:p>
                  <w:p w:rsidR="007018EC" w14:paraId="0A5AC36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04B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04B87" w14:paraId="4A7B327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0436" w14:textId="77777777"/>
                      </w:txbxContent>
                    </wps:txbx>
                    <wps:bodyPr vert="horz" wrap="square" lIns="0" tIns="0" rIns="0" bIns="0" anchor="t" anchorCtr="0"/>
                  </wps:wsp>
                </a:graphicData>
              </a:graphic>
            </wp:anchor>
          </w:drawing>
        </mc:Choice>
        <mc:Fallback>
          <w:pict>
            <v:shape id="ea113d41-b39a-4e3b-9a6a-dce66e72abe4" o:spid="_x0000_s2061"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50436" w14:paraId="49FFA40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15F1DD"/>
    <w:multiLevelType w:val="multilevel"/>
    <w:tmpl w:val="388851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939FE08"/>
    <w:multiLevelType w:val="multilevel"/>
    <w:tmpl w:val="4F91F53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228772E"/>
    <w:multiLevelType w:val="hybridMultilevel"/>
    <w:tmpl w:val="05004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B4F1CA"/>
    <w:multiLevelType w:val="multilevel"/>
    <w:tmpl w:val="1ED8A4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0F392EF1"/>
    <w:multiLevelType w:val="hybridMultilevel"/>
    <w:tmpl w:val="DC949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0E0D87"/>
    <w:multiLevelType w:val="hybridMultilevel"/>
    <w:tmpl w:val="3A66B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06362B"/>
    <w:multiLevelType w:val="hybridMultilevel"/>
    <w:tmpl w:val="05004F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BE0F70"/>
    <w:multiLevelType w:val="hybridMultilevel"/>
    <w:tmpl w:val="2C1C8BC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BC1E91"/>
    <w:multiLevelType w:val="hybridMultilevel"/>
    <w:tmpl w:val="2BF024D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962896"/>
    <w:multiLevelType w:val="hybridMultilevel"/>
    <w:tmpl w:val="8A546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6EB01BC0"/>
    <w:multiLevelType w:val="hybridMultilevel"/>
    <w:tmpl w:val="0A9072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09142F3"/>
    <w:multiLevelType w:val="hybridMultilevel"/>
    <w:tmpl w:val="656A29DE"/>
    <w:lvl w:ilvl="0">
      <w:start w:val="3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17D0CF9"/>
    <w:multiLevelType w:val="hybridMultilevel"/>
    <w:tmpl w:val="7D92E2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6B4B45"/>
    <w:multiLevelType w:val="hybridMultilevel"/>
    <w:tmpl w:val="0DAA7C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5E12A7"/>
    <w:multiLevelType w:val="hybridMultilevel"/>
    <w:tmpl w:val="529C9B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D3364CA"/>
    <w:multiLevelType w:val="multilevel"/>
    <w:tmpl w:val="37F7C6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39698919">
    <w:abstractNumId w:val="15"/>
  </w:num>
  <w:num w:numId="2" w16cid:durableId="1358123676">
    <w:abstractNumId w:val="3"/>
  </w:num>
  <w:num w:numId="3" w16cid:durableId="2032485869">
    <w:abstractNumId w:val="1"/>
  </w:num>
  <w:num w:numId="4" w16cid:durableId="2027903670">
    <w:abstractNumId w:val="0"/>
  </w:num>
  <w:num w:numId="5" w16cid:durableId="904147615">
    <w:abstractNumId w:val="11"/>
  </w:num>
  <w:num w:numId="6" w16cid:durableId="26758681">
    <w:abstractNumId w:val="9"/>
  </w:num>
  <w:num w:numId="7" w16cid:durableId="677342757">
    <w:abstractNumId w:val="9"/>
  </w:num>
  <w:num w:numId="8" w16cid:durableId="1033388102">
    <w:abstractNumId w:val="12"/>
  </w:num>
  <w:num w:numId="9" w16cid:durableId="1717699390">
    <w:abstractNumId w:val="6"/>
  </w:num>
  <w:num w:numId="10" w16cid:durableId="573707445">
    <w:abstractNumId w:val="14"/>
  </w:num>
  <w:num w:numId="11" w16cid:durableId="784158683">
    <w:abstractNumId w:val="10"/>
  </w:num>
  <w:num w:numId="12" w16cid:durableId="1579175514">
    <w:abstractNumId w:val="7"/>
  </w:num>
  <w:num w:numId="13" w16cid:durableId="2063943653">
    <w:abstractNumId w:val="4"/>
  </w:num>
  <w:num w:numId="14" w16cid:durableId="1084180635">
    <w:abstractNumId w:val="5"/>
  </w:num>
  <w:num w:numId="15" w16cid:durableId="1906063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974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9607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ulder, Sander">
    <w15:presenceInfo w15:providerId="AD" w15:userId="S-1-5-21-2124967372-903829438-1011632211-207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EC"/>
    <w:rsid w:val="000052EC"/>
    <w:rsid w:val="000052F1"/>
    <w:rsid w:val="000171EA"/>
    <w:rsid w:val="00017594"/>
    <w:rsid w:val="000240D1"/>
    <w:rsid w:val="00024EA9"/>
    <w:rsid w:val="0003024A"/>
    <w:rsid w:val="00030907"/>
    <w:rsid w:val="0003175A"/>
    <w:rsid w:val="00032133"/>
    <w:rsid w:val="0003428E"/>
    <w:rsid w:val="00035BF1"/>
    <w:rsid w:val="0004000E"/>
    <w:rsid w:val="00045AA0"/>
    <w:rsid w:val="00047A45"/>
    <w:rsid w:val="00051C67"/>
    <w:rsid w:val="00056883"/>
    <w:rsid w:val="000632DC"/>
    <w:rsid w:val="00066A74"/>
    <w:rsid w:val="00070BAE"/>
    <w:rsid w:val="0007310D"/>
    <w:rsid w:val="00073569"/>
    <w:rsid w:val="00077B65"/>
    <w:rsid w:val="00082171"/>
    <w:rsid w:val="0008238D"/>
    <w:rsid w:val="00083E6B"/>
    <w:rsid w:val="000902F2"/>
    <w:rsid w:val="00090ED3"/>
    <w:rsid w:val="000911E6"/>
    <w:rsid w:val="000A0D89"/>
    <w:rsid w:val="000B1502"/>
    <w:rsid w:val="000C15CA"/>
    <w:rsid w:val="000C1BC5"/>
    <w:rsid w:val="000C7B19"/>
    <w:rsid w:val="000D4831"/>
    <w:rsid w:val="000D4F13"/>
    <w:rsid w:val="000E1886"/>
    <w:rsid w:val="000E7A2B"/>
    <w:rsid w:val="00100160"/>
    <w:rsid w:val="00102297"/>
    <w:rsid w:val="00102892"/>
    <w:rsid w:val="00107348"/>
    <w:rsid w:val="001162B2"/>
    <w:rsid w:val="001169D6"/>
    <w:rsid w:val="00116DD8"/>
    <w:rsid w:val="00122953"/>
    <w:rsid w:val="00123933"/>
    <w:rsid w:val="001329B3"/>
    <w:rsid w:val="00137852"/>
    <w:rsid w:val="00137E7F"/>
    <w:rsid w:val="00140C6C"/>
    <w:rsid w:val="00143DD3"/>
    <w:rsid w:val="001444CB"/>
    <w:rsid w:val="00146027"/>
    <w:rsid w:val="001466EC"/>
    <w:rsid w:val="0014749F"/>
    <w:rsid w:val="00147E5C"/>
    <w:rsid w:val="00154EA9"/>
    <w:rsid w:val="001553FA"/>
    <w:rsid w:val="00157C01"/>
    <w:rsid w:val="00167D78"/>
    <w:rsid w:val="00167FCD"/>
    <w:rsid w:val="00187B22"/>
    <w:rsid w:val="001903D7"/>
    <w:rsid w:val="0019127A"/>
    <w:rsid w:val="001953F8"/>
    <w:rsid w:val="001A53B8"/>
    <w:rsid w:val="001A5D3B"/>
    <w:rsid w:val="001C0356"/>
    <w:rsid w:val="001D7F3A"/>
    <w:rsid w:val="001E0CC0"/>
    <w:rsid w:val="001E3955"/>
    <w:rsid w:val="001E7A37"/>
    <w:rsid w:val="001F2B81"/>
    <w:rsid w:val="001F33E7"/>
    <w:rsid w:val="001F42F7"/>
    <w:rsid w:val="001F5FAA"/>
    <w:rsid w:val="0021262F"/>
    <w:rsid w:val="002148A9"/>
    <w:rsid w:val="00214B5F"/>
    <w:rsid w:val="00224CAA"/>
    <w:rsid w:val="00235697"/>
    <w:rsid w:val="0024088F"/>
    <w:rsid w:val="00242B96"/>
    <w:rsid w:val="00242C68"/>
    <w:rsid w:val="0024559D"/>
    <w:rsid w:val="00246B30"/>
    <w:rsid w:val="00251366"/>
    <w:rsid w:val="00263EF5"/>
    <w:rsid w:val="00264AAC"/>
    <w:rsid w:val="00272108"/>
    <w:rsid w:val="00275513"/>
    <w:rsid w:val="00280FB7"/>
    <w:rsid w:val="00282B7F"/>
    <w:rsid w:val="002835F5"/>
    <w:rsid w:val="002837E7"/>
    <w:rsid w:val="00284FF8"/>
    <w:rsid w:val="0028558F"/>
    <w:rsid w:val="00285D36"/>
    <w:rsid w:val="00294241"/>
    <w:rsid w:val="002A27C5"/>
    <w:rsid w:val="002A3118"/>
    <w:rsid w:val="002A3C20"/>
    <w:rsid w:val="002B213C"/>
    <w:rsid w:val="002B3353"/>
    <w:rsid w:val="002B5F3A"/>
    <w:rsid w:val="002C49C2"/>
    <w:rsid w:val="002D000F"/>
    <w:rsid w:val="002D4459"/>
    <w:rsid w:val="002D5E2F"/>
    <w:rsid w:val="002E049F"/>
    <w:rsid w:val="002E69C3"/>
    <w:rsid w:val="002F16B3"/>
    <w:rsid w:val="00303122"/>
    <w:rsid w:val="00303F45"/>
    <w:rsid w:val="00304B87"/>
    <w:rsid w:val="00305680"/>
    <w:rsid w:val="00305FC1"/>
    <w:rsid w:val="00310E44"/>
    <w:rsid w:val="0031475D"/>
    <w:rsid w:val="003152D9"/>
    <w:rsid w:val="00321AA4"/>
    <w:rsid w:val="0032244E"/>
    <w:rsid w:val="003321BD"/>
    <w:rsid w:val="00334CF2"/>
    <w:rsid w:val="003361E7"/>
    <w:rsid w:val="003516FF"/>
    <w:rsid w:val="003603C5"/>
    <w:rsid w:val="00366227"/>
    <w:rsid w:val="0036634D"/>
    <w:rsid w:val="00366B93"/>
    <w:rsid w:val="003722CF"/>
    <w:rsid w:val="003744AE"/>
    <w:rsid w:val="003764D8"/>
    <w:rsid w:val="003838F7"/>
    <w:rsid w:val="003900BB"/>
    <w:rsid w:val="0039599C"/>
    <w:rsid w:val="003960D5"/>
    <w:rsid w:val="003A38A4"/>
    <w:rsid w:val="003A54B0"/>
    <w:rsid w:val="003B3D1E"/>
    <w:rsid w:val="003B5AA0"/>
    <w:rsid w:val="003C4BFF"/>
    <w:rsid w:val="003C7959"/>
    <w:rsid w:val="003D0F30"/>
    <w:rsid w:val="003D4DBF"/>
    <w:rsid w:val="003E050A"/>
    <w:rsid w:val="003E766E"/>
    <w:rsid w:val="003F1DDA"/>
    <w:rsid w:val="003F2315"/>
    <w:rsid w:val="003F42C5"/>
    <w:rsid w:val="004038DC"/>
    <w:rsid w:val="0040505E"/>
    <w:rsid w:val="00410549"/>
    <w:rsid w:val="00414DEF"/>
    <w:rsid w:val="004166DA"/>
    <w:rsid w:val="00421A78"/>
    <w:rsid w:val="00424A15"/>
    <w:rsid w:val="0043799B"/>
    <w:rsid w:val="00441561"/>
    <w:rsid w:val="00455117"/>
    <w:rsid w:val="00455187"/>
    <w:rsid w:val="00456EC9"/>
    <w:rsid w:val="00460B24"/>
    <w:rsid w:val="004612B2"/>
    <w:rsid w:val="0046315B"/>
    <w:rsid w:val="00464AE4"/>
    <w:rsid w:val="00472E47"/>
    <w:rsid w:val="00473675"/>
    <w:rsid w:val="00474121"/>
    <w:rsid w:val="00475100"/>
    <w:rsid w:val="00482E30"/>
    <w:rsid w:val="00486848"/>
    <w:rsid w:val="00492A57"/>
    <w:rsid w:val="004937C5"/>
    <w:rsid w:val="00494271"/>
    <w:rsid w:val="0049707B"/>
    <w:rsid w:val="004A1807"/>
    <w:rsid w:val="004A236B"/>
    <w:rsid w:val="004A4AAC"/>
    <w:rsid w:val="004B01C9"/>
    <w:rsid w:val="004B12E1"/>
    <w:rsid w:val="004B16DA"/>
    <w:rsid w:val="004B1E29"/>
    <w:rsid w:val="004B3750"/>
    <w:rsid w:val="004B7908"/>
    <w:rsid w:val="004C63ED"/>
    <w:rsid w:val="004D0544"/>
    <w:rsid w:val="004D292D"/>
    <w:rsid w:val="004F2B72"/>
    <w:rsid w:val="004F5043"/>
    <w:rsid w:val="004F5451"/>
    <w:rsid w:val="004F559D"/>
    <w:rsid w:val="004F6B41"/>
    <w:rsid w:val="004F6DEB"/>
    <w:rsid w:val="005037F5"/>
    <w:rsid w:val="0051115F"/>
    <w:rsid w:val="00514FE9"/>
    <w:rsid w:val="00522E9B"/>
    <w:rsid w:val="00525B1D"/>
    <w:rsid w:val="00532D1B"/>
    <w:rsid w:val="00537DBF"/>
    <w:rsid w:val="00537FF1"/>
    <w:rsid w:val="00537FFC"/>
    <w:rsid w:val="00544CA2"/>
    <w:rsid w:val="005600AF"/>
    <w:rsid w:val="005642B8"/>
    <w:rsid w:val="0056679F"/>
    <w:rsid w:val="00583885"/>
    <w:rsid w:val="00584647"/>
    <w:rsid w:val="0058746A"/>
    <w:rsid w:val="0059311B"/>
    <w:rsid w:val="005966A0"/>
    <w:rsid w:val="005A09DD"/>
    <w:rsid w:val="005A1EC2"/>
    <w:rsid w:val="005A420B"/>
    <w:rsid w:val="005A4C8B"/>
    <w:rsid w:val="005C35C0"/>
    <w:rsid w:val="005C39DF"/>
    <w:rsid w:val="005C466F"/>
    <w:rsid w:val="005D13AB"/>
    <w:rsid w:val="005D20DA"/>
    <w:rsid w:val="005D545F"/>
    <w:rsid w:val="005E186B"/>
    <w:rsid w:val="005E2D27"/>
    <w:rsid w:val="005E2D40"/>
    <w:rsid w:val="005E5355"/>
    <w:rsid w:val="005E5717"/>
    <w:rsid w:val="005F04CD"/>
    <w:rsid w:val="005F1386"/>
    <w:rsid w:val="005F1EAF"/>
    <w:rsid w:val="00604B26"/>
    <w:rsid w:val="00606514"/>
    <w:rsid w:val="006158C0"/>
    <w:rsid w:val="00615D98"/>
    <w:rsid w:val="00617ADC"/>
    <w:rsid w:val="00625BD1"/>
    <w:rsid w:val="00632C0D"/>
    <w:rsid w:val="00632E8F"/>
    <w:rsid w:val="00634B3E"/>
    <w:rsid w:val="00637037"/>
    <w:rsid w:val="00640312"/>
    <w:rsid w:val="0064300D"/>
    <w:rsid w:val="006453E1"/>
    <w:rsid w:val="00650712"/>
    <w:rsid w:val="006536B5"/>
    <w:rsid w:val="006544A7"/>
    <w:rsid w:val="006547D9"/>
    <w:rsid w:val="00654BF3"/>
    <w:rsid w:val="0066091C"/>
    <w:rsid w:val="0067310A"/>
    <w:rsid w:val="0067548B"/>
    <w:rsid w:val="00676141"/>
    <w:rsid w:val="0068006B"/>
    <w:rsid w:val="00680D2E"/>
    <w:rsid w:val="00686982"/>
    <w:rsid w:val="00691546"/>
    <w:rsid w:val="00695752"/>
    <w:rsid w:val="006962C0"/>
    <w:rsid w:val="006A26B0"/>
    <w:rsid w:val="006A6A54"/>
    <w:rsid w:val="006A7E81"/>
    <w:rsid w:val="006B0DB6"/>
    <w:rsid w:val="006B246D"/>
    <w:rsid w:val="006C1B85"/>
    <w:rsid w:val="006C57A9"/>
    <w:rsid w:val="006D4681"/>
    <w:rsid w:val="006D7695"/>
    <w:rsid w:val="006E11A4"/>
    <w:rsid w:val="006E3B64"/>
    <w:rsid w:val="006F21D1"/>
    <w:rsid w:val="006F35E0"/>
    <w:rsid w:val="006F6205"/>
    <w:rsid w:val="006F694C"/>
    <w:rsid w:val="007018EC"/>
    <w:rsid w:val="00704852"/>
    <w:rsid w:val="00711C22"/>
    <w:rsid w:val="007158A8"/>
    <w:rsid w:val="00730691"/>
    <w:rsid w:val="00730C31"/>
    <w:rsid w:val="00731CE2"/>
    <w:rsid w:val="00731F97"/>
    <w:rsid w:val="00736400"/>
    <w:rsid w:val="00746486"/>
    <w:rsid w:val="00750082"/>
    <w:rsid w:val="007558B4"/>
    <w:rsid w:val="00757E44"/>
    <w:rsid w:val="007632B6"/>
    <w:rsid w:val="007638AE"/>
    <w:rsid w:val="0076555C"/>
    <w:rsid w:val="00765ADB"/>
    <w:rsid w:val="0077139B"/>
    <w:rsid w:val="0077428F"/>
    <w:rsid w:val="00775CA7"/>
    <w:rsid w:val="00780991"/>
    <w:rsid w:val="00782C22"/>
    <w:rsid w:val="0078307D"/>
    <w:rsid w:val="00785CEB"/>
    <w:rsid w:val="00785E2D"/>
    <w:rsid w:val="00790C66"/>
    <w:rsid w:val="007A0A69"/>
    <w:rsid w:val="007A28BF"/>
    <w:rsid w:val="007A4CF9"/>
    <w:rsid w:val="007B2CF4"/>
    <w:rsid w:val="007B4B1D"/>
    <w:rsid w:val="007B5CEF"/>
    <w:rsid w:val="007B722B"/>
    <w:rsid w:val="007C0B51"/>
    <w:rsid w:val="007C302A"/>
    <w:rsid w:val="007C50D1"/>
    <w:rsid w:val="007C5571"/>
    <w:rsid w:val="007C70C6"/>
    <w:rsid w:val="007D26BE"/>
    <w:rsid w:val="007D4A44"/>
    <w:rsid w:val="007E15FE"/>
    <w:rsid w:val="007E2D22"/>
    <w:rsid w:val="007E4F14"/>
    <w:rsid w:val="007F3370"/>
    <w:rsid w:val="007F3D00"/>
    <w:rsid w:val="007F7348"/>
    <w:rsid w:val="00800845"/>
    <w:rsid w:val="00803739"/>
    <w:rsid w:val="0080388A"/>
    <w:rsid w:val="00805BE3"/>
    <w:rsid w:val="0080743C"/>
    <w:rsid w:val="00817219"/>
    <w:rsid w:val="008220ED"/>
    <w:rsid w:val="00822685"/>
    <w:rsid w:val="00823901"/>
    <w:rsid w:val="00826951"/>
    <w:rsid w:val="00831F24"/>
    <w:rsid w:val="00835599"/>
    <w:rsid w:val="00835AC2"/>
    <w:rsid w:val="0083660E"/>
    <w:rsid w:val="0083678B"/>
    <w:rsid w:val="00853B3A"/>
    <w:rsid w:val="00856CDC"/>
    <w:rsid w:val="0086088A"/>
    <w:rsid w:val="00862EFD"/>
    <w:rsid w:val="00866003"/>
    <w:rsid w:val="00866A83"/>
    <w:rsid w:val="00866FB2"/>
    <w:rsid w:val="00875F57"/>
    <w:rsid w:val="00883525"/>
    <w:rsid w:val="00883A16"/>
    <w:rsid w:val="00887E2E"/>
    <w:rsid w:val="00890B7E"/>
    <w:rsid w:val="00895705"/>
    <w:rsid w:val="00897568"/>
    <w:rsid w:val="008A260F"/>
    <w:rsid w:val="008B3E9E"/>
    <w:rsid w:val="008C0435"/>
    <w:rsid w:val="008C0699"/>
    <w:rsid w:val="008C1339"/>
    <w:rsid w:val="008C4AA7"/>
    <w:rsid w:val="008C7F93"/>
    <w:rsid w:val="008D115C"/>
    <w:rsid w:val="008D398D"/>
    <w:rsid w:val="008D5D9E"/>
    <w:rsid w:val="008E02DB"/>
    <w:rsid w:val="008E43C4"/>
    <w:rsid w:val="008F2814"/>
    <w:rsid w:val="008F4240"/>
    <w:rsid w:val="008F5AAE"/>
    <w:rsid w:val="008F6DB7"/>
    <w:rsid w:val="0091358C"/>
    <w:rsid w:val="00925ACA"/>
    <w:rsid w:val="00925B01"/>
    <w:rsid w:val="009265B2"/>
    <w:rsid w:val="00926934"/>
    <w:rsid w:val="00926ABF"/>
    <w:rsid w:val="00927769"/>
    <w:rsid w:val="00940262"/>
    <w:rsid w:val="00945C44"/>
    <w:rsid w:val="009515A8"/>
    <w:rsid w:val="00960CC7"/>
    <w:rsid w:val="009623B8"/>
    <w:rsid w:val="00965B35"/>
    <w:rsid w:val="00966A5C"/>
    <w:rsid w:val="009731EA"/>
    <w:rsid w:val="00974C1F"/>
    <w:rsid w:val="00996CE1"/>
    <w:rsid w:val="009A2FF6"/>
    <w:rsid w:val="009A7941"/>
    <w:rsid w:val="009C0DC9"/>
    <w:rsid w:val="009C1879"/>
    <w:rsid w:val="009C63B8"/>
    <w:rsid w:val="009D3AC6"/>
    <w:rsid w:val="009D5271"/>
    <w:rsid w:val="009E4C15"/>
    <w:rsid w:val="009E4CD6"/>
    <w:rsid w:val="009F260B"/>
    <w:rsid w:val="009F2E53"/>
    <w:rsid w:val="009F4470"/>
    <w:rsid w:val="009F59A4"/>
    <w:rsid w:val="009F5E71"/>
    <w:rsid w:val="00A01BCF"/>
    <w:rsid w:val="00A11558"/>
    <w:rsid w:val="00A15BD6"/>
    <w:rsid w:val="00A20E02"/>
    <w:rsid w:val="00A2136E"/>
    <w:rsid w:val="00A21FBA"/>
    <w:rsid w:val="00A22D6D"/>
    <w:rsid w:val="00A37F40"/>
    <w:rsid w:val="00A4551C"/>
    <w:rsid w:val="00A46A42"/>
    <w:rsid w:val="00A52773"/>
    <w:rsid w:val="00A5449B"/>
    <w:rsid w:val="00A55AAE"/>
    <w:rsid w:val="00A62E31"/>
    <w:rsid w:val="00A62F82"/>
    <w:rsid w:val="00A65CE0"/>
    <w:rsid w:val="00A6688F"/>
    <w:rsid w:val="00A66E1E"/>
    <w:rsid w:val="00A76900"/>
    <w:rsid w:val="00A775BA"/>
    <w:rsid w:val="00A83943"/>
    <w:rsid w:val="00A87FD3"/>
    <w:rsid w:val="00A92CA4"/>
    <w:rsid w:val="00AA4CAD"/>
    <w:rsid w:val="00AB6AE1"/>
    <w:rsid w:val="00AC2BCE"/>
    <w:rsid w:val="00AC3DB0"/>
    <w:rsid w:val="00AD11A5"/>
    <w:rsid w:val="00AD5A05"/>
    <w:rsid w:val="00AE3753"/>
    <w:rsid w:val="00AE4A4A"/>
    <w:rsid w:val="00AE5A46"/>
    <w:rsid w:val="00AF2EB2"/>
    <w:rsid w:val="00AF32B4"/>
    <w:rsid w:val="00AF3663"/>
    <w:rsid w:val="00AF5AE7"/>
    <w:rsid w:val="00AF72E1"/>
    <w:rsid w:val="00AF7D08"/>
    <w:rsid w:val="00B016B9"/>
    <w:rsid w:val="00B030E2"/>
    <w:rsid w:val="00B07487"/>
    <w:rsid w:val="00B11EB7"/>
    <w:rsid w:val="00B122CA"/>
    <w:rsid w:val="00B13EE4"/>
    <w:rsid w:val="00B24AEC"/>
    <w:rsid w:val="00B32D88"/>
    <w:rsid w:val="00B37E06"/>
    <w:rsid w:val="00B404F0"/>
    <w:rsid w:val="00B41B23"/>
    <w:rsid w:val="00B443CB"/>
    <w:rsid w:val="00B44743"/>
    <w:rsid w:val="00B47D34"/>
    <w:rsid w:val="00B53365"/>
    <w:rsid w:val="00B559AF"/>
    <w:rsid w:val="00B6162C"/>
    <w:rsid w:val="00B62458"/>
    <w:rsid w:val="00B6502D"/>
    <w:rsid w:val="00B71696"/>
    <w:rsid w:val="00B77A08"/>
    <w:rsid w:val="00B81070"/>
    <w:rsid w:val="00B819F9"/>
    <w:rsid w:val="00B82C69"/>
    <w:rsid w:val="00B872AC"/>
    <w:rsid w:val="00B949D3"/>
    <w:rsid w:val="00B95C9E"/>
    <w:rsid w:val="00B9698F"/>
    <w:rsid w:val="00B97B8A"/>
    <w:rsid w:val="00BA0BA7"/>
    <w:rsid w:val="00BA3D73"/>
    <w:rsid w:val="00BA7AAF"/>
    <w:rsid w:val="00BB2DEC"/>
    <w:rsid w:val="00BB3958"/>
    <w:rsid w:val="00BC0DB6"/>
    <w:rsid w:val="00BC7B6D"/>
    <w:rsid w:val="00BD0012"/>
    <w:rsid w:val="00BD065F"/>
    <w:rsid w:val="00BE424A"/>
    <w:rsid w:val="00BE654D"/>
    <w:rsid w:val="00BF1FD2"/>
    <w:rsid w:val="00BF4358"/>
    <w:rsid w:val="00BF7856"/>
    <w:rsid w:val="00C01368"/>
    <w:rsid w:val="00C02DB4"/>
    <w:rsid w:val="00C03A36"/>
    <w:rsid w:val="00C0619B"/>
    <w:rsid w:val="00C073E0"/>
    <w:rsid w:val="00C10AB0"/>
    <w:rsid w:val="00C10CB7"/>
    <w:rsid w:val="00C160C6"/>
    <w:rsid w:val="00C23744"/>
    <w:rsid w:val="00C31654"/>
    <w:rsid w:val="00C42840"/>
    <w:rsid w:val="00C453C6"/>
    <w:rsid w:val="00C471B8"/>
    <w:rsid w:val="00C57327"/>
    <w:rsid w:val="00C60766"/>
    <w:rsid w:val="00C616E6"/>
    <w:rsid w:val="00C723F8"/>
    <w:rsid w:val="00C728B3"/>
    <w:rsid w:val="00C73A6D"/>
    <w:rsid w:val="00C76224"/>
    <w:rsid w:val="00CA34F2"/>
    <w:rsid w:val="00CB0080"/>
    <w:rsid w:val="00CB7BD8"/>
    <w:rsid w:val="00CC43E5"/>
    <w:rsid w:val="00CC6B47"/>
    <w:rsid w:val="00CD20B1"/>
    <w:rsid w:val="00CD2702"/>
    <w:rsid w:val="00CD2BA0"/>
    <w:rsid w:val="00CD43B5"/>
    <w:rsid w:val="00CE74D6"/>
    <w:rsid w:val="00CF202C"/>
    <w:rsid w:val="00CF43AD"/>
    <w:rsid w:val="00CF4FC6"/>
    <w:rsid w:val="00CF5BCC"/>
    <w:rsid w:val="00CF663C"/>
    <w:rsid w:val="00CF7958"/>
    <w:rsid w:val="00D048E5"/>
    <w:rsid w:val="00D238B6"/>
    <w:rsid w:val="00D25486"/>
    <w:rsid w:val="00D25825"/>
    <w:rsid w:val="00D40177"/>
    <w:rsid w:val="00D54C46"/>
    <w:rsid w:val="00D555BE"/>
    <w:rsid w:val="00D563C8"/>
    <w:rsid w:val="00D57167"/>
    <w:rsid w:val="00D60AC5"/>
    <w:rsid w:val="00D61C28"/>
    <w:rsid w:val="00D74CFF"/>
    <w:rsid w:val="00D75AA5"/>
    <w:rsid w:val="00D8347E"/>
    <w:rsid w:val="00D961F7"/>
    <w:rsid w:val="00D965F3"/>
    <w:rsid w:val="00DA214A"/>
    <w:rsid w:val="00DC0471"/>
    <w:rsid w:val="00DC37E8"/>
    <w:rsid w:val="00DD65D8"/>
    <w:rsid w:val="00DE037F"/>
    <w:rsid w:val="00DE4DFA"/>
    <w:rsid w:val="00DE67B4"/>
    <w:rsid w:val="00DE7262"/>
    <w:rsid w:val="00DF1593"/>
    <w:rsid w:val="00DF5313"/>
    <w:rsid w:val="00E022EB"/>
    <w:rsid w:val="00E052B7"/>
    <w:rsid w:val="00E05D18"/>
    <w:rsid w:val="00E1248C"/>
    <w:rsid w:val="00E13755"/>
    <w:rsid w:val="00E15B8D"/>
    <w:rsid w:val="00E25E6F"/>
    <w:rsid w:val="00E264C3"/>
    <w:rsid w:val="00E267E0"/>
    <w:rsid w:val="00E2698D"/>
    <w:rsid w:val="00E337DA"/>
    <w:rsid w:val="00E340EB"/>
    <w:rsid w:val="00E43672"/>
    <w:rsid w:val="00E44D5A"/>
    <w:rsid w:val="00E47304"/>
    <w:rsid w:val="00E516E8"/>
    <w:rsid w:val="00E52108"/>
    <w:rsid w:val="00E552E5"/>
    <w:rsid w:val="00E563A1"/>
    <w:rsid w:val="00E65608"/>
    <w:rsid w:val="00E658AC"/>
    <w:rsid w:val="00E70EF3"/>
    <w:rsid w:val="00E73C0D"/>
    <w:rsid w:val="00E74663"/>
    <w:rsid w:val="00E748EE"/>
    <w:rsid w:val="00E76DCA"/>
    <w:rsid w:val="00E80832"/>
    <w:rsid w:val="00E81DAE"/>
    <w:rsid w:val="00E8556B"/>
    <w:rsid w:val="00E91FBA"/>
    <w:rsid w:val="00E95AC8"/>
    <w:rsid w:val="00E96859"/>
    <w:rsid w:val="00EA7305"/>
    <w:rsid w:val="00EB6162"/>
    <w:rsid w:val="00EC1668"/>
    <w:rsid w:val="00EC16B0"/>
    <w:rsid w:val="00EC3E33"/>
    <w:rsid w:val="00EC4C32"/>
    <w:rsid w:val="00EC6994"/>
    <w:rsid w:val="00EE0EE1"/>
    <w:rsid w:val="00EE36D6"/>
    <w:rsid w:val="00EE39AB"/>
    <w:rsid w:val="00EE6246"/>
    <w:rsid w:val="00EE72CA"/>
    <w:rsid w:val="00EF0E1B"/>
    <w:rsid w:val="00EF3EC8"/>
    <w:rsid w:val="00F01AEB"/>
    <w:rsid w:val="00F021B5"/>
    <w:rsid w:val="00F049C5"/>
    <w:rsid w:val="00F10366"/>
    <w:rsid w:val="00F13087"/>
    <w:rsid w:val="00F174CF"/>
    <w:rsid w:val="00F17B24"/>
    <w:rsid w:val="00F26801"/>
    <w:rsid w:val="00F34D7A"/>
    <w:rsid w:val="00F41790"/>
    <w:rsid w:val="00F41A26"/>
    <w:rsid w:val="00F425CF"/>
    <w:rsid w:val="00F43098"/>
    <w:rsid w:val="00F4340E"/>
    <w:rsid w:val="00F456A5"/>
    <w:rsid w:val="00F460AB"/>
    <w:rsid w:val="00F50436"/>
    <w:rsid w:val="00F5241B"/>
    <w:rsid w:val="00F552B9"/>
    <w:rsid w:val="00F55B82"/>
    <w:rsid w:val="00F5637F"/>
    <w:rsid w:val="00F627DF"/>
    <w:rsid w:val="00F722A0"/>
    <w:rsid w:val="00F80F16"/>
    <w:rsid w:val="00F8391C"/>
    <w:rsid w:val="00F86E1B"/>
    <w:rsid w:val="00F879A7"/>
    <w:rsid w:val="00FA7C6A"/>
    <w:rsid w:val="00FB48A2"/>
    <w:rsid w:val="00FB680F"/>
    <w:rsid w:val="00FB73CC"/>
    <w:rsid w:val="00FC1529"/>
    <w:rsid w:val="00FC32CF"/>
    <w:rsid w:val="00FC483E"/>
    <w:rsid w:val="00FC4AC3"/>
    <w:rsid w:val="00FD3D83"/>
    <w:rsid w:val="00FD688B"/>
    <w:rsid w:val="00FE03C7"/>
    <w:rsid w:val="00FE6DA5"/>
    <w:rsid w:val="00FF1092"/>
    <w:rsid w:val="00FF537E"/>
    <w:rsid w:val="01A68FEC"/>
    <w:rsid w:val="01F82655"/>
    <w:rsid w:val="029CC965"/>
    <w:rsid w:val="03605F58"/>
    <w:rsid w:val="036CE384"/>
    <w:rsid w:val="037CCFF8"/>
    <w:rsid w:val="038286DF"/>
    <w:rsid w:val="052DF1C3"/>
    <w:rsid w:val="05A52796"/>
    <w:rsid w:val="06D85024"/>
    <w:rsid w:val="07AB7C86"/>
    <w:rsid w:val="07F68D76"/>
    <w:rsid w:val="08937E04"/>
    <w:rsid w:val="08C6B1A9"/>
    <w:rsid w:val="0975D899"/>
    <w:rsid w:val="0A791E16"/>
    <w:rsid w:val="0A960CCE"/>
    <w:rsid w:val="0EB0D05D"/>
    <w:rsid w:val="0FC56460"/>
    <w:rsid w:val="1082D4AA"/>
    <w:rsid w:val="108448ED"/>
    <w:rsid w:val="123A1D25"/>
    <w:rsid w:val="124E1CBD"/>
    <w:rsid w:val="1338A38E"/>
    <w:rsid w:val="134B2877"/>
    <w:rsid w:val="13A8A82E"/>
    <w:rsid w:val="159E739B"/>
    <w:rsid w:val="15B0740E"/>
    <w:rsid w:val="168D8BDB"/>
    <w:rsid w:val="170B9D67"/>
    <w:rsid w:val="18C719DD"/>
    <w:rsid w:val="18DBB12E"/>
    <w:rsid w:val="193A92C9"/>
    <w:rsid w:val="1AC3FEC8"/>
    <w:rsid w:val="1AF22BFC"/>
    <w:rsid w:val="1B8913A0"/>
    <w:rsid w:val="1C64ED06"/>
    <w:rsid w:val="1D11A391"/>
    <w:rsid w:val="1DBCA7C5"/>
    <w:rsid w:val="1DDEF54D"/>
    <w:rsid w:val="1E73CF92"/>
    <w:rsid w:val="20AF3A90"/>
    <w:rsid w:val="21BEC91E"/>
    <w:rsid w:val="226DAC68"/>
    <w:rsid w:val="2278F640"/>
    <w:rsid w:val="22ACD865"/>
    <w:rsid w:val="24022A5E"/>
    <w:rsid w:val="25ACAD5B"/>
    <w:rsid w:val="25BE6B2B"/>
    <w:rsid w:val="27B0FD98"/>
    <w:rsid w:val="28E3BC3F"/>
    <w:rsid w:val="2A61DEC0"/>
    <w:rsid w:val="2CD9161F"/>
    <w:rsid w:val="2D4199D6"/>
    <w:rsid w:val="2E7A1AFE"/>
    <w:rsid w:val="2E897296"/>
    <w:rsid w:val="30217650"/>
    <w:rsid w:val="30D1DBD7"/>
    <w:rsid w:val="3150ABB9"/>
    <w:rsid w:val="31D940C6"/>
    <w:rsid w:val="32000F65"/>
    <w:rsid w:val="33333104"/>
    <w:rsid w:val="34223E82"/>
    <w:rsid w:val="383D4547"/>
    <w:rsid w:val="38D789E2"/>
    <w:rsid w:val="3907C89F"/>
    <w:rsid w:val="39D21F37"/>
    <w:rsid w:val="39F0DAEC"/>
    <w:rsid w:val="3B13B486"/>
    <w:rsid w:val="3C105DA3"/>
    <w:rsid w:val="3D481A48"/>
    <w:rsid w:val="3F381A72"/>
    <w:rsid w:val="3FB95CE1"/>
    <w:rsid w:val="3FD515FF"/>
    <w:rsid w:val="41B044C4"/>
    <w:rsid w:val="4268F7D4"/>
    <w:rsid w:val="42D76B23"/>
    <w:rsid w:val="46C723DE"/>
    <w:rsid w:val="46DAE13A"/>
    <w:rsid w:val="4745C5BF"/>
    <w:rsid w:val="481BB0E4"/>
    <w:rsid w:val="489ED589"/>
    <w:rsid w:val="48E6DD2D"/>
    <w:rsid w:val="49442021"/>
    <w:rsid w:val="498E18AB"/>
    <w:rsid w:val="49BC112A"/>
    <w:rsid w:val="49CB9C49"/>
    <w:rsid w:val="4C15C36E"/>
    <w:rsid w:val="4C66D822"/>
    <w:rsid w:val="4CBA3842"/>
    <w:rsid w:val="4DB3FB11"/>
    <w:rsid w:val="4DB8E485"/>
    <w:rsid w:val="4DC3F1A9"/>
    <w:rsid w:val="50E4FC55"/>
    <w:rsid w:val="541691EA"/>
    <w:rsid w:val="54E75AC4"/>
    <w:rsid w:val="54FA0101"/>
    <w:rsid w:val="5537529E"/>
    <w:rsid w:val="55473063"/>
    <w:rsid w:val="562E7A7D"/>
    <w:rsid w:val="574212DA"/>
    <w:rsid w:val="5790137D"/>
    <w:rsid w:val="589E1454"/>
    <w:rsid w:val="59D7F542"/>
    <w:rsid w:val="5AF4F759"/>
    <w:rsid w:val="5B727762"/>
    <w:rsid w:val="5B827C05"/>
    <w:rsid w:val="5C1E7C10"/>
    <w:rsid w:val="5CC6F171"/>
    <w:rsid w:val="5CE998EA"/>
    <w:rsid w:val="5D75FAB5"/>
    <w:rsid w:val="5DA40A04"/>
    <w:rsid w:val="5EEDD1D2"/>
    <w:rsid w:val="5F2119E5"/>
    <w:rsid w:val="60128420"/>
    <w:rsid w:val="60D1B94D"/>
    <w:rsid w:val="610977BA"/>
    <w:rsid w:val="61414437"/>
    <w:rsid w:val="62D5385E"/>
    <w:rsid w:val="63C88BAF"/>
    <w:rsid w:val="64E0985D"/>
    <w:rsid w:val="6580CE62"/>
    <w:rsid w:val="6639BA4F"/>
    <w:rsid w:val="68694C4C"/>
    <w:rsid w:val="68B1395A"/>
    <w:rsid w:val="697DD886"/>
    <w:rsid w:val="699523FB"/>
    <w:rsid w:val="6A866743"/>
    <w:rsid w:val="6AC8EA9D"/>
    <w:rsid w:val="6B7E6EB7"/>
    <w:rsid w:val="6C041877"/>
    <w:rsid w:val="6C62610E"/>
    <w:rsid w:val="6E70B6D3"/>
    <w:rsid w:val="6EB38C7E"/>
    <w:rsid w:val="6F0DC594"/>
    <w:rsid w:val="6F3B665F"/>
    <w:rsid w:val="70B12A0A"/>
    <w:rsid w:val="724734F3"/>
    <w:rsid w:val="739EA275"/>
    <w:rsid w:val="75083859"/>
    <w:rsid w:val="765441C3"/>
    <w:rsid w:val="786B3499"/>
    <w:rsid w:val="7B7E9892"/>
    <w:rsid w:val="7E28A000"/>
    <w:rsid w:val="7ED9A48D"/>
    <w:rsid w:val="7EEB7E24"/>
    <w:rsid w:val="7F36342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85DE918"/>
  <w15:docId w15:val="{E69499FA-EE51-42B0-863F-3D0504E2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C63B8"/>
    <w:pPr>
      <w:tabs>
        <w:tab w:val="center" w:pos="4536"/>
        <w:tab w:val="right" w:pos="9072"/>
      </w:tabs>
      <w:spacing w:line="240" w:lineRule="auto"/>
    </w:pPr>
  </w:style>
  <w:style w:type="character" w:customStyle="1" w:styleId="KoptekstChar">
    <w:name w:val="Koptekst Char"/>
    <w:basedOn w:val="DefaultParagraphFont"/>
    <w:link w:val="Header"/>
    <w:uiPriority w:val="99"/>
    <w:rsid w:val="009C63B8"/>
    <w:rPr>
      <w:rFonts w:ascii="Verdana" w:hAnsi="Verdana"/>
      <w:color w:val="000000"/>
      <w:sz w:val="18"/>
      <w:szCs w:val="18"/>
    </w:rPr>
  </w:style>
  <w:style w:type="paragraph" w:styleId="Footer">
    <w:name w:val="footer"/>
    <w:basedOn w:val="Normal"/>
    <w:link w:val="VoettekstChar"/>
    <w:uiPriority w:val="99"/>
    <w:unhideWhenUsed/>
    <w:rsid w:val="009C63B8"/>
    <w:pPr>
      <w:tabs>
        <w:tab w:val="center" w:pos="4536"/>
        <w:tab w:val="right" w:pos="9072"/>
      </w:tabs>
      <w:spacing w:line="240" w:lineRule="auto"/>
    </w:pPr>
  </w:style>
  <w:style w:type="character" w:customStyle="1" w:styleId="VoettekstChar">
    <w:name w:val="Voettekst Char"/>
    <w:basedOn w:val="DefaultParagraphFont"/>
    <w:link w:val="Footer"/>
    <w:uiPriority w:val="99"/>
    <w:rsid w:val="009C63B8"/>
    <w:rPr>
      <w:rFonts w:ascii="Verdana" w:hAnsi="Verdana"/>
      <w:color w:val="000000"/>
      <w:sz w:val="18"/>
      <w:szCs w:val="18"/>
    </w:rPr>
  </w:style>
  <w:style w:type="paragraph" w:styleId="FootnoteText">
    <w:name w:val="footnote text"/>
    <w:basedOn w:val="Normal"/>
    <w:link w:val="VoetnoottekstChar"/>
    <w:uiPriority w:val="99"/>
    <w:semiHidden/>
    <w:unhideWhenUsed/>
    <w:rsid w:val="003A38A4"/>
    <w:pPr>
      <w:spacing w:line="240" w:lineRule="auto"/>
    </w:pPr>
    <w:rPr>
      <w:sz w:val="20"/>
      <w:szCs w:val="20"/>
    </w:rPr>
  </w:style>
  <w:style w:type="character" w:customStyle="1" w:styleId="VoetnoottekstChar">
    <w:name w:val="Voetnoottekst Char"/>
    <w:basedOn w:val="DefaultParagraphFont"/>
    <w:link w:val="FootnoteText"/>
    <w:uiPriority w:val="99"/>
    <w:semiHidden/>
    <w:rsid w:val="003A38A4"/>
    <w:rPr>
      <w:rFonts w:ascii="Verdana" w:hAnsi="Verdana"/>
      <w:color w:val="000000"/>
    </w:rPr>
  </w:style>
  <w:style w:type="character" w:styleId="FootnoteReference">
    <w:name w:val="footnote reference"/>
    <w:basedOn w:val="DefaultParagraphFont"/>
    <w:uiPriority w:val="99"/>
    <w:semiHidden/>
    <w:unhideWhenUsed/>
    <w:rsid w:val="003A38A4"/>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730691"/>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D563C8"/>
    <w:rPr>
      <w:rFonts w:ascii="Verdana" w:hAnsi="Verdana"/>
      <w:color w:val="000000"/>
      <w:sz w:val="18"/>
      <w:szCs w:val="18"/>
    </w:rPr>
  </w:style>
  <w:style w:type="character" w:styleId="CommentReference">
    <w:name w:val="annotation reference"/>
    <w:basedOn w:val="DefaultParagraphFont"/>
    <w:uiPriority w:val="99"/>
    <w:semiHidden/>
    <w:unhideWhenUsed/>
    <w:rsid w:val="00686982"/>
    <w:rPr>
      <w:sz w:val="16"/>
      <w:szCs w:val="16"/>
    </w:rPr>
  </w:style>
  <w:style w:type="paragraph" w:styleId="CommentText">
    <w:name w:val="annotation text"/>
    <w:basedOn w:val="Normal"/>
    <w:link w:val="TekstopmerkingChar"/>
    <w:uiPriority w:val="99"/>
    <w:unhideWhenUsed/>
    <w:rsid w:val="00686982"/>
    <w:pPr>
      <w:spacing w:line="240" w:lineRule="auto"/>
    </w:pPr>
    <w:rPr>
      <w:sz w:val="20"/>
      <w:szCs w:val="20"/>
    </w:rPr>
  </w:style>
  <w:style w:type="character" w:customStyle="1" w:styleId="TekstopmerkingChar">
    <w:name w:val="Tekst opmerking Char"/>
    <w:basedOn w:val="DefaultParagraphFont"/>
    <w:link w:val="CommentText"/>
    <w:uiPriority w:val="99"/>
    <w:rsid w:val="0068698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86982"/>
    <w:rPr>
      <w:b/>
      <w:bCs/>
    </w:rPr>
  </w:style>
  <w:style w:type="character" w:customStyle="1" w:styleId="OnderwerpvanopmerkingChar">
    <w:name w:val="Onderwerp van opmerking Char"/>
    <w:basedOn w:val="TekstopmerkingChar"/>
    <w:link w:val="CommentSubject"/>
    <w:uiPriority w:val="99"/>
    <w:semiHidden/>
    <w:rsid w:val="00686982"/>
    <w:rPr>
      <w:rFonts w:ascii="Verdana" w:hAnsi="Verdana"/>
      <w:b/>
      <w:bCs/>
      <w:color w:val="000000"/>
    </w:rPr>
  </w:style>
  <w:style w:type="paragraph" w:styleId="Revision">
    <w:name w:val="Revision"/>
    <w:hidden/>
    <w:uiPriority w:val="99"/>
    <w:semiHidden/>
    <w:rsid w:val="009D3AC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microsoft.com/office/2011/relationships/people" Target="people.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publicaties/2025/08/25/non-paper-strengthening-cloud-sovereignty-of-public-administration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1678</ap:Words>
  <ap:Characters>9235</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 Stand van zaken en aanpak casus Solvinity</vt:lpstr>
    </vt:vector>
  </ap:TitlesOfParts>
  <ap:LinksUpToDate>false</ap:LinksUpToDate>
  <ap:CharactersWithSpaces>10892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2026-02-10T10:59:00.0000000Z</dcterms:created>
  <dcterms:modified xsi:type="dcterms:W3CDTF">2026-02-10T10:59:00.0000000Z</dcterms:modified>
  <dc:creator/>
  <lastModifiedBy/>
  <dc:description>------------------------</dc:description>
  <dc:subject/>
  <keywords/>
  <version/>
  <category/>
</coreProperties>
</file>