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2026Z02963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februari 2026)</w:t>
        <w:br/>
      </w:r>
    </w:p>
    <w:p>
      <w:r>
        <w:t xml:space="preserve">Vragen van het lid Bushoff (GroenLinks-PvdA) aan de minister van Financiën over verkeerde taxaties door goudwisselkantoor</w:t>
      </w:r>
      <w:r>
        <w:br/>
      </w:r>
    </w:p>
    <w:p>
      <w:pPr>
        <w:pStyle w:val="ListParagraph"/>
        <w:numPr>
          <w:ilvl w:val="0"/>
          <w:numId w:val="100497150"/>
        </w:numPr>
        <w:ind w:left="360"/>
      </w:pPr>
      <w:r>
        <w:t xml:space="preserve">Bent u bekend met het bericht </w:t>
      </w:r>
      <w:r>
        <w:rPr>
          <w:i w:val="1"/>
          <w:iCs w:val="1"/>
        </w:rPr>
        <w:t xml:space="preserve">Consumentenprogramma Kassa: Goudwisselkantoor taxeert ver onder de waarde</w:t>
      </w:r>
      <w:r>
        <w:rPr/>
        <w:t xml:space="preserve"> van de NOS</w:t>
      </w:r>
      <w:r>
        <w:rPr>
          <w:i w:val="1"/>
          <w:iCs w:val="1"/>
        </w:rPr>
        <w:t xml:space="preserve">?</w:t>
      </w:r>
      <w:r>
        <w:rPr>
          <w:i w:val="1"/>
          <w:iCs w:val="1"/>
          <w:b w:val="1"/>
          <w:bCs w:val="1"/>
        </w:rPr>
        <w:t xml:space="preserve">[1]</w:t>
      </w:r>
      <w:r>
        <w:rPr>
          <w:i w:val="1"/>
          <w:iCs w:val="1"/>
        </w:rPr>
        <w:t xml:space="preserve"/>
      </w:r>
      <w:r>
        <w:rPr/>
        <w:t xml:space="preserve"/>
      </w:r>
      <w:r>
        <w:br/>
      </w:r>
    </w:p>
    <w:p>
      <w:pPr>
        <w:pStyle w:val="ListParagraph"/>
        <w:numPr>
          <w:ilvl w:val="0"/>
          <w:numId w:val="100497150"/>
        </w:numPr>
        <w:ind w:left="360"/>
      </w:pPr>
      <w:r>
        <w:t xml:space="preserve">Deelt u de mening dat het zeer onwenselijk is dat consumenten op deze wijze worden opgelicht?</w:t>
      </w:r>
      <w:r>
        <w:br/>
      </w:r>
    </w:p>
    <w:p>
      <w:pPr>
        <w:pStyle w:val="ListParagraph"/>
        <w:numPr>
          <w:ilvl w:val="0"/>
          <w:numId w:val="100497150"/>
        </w:numPr>
        <w:ind w:left="360"/>
      </w:pPr>
      <w:r>
        <w:t xml:space="preserve">In hoeverre bent u van mening dat er sprake is van een functionerende vrije markt wanneer de prijsvorming zo afhankelijk is van willekeur?</w:t>
      </w:r>
      <w:r>
        <w:br/>
      </w:r>
    </w:p>
    <w:p>
      <w:pPr>
        <w:pStyle w:val="ListParagraph"/>
        <w:numPr>
          <w:ilvl w:val="0"/>
          <w:numId w:val="100497150"/>
        </w:numPr>
        <w:ind w:left="360"/>
      </w:pPr>
      <w:r>
        <w:t xml:space="preserve">Deelt u de mening dat een eerlijke prijsvorming in deze markt in de weg wordt gezeten door een groot verschil in informatiepositie en dat regulering daartoe wenselijk is?</w:t>
      </w:r>
      <w:r>
        <w:br/>
      </w:r>
    </w:p>
    <w:p>
      <w:pPr>
        <w:pStyle w:val="ListParagraph"/>
        <w:numPr>
          <w:ilvl w:val="0"/>
          <w:numId w:val="100497150"/>
        </w:numPr>
        <w:ind w:left="360"/>
      </w:pPr>
      <w:r>
        <w:t xml:space="preserve">Waarom is de handel van goud in Nederland nog niet gereguleerd?</w:t>
      </w:r>
      <w:r>
        <w:br/>
      </w:r>
    </w:p>
    <w:p>
      <w:pPr>
        <w:pStyle w:val="ListParagraph"/>
        <w:numPr>
          <w:ilvl w:val="0"/>
          <w:numId w:val="100497150"/>
        </w:numPr>
        <w:ind w:left="360"/>
      </w:pPr>
      <w:r>
        <w:t xml:space="preserve">Wat is het verschil tussen de Nederlandse markt voor goudinkoop en de Franse, waar er wel sprake is van regulering door de overheid?</w:t>
      </w:r>
      <w:r>
        <w:br/>
      </w:r>
    </w:p>
    <w:p>
      <w:pPr>
        <w:pStyle w:val="ListParagraph"/>
        <w:numPr>
          <w:ilvl w:val="0"/>
          <w:numId w:val="100497150"/>
        </w:numPr>
        <w:ind w:left="360"/>
      </w:pPr>
      <w:r>
        <w:t xml:space="preserve">Wat is er nodig om de consumentenbescherming voor de markt voor goudinkoop, net zoals in Frankrijk en België, te verbeteren?</w:t>
      </w:r>
      <w:r>
        <w:br/>
      </w:r>
    </w:p>
    <w:p>
      <w:pPr>
        <w:pStyle w:val="ListParagraph"/>
        <w:numPr>
          <w:ilvl w:val="0"/>
          <w:numId w:val="100497150"/>
        </w:numPr>
        <w:ind w:left="360"/>
      </w:pPr>
      <w:r>
        <w:t xml:space="preserve">Welke stappen gaat u ondernemen om consumenten beter te beschermen tegen goudwisselbedrijven die oneerlijk handelen?</w:t>
      </w:r>
      <w:r>
        <w:br/>
      </w:r>
    </w:p>
    <w:p>
      <w:r>
        <w:t xml:space="preserve"> </w:t>
      </w:r>
      <w:r>
        <w:br/>
      </w:r>
    </w:p>
    <w:p>
      <w:r>
        <w:t xml:space="preserve">[1] NOS.nl, 24 oktober 2025, nos.nl/artikel/2587780-consumentenprogramma-kassa-goudwisselkantoor-taxeert-ver-onder-de-waarde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70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7040">
    <w:abstractNumId w:val="1004970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