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9" w:rsidP="00FB4D85" w:rsidRDefault="00241BB9" w14:paraId="26734FCB" w14:textId="5A52C76E"/>
    <w:p w:rsidR="00CD5856" w:rsidRDefault="00CD5856" w14:paraId="4D963401" w14:textId="77777777"/>
    <w:p w:rsidR="00CD5856" w:rsidRDefault="00CD5856" w14:paraId="1655EC9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79626213" w14:textId="77777777">
      <w:pPr>
        <w:pStyle w:val="Huisstijl-Aanhef"/>
      </w:pPr>
      <w:r>
        <w:t>Geachte voorzitter,</w:t>
      </w:r>
    </w:p>
    <w:p w:rsidR="0077069B" w:rsidP="0077069B" w:rsidRDefault="00000000" w14:paraId="4E597175" w14:textId="77777777">
      <w:r>
        <w:t xml:space="preserve">Het </w:t>
      </w:r>
      <w:r w:rsidR="00616D0A">
        <w:t>vervullen van een kinderwens</w:t>
      </w:r>
      <w:r>
        <w:t xml:space="preserve"> met gebruik van</w:t>
      </w:r>
      <w:r w:rsidR="00C16AA2">
        <w:t xml:space="preserve"> donorsperma staat volop in de politieke en maatschappelijke belangstelling. Deels is dat het gevolg van </w:t>
      </w:r>
      <w:r w:rsidR="0081619E">
        <w:t>berichtgeving over</w:t>
      </w:r>
      <w:r w:rsidR="00DE352C">
        <w:t xml:space="preserve"> </w:t>
      </w:r>
      <w:r w:rsidR="00C16AA2">
        <w:t xml:space="preserve">misstanden uit het verleden, maar </w:t>
      </w:r>
      <w:r w:rsidR="002C31F0">
        <w:t>ook</w:t>
      </w:r>
      <w:r w:rsidR="0081619E">
        <w:t xml:space="preserve"> </w:t>
      </w:r>
      <w:r w:rsidR="008D58E8">
        <w:t>recente</w:t>
      </w:r>
      <w:r w:rsidR="003B43E1">
        <w:t xml:space="preserve"> ontwikkelingen rond donorconceptie</w:t>
      </w:r>
      <w:r w:rsidR="002C31F0">
        <w:t xml:space="preserve"> </w:t>
      </w:r>
      <w:r>
        <w:t xml:space="preserve">met behulp van buitenlands donorsperma </w:t>
      </w:r>
      <w:r w:rsidR="002C31F0">
        <w:t>roepen vragen op</w:t>
      </w:r>
      <w:r w:rsidR="0081619E">
        <w:t xml:space="preserve">. </w:t>
      </w:r>
      <w:r w:rsidR="00C16AA2">
        <w:t>Dit geldt in het bijzonder voor ‘massadonatie’</w:t>
      </w:r>
      <w:r w:rsidR="003B43E1">
        <w:t xml:space="preserve">: het </w:t>
      </w:r>
      <w:r w:rsidR="00DE352C">
        <w:t>met</w:t>
      </w:r>
      <w:r w:rsidR="00982139">
        <w:t xml:space="preserve"> het sperma van</w:t>
      </w:r>
      <w:r w:rsidR="00DE352C">
        <w:t xml:space="preserve"> </w:t>
      </w:r>
      <w:r w:rsidR="00C16AA2">
        <w:t xml:space="preserve">één donor </w:t>
      </w:r>
      <w:r w:rsidR="003B43E1">
        <w:t xml:space="preserve">verwekken van </w:t>
      </w:r>
      <w:r w:rsidR="00C16AA2">
        <w:t>grote aantallen</w:t>
      </w:r>
      <w:r w:rsidR="008D58E8">
        <w:t xml:space="preserve"> kinderen</w:t>
      </w:r>
      <w:r>
        <w:t xml:space="preserve">. Deze kinderen moeten nu leren leven met de kennis dat ze </w:t>
      </w:r>
      <w:r w:rsidR="00982139">
        <w:t xml:space="preserve">een groot aantal – soms wel </w:t>
      </w:r>
      <w:r>
        <w:t xml:space="preserve">honderden </w:t>
      </w:r>
      <w:r w:rsidR="00982139">
        <w:t xml:space="preserve">– </w:t>
      </w:r>
      <w:r>
        <w:t>halfzussen en halfbroers hebben. Het afstammen van ‘</w:t>
      </w:r>
      <w:r w:rsidR="00F079A1">
        <w:t>massadonoren’</w:t>
      </w:r>
      <w:r>
        <w:rPr>
          <w:rStyle w:val="Voetnootmarkering"/>
        </w:rPr>
        <w:footnoteReference w:id="1"/>
      </w:r>
      <w:r w:rsidR="00F079A1">
        <w:t xml:space="preserve"> </w:t>
      </w:r>
      <w:r>
        <w:t xml:space="preserve">en het onderdeel zijn van een groot verwantschapsnetwerk wordt door hen </w:t>
      </w:r>
      <w:r w:rsidR="004F22B1">
        <w:t xml:space="preserve">soms </w:t>
      </w:r>
      <w:r>
        <w:t>ervaren als een pijnlijke last. Om deze en andere redenen klinkt vanuit medisch-ethisch, juridisch en politiek perspectief een steeds luidere roep om praktijken rond donorconceptie te hervormen en beter te reguleren</w:t>
      </w:r>
      <w:r w:rsidR="007D7A29">
        <w:t>.</w:t>
      </w:r>
      <w:r>
        <w:rPr>
          <w:rStyle w:val="Voetnootmarkering"/>
        </w:rPr>
        <w:footnoteReference w:id="2"/>
      </w:r>
    </w:p>
    <w:p w:rsidR="00F24DF0" w:rsidP="00F24DF0" w:rsidRDefault="00F24DF0" w14:paraId="58626766" w14:textId="77777777"/>
    <w:p w:rsidR="008501C3" w:rsidP="00F24DF0" w:rsidRDefault="00000000" w14:paraId="5225A259" w14:textId="30A65C03">
      <w:r>
        <w:t xml:space="preserve">In deze brief </w:t>
      </w:r>
      <w:r w:rsidR="00F079A1">
        <w:t>ga ik n</w:t>
      </w:r>
      <w:r>
        <w:t xml:space="preserve">ader </w:t>
      </w:r>
      <w:r w:rsidR="00F079A1">
        <w:t>in</w:t>
      </w:r>
      <w:r>
        <w:t xml:space="preserve"> op</w:t>
      </w:r>
      <w:r w:rsidR="00903153">
        <w:t xml:space="preserve"> het begrip ‘massadonatie’ </w:t>
      </w:r>
      <w:r w:rsidR="0077069B">
        <w:t xml:space="preserve">en </w:t>
      </w:r>
      <w:r w:rsidR="00F24DF0">
        <w:t xml:space="preserve">mogelijke </w:t>
      </w:r>
      <w:r w:rsidR="002C31F0">
        <w:t>(</w:t>
      </w:r>
      <w:r>
        <w:t>juridische</w:t>
      </w:r>
      <w:r w:rsidR="002C31F0">
        <w:t>)</w:t>
      </w:r>
      <w:r w:rsidR="00F24DF0">
        <w:t xml:space="preserve"> maatregelen die de overheid </w:t>
      </w:r>
      <w:r w:rsidR="00982139">
        <w:t xml:space="preserve">hiertegen </w:t>
      </w:r>
      <w:r w:rsidR="00FB4D85">
        <w:t>zou kunnen</w:t>
      </w:r>
      <w:r w:rsidR="00F24DF0">
        <w:t xml:space="preserve"> treffen</w:t>
      </w:r>
      <w:r w:rsidR="002C31F0">
        <w:t xml:space="preserve">, in aanvulling op de rol en verantwoordelijkheid van </w:t>
      </w:r>
      <w:r w:rsidR="00F24DF0">
        <w:t>beroepsgroepen, klinieken, spermabanken en wensouders</w:t>
      </w:r>
      <w:r>
        <w:t>.</w:t>
      </w:r>
      <w:r w:rsidR="00F24DF0">
        <w:t xml:space="preserve"> </w:t>
      </w:r>
      <w:r w:rsidR="00B233A1">
        <w:t xml:space="preserve">Met de verkenning van mogelijke maatregelen in deze brief </w:t>
      </w:r>
      <w:r w:rsidR="0023136D">
        <w:t>geef</w:t>
      </w:r>
      <w:r w:rsidR="00B233A1">
        <w:t xml:space="preserve"> ik opvolging aan de aangenomen motie-Van Dijk</w:t>
      </w:r>
      <w:r w:rsidR="007D7A29">
        <w:t>.</w:t>
      </w:r>
      <w:r>
        <w:rPr>
          <w:rStyle w:val="Voetnootmarkering"/>
        </w:rPr>
        <w:footnoteReference w:id="3"/>
      </w:r>
      <w:r w:rsidR="00B233A1">
        <w:t xml:space="preserve"> </w:t>
      </w:r>
      <w:r>
        <w:t xml:space="preserve">Hieronder </w:t>
      </w:r>
      <w:r w:rsidR="00E37EC4">
        <w:t>wordt</w:t>
      </w:r>
      <w:r>
        <w:t xml:space="preserve"> eerst de achtergrond </w:t>
      </w:r>
      <w:r w:rsidR="00E37EC4">
        <w:t xml:space="preserve">geschetst </w:t>
      </w:r>
      <w:r>
        <w:t xml:space="preserve">waartegen dit alles zich afspeelt: de kinderwens en het tekort aan Nederlandse donoren. </w:t>
      </w:r>
    </w:p>
    <w:p w:rsidRPr="00D75945" w:rsidR="00D75945" w:rsidP="00F24DF0" w:rsidRDefault="00000000" w14:paraId="7F04F2D2" w14:textId="77777777">
      <w:pPr>
        <w:rPr>
          <w:b/>
          <w:bCs/>
        </w:rPr>
      </w:pPr>
      <w:r w:rsidRPr="00D75945">
        <w:rPr>
          <w:b/>
          <w:bCs/>
        </w:rPr>
        <w:lastRenderedPageBreak/>
        <w:t xml:space="preserve">Wensouders </w:t>
      </w:r>
      <w:r w:rsidR="00E37EC4">
        <w:rPr>
          <w:b/>
          <w:bCs/>
        </w:rPr>
        <w:t>en het tekort aan donoren</w:t>
      </w:r>
    </w:p>
    <w:p w:rsidR="001B091F" w:rsidP="001B091F" w:rsidRDefault="00000000" w14:paraId="7BE4706D" w14:textId="1BA8804B">
      <w:r>
        <w:t>Het gebruik van buitenlands donorsperma kan gezien worden als een probleem dat tegelijkertijd een oplossing is voor een ander probleem: het tekort aan donoren</w:t>
      </w:r>
      <w:r w:rsidR="00FF31DD">
        <w:t xml:space="preserve"> in Nederland</w:t>
      </w:r>
      <w:r>
        <w:t xml:space="preserve">. </w:t>
      </w:r>
      <w:r w:rsidR="00D32F3C">
        <w:t>De wens of keuze</w:t>
      </w:r>
      <w:r>
        <w:t xml:space="preserve"> van wensouders om (buitenlands) donorsperma te gebruiken is zeer invoelbaar. Soms is het de enige </w:t>
      </w:r>
      <w:r w:rsidR="00D32F3C">
        <w:t xml:space="preserve">mogelijkheid </w:t>
      </w:r>
      <w:r>
        <w:t xml:space="preserve">om een diepgevoelde kinderwens te vervullen. Het recht van </w:t>
      </w:r>
      <w:r w:rsidR="00FB4D85">
        <w:t>(</w:t>
      </w:r>
      <w:r>
        <w:t>wens</w:t>
      </w:r>
      <w:r w:rsidR="00FB4D85">
        <w:t>)</w:t>
      </w:r>
      <w:r>
        <w:t>ouders</w:t>
      </w:r>
      <w:r w:rsidRPr="0018389A">
        <w:t xml:space="preserve"> op reproductieve vrijheid en het recht op privé- en familieleven (artikel 8 EVRM)</w:t>
      </w:r>
      <w:r>
        <w:t xml:space="preserve"> </w:t>
      </w:r>
      <w:r w:rsidR="00982139">
        <w:t xml:space="preserve">dienen </w:t>
      </w:r>
      <w:r>
        <w:t xml:space="preserve">zoveel mogelijk te worden </w:t>
      </w:r>
      <w:r w:rsidR="00FF31DD">
        <w:t>g</w:t>
      </w:r>
      <w:r w:rsidRPr="00FF31DD" w:rsidR="00FF31DD">
        <w:t>eëerbiedigd</w:t>
      </w:r>
      <w:r w:rsidR="00FB4D85">
        <w:t>. D</w:t>
      </w:r>
      <w:r w:rsidR="00B427BA">
        <w:t xml:space="preserve">it mag </w:t>
      </w:r>
      <w:r>
        <w:t>niet ten koste gaa</w:t>
      </w:r>
      <w:r w:rsidR="00B427BA">
        <w:t>n</w:t>
      </w:r>
      <w:r>
        <w:t xml:space="preserve"> van de belangen </w:t>
      </w:r>
      <w:r w:rsidR="00FB4D85">
        <w:t xml:space="preserve">en rechten </w:t>
      </w:r>
      <w:r>
        <w:t xml:space="preserve">van het kind. </w:t>
      </w:r>
    </w:p>
    <w:p w:rsidR="001B091F" w:rsidP="00903153" w:rsidRDefault="001B091F" w14:paraId="05B9F578" w14:textId="77777777"/>
    <w:p w:rsidR="00903153" w:rsidP="00903153" w:rsidRDefault="00000000" w14:paraId="4A0AB76A" w14:textId="2040AEEB">
      <w:r>
        <w:t xml:space="preserve">Vanwege een gebrek aan Nederlandse spermadonoren hanteren </w:t>
      </w:r>
      <w:r w:rsidR="00982139">
        <w:t xml:space="preserve">Nederlandse </w:t>
      </w:r>
      <w:r>
        <w:t xml:space="preserve">fertiliteitsklinieken wachttijden voor wensouders van </w:t>
      </w:r>
      <w:r w:rsidR="002D3ADC">
        <w:t xml:space="preserve">soms langer dan </w:t>
      </w:r>
      <w:r w:rsidR="004F22B1">
        <w:t>twee</w:t>
      </w:r>
      <w:r>
        <w:t xml:space="preserve"> jaar. Die tijd hebben hulpzoekende </w:t>
      </w:r>
      <w:r w:rsidR="00D32F3C">
        <w:t xml:space="preserve">wensouders </w:t>
      </w:r>
      <w:r>
        <w:t xml:space="preserve">vaak niet meer, vanwege </w:t>
      </w:r>
      <w:r w:rsidR="00FB4D85">
        <w:t xml:space="preserve">door leeftijd </w:t>
      </w:r>
      <w:r>
        <w:t xml:space="preserve">afnemende vruchtbaarheid </w:t>
      </w:r>
      <w:r w:rsidR="00D32F3C">
        <w:t>bij (met name) de vrouw</w:t>
      </w:r>
      <w:r>
        <w:t>. Zij komen dan voor de keu</w:t>
      </w:r>
      <w:r w:rsidR="003B7573">
        <w:t>ze</w:t>
      </w:r>
      <w:r>
        <w:t xml:space="preserve"> te staan om zich neer te leggen bij het grote verdriet dat achter </w:t>
      </w:r>
      <w:r w:rsidR="002D3ADC">
        <w:t>een</w:t>
      </w:r>
      <w:r>
        <w:t xml:space="preserve"> onvervulde kinderwens kan schuilgaan, of om via andere routes </w:t>
      </w:r>
      <w:r w:rsidR="001B229B">
        <w:t>(</w:t>
      </w:r>
      <w:r w:rsidR="00E005ED">
        <w:t>zoals</w:t>
      </w:r>
      <w:r w:rsidR="001B229B">
        <w:t xml:space="preserve"> internetfora)</w:t>
      </w:r>
      <w:r w:rsidR="00F079A1">
        <w:t xml:space="preserve"> </w:t>
      </w:r>
      <w:r>
        <w:t xml:space="preserve">naar een </w:t>
      </w:r>
      <w:r w:rsidR="00982139">
        <w:t>sperma</w:t>
      </w:r>
      <w:r>
        <w:t xml:space="preserve">donor te zoeken. </w:t>
      </w:r>
      <w:r w:rsidR="00340CF4">
        <w:t xml:space="preserve">Daarnaast bieden buitenlandse spermabanken </w:t>
      </w:r>
      <w:r w:rsidR="00040F63">
        <w:t>andere voordelen</w:t>
      </w:r>
      <w:r w:rsidR="00340CF4">
        <w:t xml:space="preserve">: ze </w:t>
      </w:r>
      <w:r w:rsidR="00E005ED">
        <w:t>bieden</w:t>
      </w:r>
      <w:r w:rsidR="00340CF4">
        <w:t xml:space="preserve"> </w:t>
      </w:r>
      <w:r w:rsidR="00040F63">
        <w:t xml:space="preserve">uitgebreide persoonlijke informatie over donoren en </w:t>
      </w:r>
      <w:r w:rsidR="00340CF4">
        <w:t>een</w:t>
      </w:r>
      <w:r w:rsidRPr="00340CF4" w:rsidR="00340CF4">
        <w:t xml:space="preserve"> grotere keuzevrijheid</w:t>
      </w:r>
      <w:r w:rsidR="00D32F3C">
        <w:t xml:space="preserve"> van wensouders</w:t>
      </w:r>
      <w:r w:rsidRPr="00340CF4" w:rsidR="00340CF4">
        <w:t xml:space="preserve"> </w:t>
      </w:r>
      <w:r w:rsidR="00340CF4">
        <w:t xml:space="preserve">bij de selectie van </w:t>
      </w:r>
      <w:r w:rsidR="00040F63">
        <w:t>een donor.</w:t>
      </w:r>
      <w:r w:rsidRPr="00340CF4" w:rsidR="00340CF4">
        <w:t xml:space="preserve"> </w:t>
      </w:r>
      <w:r w:rsidR="00340CF4">
        <w:t>I</w:t>
      </w:r>
      <w:r>
        <w:t xml:space="preserve">n dit licht bezien is het begrijpelijk dat met de komst van internationaal opererende </w:t>
      </w:r>
      <w:r w:rsidR="00FB4D85">
        <w:t>(</w:t>
      </w:r>
      <w:r w:rsidR="00997EFA">
        <w:t>commerciële</w:t>
      </w:r>
      <w:r w:rsidR="00FB4D85">
        <w:t>)</w:t>
      </w:r>
      <w:r w:rsidR="00997EFA">
        <w:t xml:space="preserve"> </w:t>
      </w:r>
      <w:r>
        <w:t xml:space="preserve">spermabanken het gebruik van donorsperma uit het buitenland sterk is toegenomen. In 2004 werd er in 21 van de 319 behandelingen met donorsperma gebruik gemaakt van een buitenlandse donor. </w:t>
      </w:r>
      <w:r w:rsidR="00982139">
        <w:t>In 2024</w:t>
      </w:r>
      <w:r>
        <w:t xml:space="preserve"> ging het om 1</w:t>
      </w:r>
      <w:r w:rsidR="00982139">
        <w:t>.</w:t>
      </w:r>
      <w:r>
        <w:t>120 buitenlandse donoren op een totaal van 1</w:t>
      </w:r>
      <w:r w:rsidR="00982139">
        <w:t>.</w:t>
      </w:r>
      <w:r>
        <w:t xml:space="preserve">712 behandelingen. </w:t>
      </w:r>
      <w:r w:rsidR="00997EFA">
        <w:t>Het</w:t>
      </w:r>
      <w:r>
        <w:t xml:space="preserve"> aandeel behandelingen met buitenlands donorsperma </w:t>
      </w:r>
      <w:r w:rsidR="00997EFA">
        <w:t xml:space="preserve">ligt </w:t>
      </w:r>
      <w:r w:rsidR="002D3ADC">
        <w:t xml:space="preserve">momenteel </w:t>
      </w:r>
      <w:r>
        <w:t>op ongeveer 65 procent.</w:t>
      </w:r>
    </w:p>
    <w:p w:rsidR="008D2704" w:rsidP="00903153" w:rsidRDefault="008D2704" w14:paraId="182B278A" w14:textId="77777777"/>
    <w:p w:rsidRPr="00E37EC4" w:rsidR="008D2704" w:rsidP="008D2704" w:rsidRDefault="00000000" w14:paraId="4A989E4B" w14:textId="77777777">
      <w:pPr>
        <w:rPr>
          <w:b/>
          <w:bCs/>
        </w:rPr>
      </w:pPr>
      <w:r>
        <w:rPr>
          <w:b/>
          <w:bCs/>
        </w:rPr>
        <w:t>Nadelen van g</w:t>
      </w:r>
      <w:r w:rsidRPr="00E37EC4">
        <w:rPr>
          <w:b/>
          <w:bCs/>
        </w:rPr>
        <w:t xml:space="preserve">ebruik van buitenlands donorsperma </w:t>
      </w:r>
    </w:p>
    <w:p w:rsidR="002E1A1C" w:rsidP="008D2704" w:rsidRDefault="00000000" w14:paraId="5BFD6FD2" w14:textId="057F0BFA">
      <w:r>
        <w:t xml:space="preserve">Sinds de inwerkingtreding van de wijziging van de </w:t>
      </w:r>
      <w:r w:rsidRPr="007B4EF9">
        <w:t>Wet donorgegevens kunstmatige bevruchting </w:t>
      </w:r>
      <w:r>
        <w:t>op 1 april 2025 (hierna: vernieuwde Wdkb)</w:t>
      </w:r>
      <w:r>
        <w:rPr>
          <w:rStyle w:val="Voetnootmarkering"/>
        </w:rPr>
        <w:footnoteReference w:id="4"/>
      </w:r>
      <w:r>
        <w:t xml:space="preserve"> </w:t>
      </w:r>
      <w:r w:rsidR="00982139">
        <w:t xml:space="preserve">is er </w:t>
      </w:r>
      <w:r w:rsidR="00FE3CB6">
        <w:t xml:space="preserve">bij een behandeling in een fertiliteitskliniek </w:t>
      </w:r>
      <w:r w:rsidR="00982139">
        <w:t>in principe alleen nog risico op massadonatie als er gebruik gemaakt wordt van buitenlands donorsperma. V</w:t>
      </w:r>
      <w:r>
        <w:t xml:space="preserve">oor het gebruik van donorsperma </w:t>
      </w:r>
      <w:r w:rsidR="009965E8">
        <w:t xml:space="preserve">door klinieken </w:t>
      </w:r>
      <w:r>
        <w:t xml:space="preserve">binnen Nederland </w:t>
      </w:r>
      <w:r w:rsidR="00982139">
        <w:t xml:space="preserve">geldt </w:t>
      </w:r>
      <w:r>
        <w:t xml:space="preserve">een </w:t>
      </w:r>
      <w:r w:rsidR="00E43212">
        <w:t>limiet</w:t>
      </w:r>
      <w:r>
        <w:t xml:space="preserve"> van 12 </w:t>
      </w:r>
      <w:r w:rsidR="004F22B1">
        <w:t>vrouwen</w:t>
      </w:r>
      <w:r>
        <w:t xml:space="preserve"> per donor. Hoewel veel andere landen ook een limiet hanteren</w:t>
      </w:r>
      <w:r w:rsidR="001327A8">
        <w:t>, bijvoorbeeld</w:t>
      </w:r>
      <w:r>
        <w:t xml:space="preserve"> voor het aantal nakomelingen van één donor binnen dat land, kan het </w:t>
      </w:r>
      <w:r w:rsidRPr="009123ED">
        <w:rPr>
          <w:i/>
          <w:iCs/>
        </w:rPr>
        <w:t xml:space="preserve">totaal aantal </w:t>
      </w:r>
      <w:r w:rsidRPr="009123ED">
        <w:t>nakomelingen</w:t>
      </w:r>
      <w:r>
        <w:t xml:space="preserve"> van die donor flink oplopen als zijn sperma in meerdere landen wordt gebruikt. De (veelal Deense) internationa</w:t>
      </w:r>
      <w:r w:rsidR="00982139">
        <w:t>al opererende</w:t>
      </w:r>
      <w:r>
        <w:t xml:space="preserve"> spermabanken zoals ESB, Cryos of Born leveren sperma van een donor vaak aan meerdere klinieken in Europa of zelfs wereldwijd. Born en ESB zeggen een wereldwijde limiet te hanteren van 75 gezinnen</w:t>
      </w:r>
      <w:r w:rsidR="00982139">
        <w:t xml:space="preserve"> per donor</w:t>
      </w:r>
      <w:r>
        <w:t xml:space="preserve">, Cryos hanteert geen limiet. </w:t>
      </w:r>
      <w:r w:rsidR="00774C91">
        <w:t xml:space="preserve">Behandeling met donorsperma dat in meerdere landen wordt gebruikt </w:t>
      </w:r>
      <w:r w:rsidR="00731975">
        <w:t>is</w:t>
      </w:r>
      <w:r w:rsidR="00774C91">
        <w:t xml:space="preserve"> </w:t>
      </w:r>
      <w:r>
        <w:t>de voornaamste reden dat ‘</w:t>
      </w:r>
      <w:r w:rsidR="00F079A1">
        <w:t xml:space="preserve">massadonatie’ </w:t>
      </w:r>
      <w:r>
        <w:t>nog steeds mogelijk is, ondanks de vernieuwde Wdkb en de nationale limiet van twaalf</w:t>
      </w:r>
      <w:r w:rsidR="001327A8">
        <w:t xml:space="preserve"> vrouwen per donor</w:t>
      </w:r>
      <w:r>
        <w:t>.</w:t>
      </w:r>
      <w:r w:rsidR="00774C91">
        <w:t xml:space="preserve"> </w:t>
      </w:r>
      <w:r>
        <w:t>Wensouders worden over deze en andere aspecten geïnformeerd via de websites van het Landelijk Informatiepunt Donorconcept</w:t>
      </w:r>
      <w:r w:rsidR="00D32F3C">
        <w:t>ie</w:t>
      </w:r>
      <w:r>
        <w:t xml:space="preserve"> (LIDC) en Fiom</w:t>
      </w:r>
      <w:r w:rsidR="001B229B">
        <w:t>, gefinancierd met overheidssubsidie</w:t>
      </w:r>
      <w:r>
        <w:t>.</w:t>
      </w:r>
    </w:p>
    <w:p w:rsidR="002E1A1C" w:rsidP="008D2704" w:rsidRDefault="002E1A1C" w14:paraId="24B7BD8F" w14:textId="77777777"/>
    <w:p w:rsidR="00FB4D85" w:rsidP="008D2704" w:rsidRDefault="00FB4D85" w14:paraId="678E4EF8" w14:textId="77777777"/>
    <w:p w:rsidR="00FB4D85" w:rsidP="008D2704" w:rsidRDefault="00FB4D85" w14:paraId="75A1B39F" w14:textId="77777777"/>
    <w:p w:rsidR="008D2704" w:rsidP="008D2704" w:rsidRDefault="00000000" w14:paraId="37EFCA80" w14:textId="77777777">
      <w:r>
        <w:t>Massadonatie en het gebruik van buitenlands donorsperma kan verschillende negatieve gevolgen hebben:</w:t>
      </w:r>
      <w:r w:rsidR="0023136D">
        <w:t xml:space="preserve"> </w:t>
      </w:r>
    </w:p>
    <w:p w:rsidR="008D2704" w:rsidP="008D2704" w:rsidRDefault="008D2704" w14:paraId="05386925" w14:textId="77777777"/>
    <w:p w:rsidR="008D2704" w:rsidP="008D2704" w:rsidRDefault="00000000" w14:paraId="60265F58" w14:textId="77777777">
      <w:pPr>
        <w:pStyle w:val="Lijstalinea"/>
        <w:numPr>
          <w:ilvl w:val="0"/>
          <w:numId w:val="2"/>
        </w:numPr>
      </w:pPr>
      <w:r>
        <w:rPr>
          <w:u w:val="single"/>
        </w:rPr>
        <w:t>Uitdagingen in het</w:t>
      </w:r>
      <w:r w:rsidRPr="00395550">
        <w:rPr>
          <w:u w:val="single"/>
        </w:rPr>
        <w:t xml:space="preserve"> contact met </w:t>
      </w:r>
      <w:r>
        <w:rPr>
          <w:u w:val="single"/>
        </w:rPr>
        <w:t>donoren</w:t>
      </w:r>
      <w:r w:rsidR="00CB1CA7">
        <w:t>:</w:t>
      </w:r>
      <w:r>
        <w:t xml:space="preserve"> </w:t>
      </w:r>
      <w:r w:rsidR="00731975">
        <w:t>H</w:t>
      </w:r>
      <w:r w:rsidRPr="004F0962" w:rsidR="00731975">
        <w:t>oewel in de</w:t>
      </w:r>
      <w:r w:rsidR="00731975">
        <w:t xml:space="preserve"> Wdkb </w:t>
      </w:r>
      <w:r w:rsidRPr="004F0962" w:rsidR="00731975">
        <w:t>het recht op afstammingsgegevens is vastgelegd, bestaat er geen wettelijk recht op contact tussen donor en donorkind.</w:t>
      </w:r>
      <w:r w:rsidR="00731975">
        <w:t xml:space="preserve"> De praktijk leert dat veel donorkinderen daar wel </w:t>
      </w:r>
      <w:r w:rsidR="00D32F3C">
        <w:t xml:space="preserve">(een sterke) </w:t>
      </w:r>
      <w:r w:rsidR="00731975">
        <w:t xml:space="preserve">behoefte aan hebben. </w:t>
      </w:r>
      <w:r>
        <w:t xml:space="preserve">Fiom begeleidt donorkinderen en hun ouders bij afstammingsvragen, inclusief het vinden van een donor via de Fiom KID-DNA databank en het </w:t>
      </w:r>
      <w:r w:rsidR="00D32F3C">
        <w:t xml:space="preserve">voorbereiden en </w:t>
      </w:r>
      <w:r>
        <w:t>begeleiden van een eventuele ontmoeting. Als het gaat om een buitenlandse donor is er</w:t>
      </w:r>
      <w:r w:rsidR="00731975">
        <w:t xml:space="preserve"> echter</w:t>
      </w:r>
      <w:r>
        <w:t xml:space="preserve"> geen </w:t>
      </w:r>
      <w:r w:rsidR="00731975">
        <w:t xml:space="preserve">betrouwbare </w:t>
      </w:r>
      <w:r>
        <w:t xml:space="preserve">manier om </w:t>
      </w:r>
      <w:r w:rsidR="00FA2533">
        <w:t xml:space="preserve">de van de donor bekende contactgegevens op actualiteit te verifiëren, waardoor </w:t>
      </w:r>
      <w:r w:rsidR="00E005ED">
        <w:t xml:space="preserve">het </w:t>
      </w:r>
      <w:r w:rsidR="00797ED4">
        <w:t xml:space="preserve">in het geval van verouderde gegevens </w:t>
      </w:r>
      <w:r w:rsidR="00FA2533">
        <w:t xml:space="preserve">lastig of onmogelijk kan zijn om </w:t>
      </w:r>
      <w:r>
        <w:t>met hem in contact te komen</w:t>
      </w:r>
      <w:r w:rsidR="00E005ED">
        <w:t xml:space="preserve">. </w:t>
      </w:r>
      <w:r w:rsidRPr="00040450">
        <w:t>Als het wel lukt om contact te krijgen</w:t>
      </w:r>
      <w:r w:rsidR="00502221">
        <w:t>,</w:t>
      </w:r>
      <w:r w:rsidRPr="00040450">
        <w:t xml:space="preserve"> is er vaak sprake van een taal</w:t>
      </w:r>
      <w:r w:rsidR="00E005ED">
        <w:t>-</w:t>
      </w:r>
      <w:r w:rsidRPr="00040450">
        <w:t xml:space="preserve"> en cultuurbarrière, omdat de</w:t>
      </w:r>
      <w:r>
        <w:t xml:space="preserve"> donor uit het buitenland</w:t>
      </w:r>
      <w:r w:rsidRPr="00040450">
        <w:t xml:space="preserve"> doorgaans geen Nederlands spreekt. </w:t>
      </w:r>
      <w:r w:rsidR="00D32F3C">
        <w:t xml:space="preserve">Daarnaast neemt de kans op daadwerkelijk contact </w:t>
      </w:r>
      <w:r w:rsidR="00E005ED">
        <w:t xml:space="preserve">of een ontmoeting </w:t>
      </w:r>
      <w:r w:rsidR="00D32F3C">
        <w:t>af als de donor heel veel nakomelingen heeft. Ook voor de donor geldt immers dat het ruimte maken voor contact</w:t>
      </w:r>
      <w:r w:rsidR="00E005ED">
        <w:t xml:space="preserve"> of een ontmoeting</w:t>
      </w:r>
      <w:r w:rsidR="00D32F3C">
        <w:t xml:space="preserve"> tijd en energie vergt. </w:t>
      </w:r>
    </w:p>
    <w:p w:rsidR="00743763" w:rsidP="008D2704" w:rsidRDefault="00000000" w14:paraId="3B24A7EF" w14:textId="77777777">
      <w:pPr>
        <w:pStyle w:val="Lijstalinea"/>
        <w:numPr>
          <w:ilvl w:val="0"/>
          <w:numId w:val="2"/>
        </w:numPr>
      </w:pPr>
      <w:r>
        <w:rPr>
          <w:u w:val="single"/>
        </w:rPr>
        <w:t>S</w:t>
      </w:r>
      <w:r w:rsidRPr="00E0636F">
        <w:rPr>
          <w:u w:val="single"/>
        </w:rPr>
        <w:t>ociaalpsychologisch</w:t>
      </w:r>
      <w:r>
        <w:rPr>
          <w:u w:val="single"/>
        </w:rPr>
        <w:t>e</w:t>
      </w:r>
      <w:r w:rsidRPr="00E0636F">
        <w:rPr>
          <w:u w:val="single"/>
        </w:rPr>
        <w:t xml:space="preserve"> </w:t>
      </w:r>
      <w:r>
        <w:rPr>
          <w:u w:val="single"/>
        </w:rPr>
        <w:t>belasting van g</w:t>
      </w:r>
      <w:r w:rsidRPr="00E0636F">
        <w:rPr>
          <w:u w:val="single"/>
        </w:rPr>
        <w:t>rote verwantschapsnetwerken</w:t>
      </w:r>
      <w:r w:rsidR="00C65236">
        <w:t>:</w:t>
      </w:r>
      <w:r>
        <w:t xml:space="preserve"> </w:t>
      </w:r>
      <w:r w:rsidR="00FF31DD">
        <w:t>Uit sociaalwetenschappelijk onderzoek</w:t>
      </w:r>
      <w:r>
        <w:rPr>
          <w:rStyle w:val="Voetnootmarkering"/>
        </w:rPr>
        <w:footnoteReference w:id="5"/>
      </w:r>
      <w:r w:rsidR="00FF31DD">
        <w:t xml:space="preserve"> blijkt dat het</w:t>
      </w:r>
      <w:r w:rsidRPr="00C14F28">
        <w:t xml:space="preserve"> aangaan en onderhouden van contact </w:t>
      </w:r>
      <w:r>
        <w:t xml:space="preserve">met halfbroers en </w:t>
      </w:r>
      <w:r w:rsidR="00F079A1">
        <w:t>half</w:t>
      </w:r>
      <w:r>
        <w:t xml:space="preserve">zussen </w:t>
      </w:r>
      <w:r w:rsidR="00125CF6">
        <w:t xml:space="preserve">tijd en </w:t>
      </w:r>
      <w:r w:rsidRPr="00C14F28">
        <w:t>emotionele energie</w:t>
      </w:r>
      <w:r w:rsidR="0024698E">
        <w:t xml:space="preserve"> kost</w:t>
      </w:r>
      <w:r>
        <w:t xml:space="preserve">. Net als in het contact met donoren kan er sprake zijn van barrières door taal- en cultuurverschillen. </w:t>
      </w:r>
      <w:r w:rsidRPr="00C14F28">
        <w:t xml:space="preserve">De voortdurende uitbreiding van </w:t>
      </w:r>
      <w:r w:rsidR="0024698E">
        <w:t>het netwerk</w:t>
      </w:r>
      <w:r w:rsidRPr="00C14F28">
        <w:t xml:space="preserve"> </w:t>
      </w:r>
      <w:r w:rsidR="004F22B1">
        <w:t>kan</w:t>
      </w:r>
      <w:r w:rsidRPr="00C14F28">
        <w:t xml:space="preserve"> stress en onzekerheid met zich </w:t>
      </w:r>
      <w:r>
        <w:t>mee</w:t>
      </w:r>
      <w:r w:rsidR="004F22B1">
        <w:t>brengen</w:t>
      </w:r>
      <w:r w:rsidRPr="00C14F28">
        <w:t>, omdat bij elke nieuw</w:t>
      </w:r>
      <w:r w:rsidR="00982139">
        <w:t xml:space="preserve"> gevonden (DNA-)</w:t>
      </w:r>
      <w:r w:rsidRPr="00C14F28">
        <w:t>match (tussen donor en donorkinderen</w:t>
      </w:r>
      <w:r w:rsidR="00982139">
        <w:t xml:space="preserve"> of tussen donorkinderen onderling</w:t>
      </w:r>
      <w:r w:rsidRPr="00C14F28">
        <w:t>) de groepsdynamiek verandert. Donorkinderen moeten daarbij steeds opnieuw bepalen hoeveel ruimte zij hebben voor nieuwe contacten en hoe zij omgaan met grenzen, nabijheid en afstand.</w:t>
      </w:r>
      <w:r>
        <w:t xml:space="preserve"> </w:t>
      </w:r>
      <w:r w:rsidR="00E005ED">
        <w:t>Het</w:t>
      </w:r>
      <w:r>
        <w:t xml:space="preserve"> onderdeel uitmaken van een groot verwantschapsnetwerk </w:t>
      </w:r>
      <w:r w:rsidR="00E005ED">
        <w:t>kan e</w:t>
      </w:r>
      <w:r>
        <w:t>en donorkind het gevoel geven een product te zijn van commerciële belangen, w</w:t>
      </w:r>
      <w:r w:rsidRPr="00E0636F">
        <w:t>at</w:t>
      </w:r>
      <w:r>
        <w:t xml:space="preserve"> van</w:t>
      </w:r>
      <w:r w:rsidRPr="00E0636F">
        <w:t xml:space="preserve"> invloed </w:t>
      </w:r>
      <w:r>
        <w:t>is op de beleving van zijn of haar</w:t>
      </w:r>
      <w:r w:rsidRPr="00E0636F">
        <w:t xml:space="preserve"> ontstaansgeschiedenis</w:t>
      </w:r>
      <w:r>
        <w:t>.</w:t>
      </w:r>
    </w:p>
    <w:p w:rsidR="00040F63" w:rsidP="00040F63" w:rsidRDefault="00000000" w14:paraId="084B440F" w14:textId="77777777">
      <w:pPr>
        <w:pStyle w:val="Lijstalinea"/>
        <w:numPr>
          <w:ilvl w:val="0"/>
          <w:numId w:val="2"/>
        </w:numPr>
      </w:pPr>
      <w:r>
        <w:rPr>
          <w:u w:val="single"/>
        </w:rPr>
        <w:t>R</w:t>
      </w:r>
      <w:r w:rsidRPr="007B4EF9">
        <w:rPr>
          <w:u w:val="single"/>
        </w:rPr>
        <w:t>isico op consanguïniteit</w:t>
      </w:r>
      <w:r w:rsidRPr="00C65236" w:rsidR="00C65236">
        <w:t>:</w:t>
      </w:r>
      <w:r>
        <w:t xml:space="preserve"> Als donorkinderen elkaar ontmoeten en niet weten dat ze erfelijk verwant zijn</w:t>
      </w:r>
      <w:r w:rsidR="00502221">
        <w:t>,</w:t>
      </w:r>
      <w:r>
        <w:t xml:space="preserve"> levert dat een verhoogd risico op erfelijke aandoeningen op als zij nageslacht krijgen. Dit risico op consanguïniteit is vooral reëel als donorkinderen in dezelfde regio leven. Het risico wordt minder groot als het verwantschapsnetwerk zich uitstrekt over de hele wereld. </w:t>
      </w:r>
      <w:r w:rsidR="00731975">
        <w:t xml:space="preserve">Gelukkig </w:t>
      </w:r>
      <w:r>
        <w:t>achten</w:t>
      </w:r>
      <w:r w:rsidR="00731975">
        <w:t xml:space="preserve"> experts</w:t>
      </w:r>
      <w:r>
        <w:t xml:space="preserve"> het reële risico op consanguïniteit </w:t>
      </w:r>
      <w:r w:rsidR="00731975">
        <w:t xml:space="preserve">daarom </w:t>
      </w:r>
      <w:r>
        <w:t>klein.</w:t>
      </w:r>
      <w:r>
        <w:rPr>
          <w:rStyle w:val="Voetnootmarkering"/>
        </w:rPr>
        <w:footnoteReference w:id="6"/>
      </w:r>
      <w:r>
        <w:t xml:space="preserve"> Voor donorkinderen speelt echter ook een psychologisch risico een rol. </w:t>
      </w:r>
      <w:r w:rsidR="00731975">
        <w:t xml:space="preserve">Als zij afstammen van een donor uit het buitenland weten zij vaak niet hoe groot hun verwantschapsnetwerk zich uitstrekt, en waar hun halfzussen en halfbroers wonen. </w:t>
      </w:r>
      <w:r>
        <w:t xml:space="preserve">Zij hebben bijvoorbeeld het gevoel dat ze niet onbevreesd kunnen daten zonder vooraf een DNA-verwantschapstest te doen. </w:t>
      </w:r>
    </w:p>
    <w:p w:rsidR="00FB4D85" w:rsidP="00DC1B34" w:rsidRDefault="00FB4D85" w14:paraId="3B5F240C" w14:textId="77777777"/>
    <w:p w:rsidR="00DF1E55" w:rsidP="00DC1B34" w:rsidRDefault="00000000" w14:paraId="786C1D0B" w14:textId="024C121A">
      <w:r>
        <w:t xml:space="preserve">Gelet op de hiervoor beschreven negatieve gevolgen </w:t>
      </w:r>
      <w:r w:rsidR="00DC1B34">
        <w:t xml:space="preserve">vind ik het toenemende gebruik van buitenlands donorsperma zorgwekkend. </w:t>
      </w:r>
      <w:r w:rsidR="00FB4D85">
        <w:t>H</w:t>
      </w:r>
      <w:r w:rsidR="00743763">
        <w:t xml:space="preserve">et </w:t>
      </w:r>
      <w:r w:rsidRPr="0018389A" w:rsidR="00743763">
        <w:t xml:space="preserve">belang van het toekomstige </w:t>
      </w:r>
      <w:r w:rsidR="00743763">
        <w:t>(donor)</w:t>
      </w:r>
      <w:r w:rsidRPr="0018389A" w:rsidR="00743763">
        <w:t>kind</w:t>
      </w:r>
      <w:r w:rsidR="00743763">
        <w:t xml:space="preserve"> moet immers voorop staan. </w:t>
      </w:r>
      <w:r w:rsidR="00D75945">
        <w:t>In het vervolg van deze brief bespreek ik drie</w:t>
      </w:r>
      <w:r w:rsidR="00E37EC4">
        <w:t xml:space="preserve"> op</w:t>
      </w:r>
      <w:r w:rsidR="00D75945">
        <w:t xml:space="preserve"> elkaar aansluitende routes waarmee </w:t>
      </w:r>
      <w:r w:rsidR="00FC2FFD">
        <w:t xml:space="preserve">massadonatie als gevolg van </w:t>
      </w:r>
      <w:r w:rsidR="00D75945">
        <w:t xml:space="preserve">het gebruik van buitenlands donorsperma </w:t>
      </w:r>
      <w:r w:rsidR="00FB4D85">
        <w:t>zou kunnen</w:t>
      </w:r>
      <w:r w:rsidR="00D75945">
        <w:t xml:space="preserve"> worden tegengegaan.</w:t>
      </w:r>
      <w:r w:rsidR="00D32F3C">
        <w:t xml:space="preserve"> </w:t>
      </w:r>
      <w:r w:rsidRPr="00A03EF8" w:rsidR="00D32F3C">
        <w:t xml:space="preserve">Ik </w:t>
      </w:r>
      <w:r w:rsidR="00FB4D85">
        <w:t xml:space="preserve">tref voorbereidingen voor </w:t>
      </w:r>
      <w:r w:rsidRPr="00A03EF8" w:rsidR="00D32F3C">
        <w:t>alle</w:t>
      </w:r>
      <w:r w:rsidRPr="00A03EF8" w:rsidR="00502221">
        <w:t xml:space="preserve"> </w:t>
      </w:r>
      <w:r w:rsidRPr="00A03EF8" w:rsidR="00D32F3C">
        <w:t>drie de routes</w:t>
      </w:r>
      <w:r w:rsidR="00FB4D85">
        <w:t>.</w:t>
      </w:r>
    </w:p>
    <w:p w:rsidR="00DC1B34" w:rsidP="00DC1B34" w:rsidRDefault="00DC1B34" w14:paraId="66A31845" w14:textId="77777777"/>
    <w:p w:rsidRPr="004356CF" w:rsidR="00DC1B34" w:rsidP="004D0FD4" w:rsidRDefault="00000000" w14:paraId="19E6F0DA" w14:textId="77777777">
      <w:pPr>
        <w:rPr>
          <w:b/>
          <w:bCs/>
        </w:rPr>
      </w:pPr>
      <w:r w:rsidRPr="004356CF">
        <w:rPr>
          <w:b/>
          <w:bCs/>
        </w:rPr>
        <w:t>Route 1 Regulering via de Wet zeggenschap lichaamsmateriaal</w:t>
      </w:r>
    </w:p>
    <w:p w:rsidR="00374B68" w:rsidP="004356CF" w:rsidRDefault="00000000" w14:paraId="4BB2903F" w14:textId="77777777">
      <w:r>
        <w:t xml:space="preserve">Een verbod op grensoverschrijdend gebruik van donorsperma uit een EU-land zou een inperking behelzen van de Europese interne markt en het vrij verkeer van goederen (artikel 26 Verdrag betreffende de werking van de Europese Unie; VWEU). </w:t>
      </w:r>
      <w:r w:rsidR="003563FF">
        <w:t xml:space="preserve">Een verbod op het gebruik van buitenlands donorsperma in Nederlandse klinieken zou mogelijk zijn indien </w:t>
      </w:r>
      <w:r w:rsidR="004356CF">
        <w:t>kliniek</w:t>
      </w:r>
      <w:r w:rsidR="0018098F">
        <w:t>en</w:t>
      </w:r>
      <w:r w:rsidR="004356CF">
        <w:t xml:space="preserve"> </w:t>
      </w:r>
      <w:r w:rsidR="003563FF">
        <w:t>wettelijk zouden worden verplicht om</w:t>
      </w:r>
      <w:r>
        <w:t xml:space="preserve"> </w:t>
      </w:r>
      <w:r w:rsidR="004356CF">
        <w:t xml:space="preserve">een </w:t>
      </w:r>
      <w:r w:rsidR="004F22B1">
        <w:t>burgerservice</w:t>
      </w:r>
      <w:r w:rsidR="004356CF">
        <w:t xml:space="preserve">nummer van de donor </w:t>
      </w:r>
      <w:r w:rsidR="0018098F">
        <w:t xml:space="preserve">te </w:t>
      </w:r>
      <w:r w:rsidR="004356CF">
        <w:t>registreren</w:t>
      </w:r>
      <w:r w:rsidR="003563FF">
        <w:t>.</w:t>
      </w:r>
      <w:r w:rsidR="004356CF">
        <w:t xml:space="preserve"> </w:t>
      </w:r>
      <w:r w:rsidR="003563FF">
        <w:t xml:space="preserve">Donoren uit het buitenland hebben immers geen burgerservicenummer. </w:t>
      </w:r>
      <w:r w:rsidR="00CD576A">
        <w:t xml:space="preserve">Feitelijk komt dit neer op een totaalverbod. </w:t>
      </w:r>
      <w:r w:rsidR="00E005ED">
        <w:t>Dit</w:t>
      </w:r>
      <w:r>
        <w:t xml:space="preserve"> vergt een rechtvaardiging </w:t>
      </w:r>
      <w:r w:rsidR="00AD599F">
        <w:t>op basis van artikel 36 VWEU</w:t>
      </w:r>
      <w:r>
        <w:t xml:space="preserve"> (gezondheidsbescherming)</w:t>
      </w:r>
      <w:r w:rsidR="00AD599F">
        <w:t xml:space="preserve">. </w:t>
      </w:r>
      <w:r>
        <w:t xml:space="preserve">Een belangrijke voorwaarde daarbij is dat een maatregel proportioneel moet zijn. Daarvan is geen sprake wanneer het mogelijk is om met een minder beperkende maatregel dezelfde bescherming te garanderen. </w:t>
      </w:r>
    </w:p>
    <w:p w:rsidR="00374B68" w:rsidP="004356CF" w:rsidRDefault="00374B68" w14:paraId="1C548B71" w14:textId="77777777"/>
    <w:p w:rsidRPr="006F5637" w:rsidR="00CD05E7" w:rsidP="00774C91" w:rsidRDefault="00000000" w14:paraId="72763D9F" w14:textId="77777777">
      <w:r>
        <w:t>De Wdkb leent zich</w:t>
      </w:r>
      <w:r w:rsidR="00AD599F">
        <w:t xml:space="preserve"> </w:t>
      </w:r>
      <w:r>
        <w:t xml:space="preserve">niet </w:t>
      </w:r>
      <w:r w:rsidR="00FD4F9A">
        <w:t xml:space="preserve">goed </w:t>
      </w:r>
      <w:r>
        <w:t>voor een</w:t>
      </w:r>
      <w:r w:rsidR="00AD599F">
        <w:t xml:space="preserve"> </w:t>
      </w:r>
      <w:r>
        <w:t xml:space="preserve">verbod, omdat deze wet </w:t>
      </w:r>
      <w:r w:rsidR="00FD4F9A">
        <w:t>primair de registratie, het beheer en de verstrekking van gegevens van donoren regelt</w:t>
      </w:r>
      <w:r>
        <w:t xml:space="preserve">. </w:t>
      </w:r>
      <w:r w:rsidR="006A3877">
        <w:t>Het wetsvoorstel zeggenschap lichaamsmateriaal (Wzl)</w:t>
      </w:r>
      <w:r>
        <w:rPr>
          <w:rStyle w:val="Voetnootmarkering"/>
        </w:rPr>
        <w:footnoteReference w:id="7"/>
      </w:r>
      <w:r w:rsidR="006A3877">
        <w:t xml:space="preserve"> </w:t>
      </w:r>
      <w:r>
        <w:t>dat momenteel voor behandeling in de Tweede Kamer ligt</w:t>
      </w:r>
      <w:r w:rsidR="006A3877">
        <w:t>, biedt wel</w:t>
      </w:r>
      <w:r w:rsidR="001A25F4">
        <w:t>licht</w:t>
      </w:r>
      <w:r w:rsidR="006A3877">
        <w:t xml:space="preserve"> een </w:t>
      </w:r>
      <w:r w:rsidR="00B233A1">
        <w:t xml:space="preserve">goede </w:t>
      </w:r>
      <w:r w:rsidR="006A3877">
        <w:t xml:space="preserve">mogelijkheid om grensoverschrijdend gebruik van donorsperma te reguleren. </w:t>
      </w:r>
      <w:r w:rsidR="00AD599F">
        <w:t>Het</w:t>
      </w:r>
      <w:r>
        <w:t xml:space="preserve"> gebruik</w:t>
      </w:r>
      <w:r w:rsidR="00AD599F">
        <w:t xml:space="preserve"> van (donor)sperma</w:t>
      </w:r>
      <w:r>
        <w:t xml:space="preserve"> </w:t>
      </w:r>
      <w:r w:rsidR="006A3877">
        <w:t xml:space="preserve">voor fertiliteitsbehandelingen </w:t>
      </w:r>
      <w:r w:rsidR="00AD599F">
        <w:t xml:space="preserve">valt </w:t>
      </w:r>
      <w:r>
        <w:t xml:space="preserve">onder de reikwijdte van </w:t>
      </w:r>
      <w:r w:rsidR="00AD599F">
        <w:t>de Wzl</w:t>
      </w:r>
      <w:r w:rsidR="006A3877">
        <w:t>. M</w:t>
      </w:r>
      <w:r>
        <w:t xml:space="preserve">iddels een algemene maatregel van bestuur (AMvB) </w:t>
      </w:r>
      <w:r w:rsidR="006A3877">
        <w:t>kunnen</w:t>
      </w:r>
      <w:r>
        <w:t xml:space="preserve"> bepaalde gebruiksdoelen </w:t>
      </w:r>
      <w:r w:rsidR="00B233A1">
        <w:t xml:space="preserve">op grond van artikel 5 Wzl </w:t>
      </w:r>
      <w:r w:rsidR="006F5637">
        <w:t xml:space="preserve">onder voorwaarden </w:t>
      </w:r>
      <w:r w:rsidR="00AD599F">
        <w:t>worden verboden</w:t>
      </w:r>
      <w:r>
        <w:t xml:space="preserve">. Het moet dan gaan om gebruik van lichaamsmateriaal dat gezien maatschappelijke, ethische of juridische aspecten ongewenst is. Via een voorhangprocedure is parlementaire betrokkenheid bij totstandbrenging van deze AMvB geborgd. </w:t>
      </w:r>
    </w:p>
    <w:p w:rsidR="00CD05E7" w:rsidP="00CD05E7" w:rsidRDefault="00CD05E7" w14:paraId="3D26F938" w14:textId="77777777"/>
    <w:p w:rsidR="00FB4D85" w:rsidP="00CD05E7" w:rsidRDefault="00000000" w14:paraId="612323D0" w14:textId="77777777">
      <w:r>
        <w:t>Een verbod</w:t>
      </w:r>
      <w:r w:rsidR="00E005ED">
        <w:t xml:space="preserve"> z</w:t>
      </w:r>
      <w:r>
        <w:t>ou zodanig ingericht kunnen worden dat het</w:t>
      </w:r>
      <w:r w:rsidRPr="00731975">
        <w:t xml:space="preserve"> ontvangen</w:t>
      </w:r>
      <w:r>
        <w:t xml:space="preserve"> of</w:t>
      </w:r>
      <w:r w:rsidRPr="00731975">
        <w:t xml:space="preserve"> verstrekken </w:t>
      </w:r>
      <w:r>
        <w:t xml:space="preserve">van donorsperma door een fertiliteitskliniek of spermabank </w:t>
      </w:r>
      <w:r w:rsidRPr="00731975">
        <w:t xml:space="preserve">verboden </w:t>
      </w:r>
      <w:r>
        <w:t>is</w:t>
      </w:r>
      <w:r w:rsidRPr="00731975">
        <w:t xml:space="preserve">, behalve als in bindende afspraken met de andere partij </w:t>
      </w:r>
      <w:r>
        <w:t>is</w:t>
      </w:r>
      <w:r w:rsidRPr="00731975">
        <w:t xml:space="preserve"> vastgelegd dat het donorzaad wereldwijd bij niet meer dan een X-aantal </w:t>
      </w:r>
      <w:r>
        <w:t>vrouwen</w:t>
      </w:r>
      <w:r w:rsidRPr="00731975">
        <w:t xml:space="preserve"> ingezet wordt</w:t>
      </w:r>
      <w:r w:rsidR="00F12DB1">
        <w:t>.</w:t>
      </w:r>
      <w:r>
        <w:rPr>
          <w:rStyle w:val="Voetnootmarkering"/>
        </w:rPr>
        <w:footnoteReference w:id="8"/>
      </w:r>
      <w:r w:rsidR="00E005ED">
        <w:t xml:space="preserve"> </w:t>
      </w:r>
      <w:r w:rsidR="005573C5">
        <w:t xml:space="preserve">De Inspectie Gezondheidszorg en Jeugd (IGJ) </w:t>
      </w:r>
      <w:r w:rsidR="00F12DB1">
        <w:t xml:space="preserve">ziet toe op de Wdkb en </w:t>
      </w:r>
      <w:r w:rsidR="005573C5">
        <w:t xml:space="preserve">zal </w:t>
      </w:r>
      <w:r w:rsidR="00F12DB1">
        <w:t xml:space="preserve">ook </w:t>
      </w:r>
      <w:r w:rsidR="005573C5">
        <w:t xml:space="preserve">toezien op naleving van de Wzl. </w:t>
      </w:r>
      <w:r w:rsidR="008578C4">
        <w:t xml:space="preserve">De </w:t>
      </w:r>
      <w:r w:rsidR="00CD05E7">
        <w:t>handha</w:t>
      </w:r>
      <w:r w:rsidR="005573C5">
        <w:t>ving</w:t>
      </w:r>
      <w:r w:rsidR="008578C4">
        <w:t xml:space="preserve"> van </w:t>
      </w:r>
      <w:r w:rsidR="00037F92">
        <w:t xml:space="preserve">een </w:t>
      </w:r>
      <w:r w:rsidR="008578C4">
        <w:t>verbodsbepaling via de Wzl vergt nadere doordenking.</w:t>
      </w:r>
      <w:r w:rsidR="008448ED">
        <w:t xml:space="preserve"> </w:t>
      </w:r>
      <w:r w:rsidR="00CD05E7">
        <w:t xml:space="preserve">Nederlandse toezichthouders kunnen geen toezicht houden </w:t>
      </w:r>
      <w:r w:rsidR="00FD4F9A">
        <w:t>(</w:t>
      </w:r>
      <w:r w:rsidR="005573C5">
        <w:t>op spermabanken</w:t>
      </w:r>
      <w:r w:rsidR="00FD4F9A">
        <w:t>)</w:t>
      </w:r>
      <w:r w:rsidR="005573C5">
        <w:t xml:space="preserve"> in</w:t>
      </w:r>
      <w:r w:rsidR="00CD05E7">
        <w:t xml:space="preserve"> het buitenland.</w:t>
      </w:r>
      <w:r>
        <w:rPr>
          <w:rStyle w:val="Voetnootmarkering"/>
        </w:rPr>
        <w:footnoteReference w:id="9"/>
      </w:r>
      <w:r w:rsidR="00E005ED">
        <w:t xml:space="preserve"> </w:t>
      </w:r>
      <w:r w:rsidR="00CD05E7">
        <w:t>De handhaving zal</w:t>
      </w:r>
      <w:r w:rsidR="005573C5">
        <w:t xml:space="preserve"> </w:t>
      </w:r>
      <w:r w:rsidR="00CD05E7">
        <w:t xml:space="preserve">zich </w:t>
      </w:r>
      <w:r w:rsidR="006F5637">
        <w:t>daarom</w:t>
      </w:r>
      <w:r w:rsidR="005573C5">
        <w:t xml:space="preserve"> </w:t>
      </w:r>
      <w:r w:rsidR="00CD05E7">
        <w:t xml:space="preserve">moeten richten op </w:t>
      </w:r>
      <w:r w:rsidR="001A25F4">
        <w:t>(</w:t>
      </w:r>
      <w:r w:rsidR="00CD05E7">
        <w:t xml:space="preserve">documentatie </w:t>
      </w:r>
      <w:r w:rsidR="006F5637">
        <w:t>bij</w:t>
      </w:r>
      <w:r w:rsidR="001A25F4">
        <w:t>)</w:t>
      </w:r>
      <w:r w:rsidR="005573C5">
        <w:t xml:space="preserve"> de Nederlandse ‘beheerders’ van donorsperma - fertiliteitsklinieken en spermabanken</w:t>
      </w:r>
      <w:r w:rsidR="008578C4">
        <w:t xml:space="preserve">. </w:t>
      </w:r>
      <w:r w:rsidR="005573C5">
        <w:t xml:space="preserve">Wellicht is het mogelijk om </w:t>
      </w:r>
      <w:r w:rsidR="006F5637">
        <w:t xml:space="preserve">daarnaast </w:t>
      </w:r>
    </w:p>
    <w:p w:rsidR="00FB4D85" w:rsidP="00CD05E7" w:rsidRDefault="00FB4D85" w14:paraId="57731E1E" w14:textId="77777777"/>
    <w:p w:rsidR="00DB0965" w:rsidP="00CD05E7" w:rsidRDefault="006F5637" w14:paraId="1B33A7F2" w14:textId="4F64573A">
      <w:r>
        <w:t xml:space="preserve">bilaterale </w:t>
      </w:r>
      <w:r w:rsidR="005573C5">
        <w:t>afspraken te maken met toezichtsinstanties in het buitenland (te beginnen met Denemarken)</w:t>
      </w:r>
      <w:r w:rsidR="008578C4">
        <w:t xml:space="preserve">. Zo zouden afspraken over gegevensuitwisseling tussen inspectiediensten kunnen bijdragen aan </w:t>
      </w:r>
      <w:r w:rsidR="00DD5247">
        <w:t>effectievere</w:t>
      </w:r>
      <w:r w:rsidR="005573C5">
        <w:t xml:space="preserve"> handhaving.</w:t>
      </w:r>
      <w:r w:rsidR="00F12DB1">
        <w:t xml:space="preserve"> </w:t>
      </w:r>
      <w:r w:rsidR="00A03EF8">
        <w:t>Het ministerie van VWS gaat</w:t>
      </w:r>
      <w:r w:rsidR="005573C5">
        <w:t xml:space="preserve"> graag in gesprek met de IGJ</w:t>
      </w:r>
      <w:r w:rsidR="00F079A1">
        <w:t>, en ook met het College donorgegevens kunstmatige bevruchting (</w:t>
      </w:r>
      <w:r w:rsidRPr="007D7A29" w:rsidR="00F079A1">
        <w:t>Cdkb</w:t>
      </w:r>
      <w:r w:rsidR="00F079A1">
        <w:t xml:space="preserve">) en fertiliteitsklinieken, </w:t>
      </w:r>
      <w:r w:rsidR="005573C5">
        <w:t>om de randvoorwaarden</w:t>
      </w:r>
      <w:r w:rsidR="00DD5247">
        <w:t xml:space="preserve"> en implicaties</w:t>
      </w:r>
      <w:r w:rsidR="005573C5">
        <w:t xml:space="preserve"> </w:t>
      </w:r>
      <w:r w:rsidR="00DD5247">
        <w:t xml:space="preserve">van regulering via de Wzl </w:t>
      </w:r>
      <w:r>
        <w:t xml:space="preserve">verder </w:t>
      </w:r>
      <w:r w:rsidR="00DD5247">
        <w:t>t</w:t>
      </w:r>
      <w:r w:rsidR="005573C5">
        <w:t xml:space="preserve">e verkennen. </w:t>
      </w:r>
    </w:p>
    <w:p w:rsidR="004356CF" w:rsidP="004D0FD4" w:rsidRDefault="004356CF" w14:paraId="27BEB726" w14:textId="77777777"/>
    <w:p w:rsidRPr="00DD5247" w:rsidR="00D75945" w:rsidP="004D0FD4" w:rsidRDefault="00000000" w14:paraId="5A84E42D" w14:textId="77777777">
      <w:pPr>
        <w:rPr>
          <w:b/>
          <w:bCs/>
        </w:rPr>
      </w:pPr>
      <w:r w:rsidRPr="00DD5247">
        <w:rPr>
          <w:b/>
          <w:bCs/>
        </w:rPr>
        <w:t xml:space="preserve">Route 2 Europese afspraken en </w:t>
      </w:r>
      <w:r w:rsidR="00641020">
        <w:rPr>
          <w:b/>
          <w:bCs/>
        </w:rPr>
        <w:t>regelgeving</w:t>
      </w:r>
    </w:p>
    <w:p w:rsidR="00DD5247" w:rsidP="002C31F0" w:rsidRDefault="00000000" w14:paraId="3732751B" w14:textId="6C278156">
      <w:r>
        <w:t xml:space="preserve">Nederland pleit op Europees niveau voor een centraal EU-register voor </w:t>
      </w:r>
      <w:r w:rsidR="00731975">
        <w:t>donorsperma dat in klinieken wordt gebruikt</w:t>
      </w:r>
      <w:r>
        <w:t xml:space="preserve">, voor een </w:t>
      </w:r>
      <w:r w:rsidR="00B233A1">
        <w:t xml:space="preserve">limitering van het gebruik van donorsperma bij fertiliteitsbehandelingen </w:t>
      </w:r>
      <w:r>
        <w:t>en voor een verbod op anonieme donatie</w:t>
      </w:r>
      <w:r w:rsidR="00E005ED">
        <w:t>.</w:t>
      </w:r>
      <w:r>
        <w:rPr>
          <w:rStyle w:val="Voetnootmarkering"/>
        </w:rPr>
        <w:footnoteReference w:id="10"/>
      </w:r>
      <w:r>
        <w:t xml:space="preserve"> Ten tijde van de totstandkoming van de </w:t>
      </w:r>
      <w:r w:rsidR="006F5637">
        <w:t xml:space="preserve">Europese </w:t>
      </w:r>
      <w:r>
        <w:t>Verordening lichaamsmateriaal (SoHO</w:t>
      </w:r>
      <w:r w:rsidR="00DF6973">
        <w:t>-verordening</w:t>
      </w:r>
      <w:r>
        <w:rPr>
          <w:rStyle w:val="Voetnootmarkering"/>
        </w:rPr>
        <w:footnoteReference w:id="11"/>
      </w:r>
      <w:r>
        <w:t xml:space="preserve">) is het </w:t>
      </w:r>
      <w:r w:rsidR="00E005ED">
        <w:t xml:space="preserve">vanwege onvoldoende draagvlak </w:t>
      </w:r>
      <w:r>
        <w:t>helaas niet gelukt om EU</w:t>
      </w:r>
      <w:r w:rsidR="006F5637">
        <w:t>-</w:t>
      </w:r>
      <w:r>
        <w:t xml:space="preserve">brede regels te stellen voor </w:t>
      </w:r>
      <w:r w:rsidR="00BB0CA4">
        <w:t>limitering van het gebruik van donorsperma bij fertiliteitsbehandelingen</w:t>
      </w:r>
      <w:r>
        <w:t>. Wel is in artikel 58</w:t>
      </w:r>
      <w:r w:rsidR="00DF6973">
        <w:t xml:space="preserve">, tiende lid, van de SoHO-verordening </w:t>
      </w:r>
      <w:r>
        <w:t>een bepaling opgenomen die (kortgezegd) voorschrijft dat regels van lidstaten in acht worden genomen bij grensoverschrijdende distributie van reproductieve cellen</w:t>
      </w:r>
      <w:r w:rsidR="00D81796">
        <w:t xml:space="preserve"> waaronder dus nationale limieten</w:t>
      </w:r>
      <w:r w:rsidR="00FB4D85">
        <w:t>,</w:t>
      </w:r>
      <w:r w:rsidR="00D81796">
        <w:t xml:space="preserve"> zoals bijvoorbeeld neergelegd in de Wdkb</w:t>
      </w:r>
      <w:r w:rsidR="002C31F0">
        <w:t>.</w:t>
      </w:r>
      <w:r w:rsidR="00C1639E">
        <w:t xml:space="preserve"> Dit kan massadonatie echter niet voorkomen. </w:t>
      </w:r>
    </w:p>
    <w:p w:rsidR="008578C4" w:rsidP="002C31F0" w:rsidRDefault="008578C4" w14:paraId="25C34FB9" w14:textId="77777777"/>
    <w:p w:rsidR="00DD5247" w:rsidP="00DD5247" w:rsidRDefault="00000000" w14:paraId="50D6278D" w14:textId="77777777">
      <w:r>
        <w:t xml:space="preserve">Onder invloed van recente misstanden rond donorconceptie lijkt Europese regulering van </w:t>
      </w:r>
      <w:r w:rsidR="00B233A1">
        <w:t xml:space="preserve">de omvang van </w:t>
      </w:r>
      <w:r>
        <w:t xml:space="preserve">grensoverschrijdende donorconceptie steeds </w:t>
      </w:r>
      <w:r w:rsidR="008578C4">
        <w:t>meer steun te krijgen</w:t>
      </w:r>
      <w:r>
        <w:t xml:space="preserve">. </w:t>
      </w:r>
      <w:r w:rsidR="00926ABD">
        <w:t xml:space="preserve">Zo heeft </w:t>
      </w:r>
      <w:r>
        <w:t xml:space="preserve">Zweden bij </w:t>
      </w:r>
      <w:r w:rsidR="00B233A1">
        <w:t>de EU-gezondheidsraad</w:t>
      </w:r>
      <w:r>
        <w:rPr>
          <w:rStyle w:val="Voetnootmarkering"/>
        </w:rPr>
        <w:footnoteReference w:id="12"/>
      </w:r>
      <w:r w:rsidR="00B233A1">
        <w:t xml:space="preserve"> </w:t>
      </w:r>
      <w:r>
        <w:t>op 20 juni 2025 gepleit voor een internationale limiet op het aantal kinderen per gameetdonor</w:t>
      </w:r>
      <w:r w:rsidR="00B233A1">
        <w:t xml:space="preserve"> (eicel- of zaadceldonor)</w:t>
      </w:r>
      <w:r>
        <w:t>. Dit initiatief volgde op een gezamenlijke aanbeveling van de nationale ethiekraden van Zweden, Denemarken, Finland en Noorwegen</w:t>
      </w:r>
      <w:r w:rsidR="00EA3AE9">
        <w:t>.</w:t>
      </w:r>
      <w:r>
        <w:rPr>
          <w:rStyle w:val="Voetnootmarkering"/>
        </w:rPr>
        <w:footnoteReference w:id="13"/>
      </w:r>
      <w:r>
        <w:t xml:space="preserve"> </w:t>
      </w:r>
      <w:r w:rsidR="003563FF">
        <w:t xml:space="preserve">De Europese Commissie heeft dit onderwerp geagendeerd bij de </w:t>
      </w:r>
      <w:r w:rsidR="003563FF">
        <w:rPr>
          <w:i/>
          <w:iCs/>
        </w:rPr>
        <w:t xml:space="preserve">SoHO coordination board </w:t>
      </w:r>
      <w:r w:rsidR="003563FF">
        <w:t>(SCB)</w:t>
      </w:r>
      <w:r>
        <w:rPr>
          <w:rStyle w:val="Voetnootmarkering"/>
        </w:rPr>
        <w:footnoteReference w:id="14"/>
      </w:r>
      <w:r w:rsidR="003563FF">
        <w:t xml:space="preserve"> om te onderzoeken of er genoeg draagvlak is voor het treffen van maatregelen op EU-niveau.</w:t>
      </w:r>
    </w:p>
    <w:p w:rsidR="00DD5247" w:rsidP="00DD5247" w:rsidRDefault="00DD5247" w14:paraId="42B820AB" w14:textId="77777777"/>
    <w:p w:rsidR="00FB4D85" w:rsidP="00DD5247" w:rsidRDefault="00000000" w14:paraId="184CCC18" w14:textId="77777777">
      <w:r>
        <w:t xml:space="preserve">Bij de SCB heeft </w:t>
      </w:r>
      <w:r w:rsidR="00B233A1">
        <w:t xml:space="preserve">Zweden </w:t>
      </w:r>
      <w:r>
        <w:t>het pleidooi herhaald. De European Society of Human Reproduction and Embryology (ESHRE) heeft daar eveneens een pleidooi gehouden</w:t>
      </w:r>
      <w:r w:rsidR="00B233A1">
        <w:t xml:space="preserve"> voor</w:t>
      </w:r>
      <w:r>
        <w:t xml:space="preserve"> de noodzaak van het vaststellen van een maximumaantal nakomelingen per donor op EU-niveau. Het zou in eerste instantie kunnen gaan om een maximum van 50, wat vervolgens naar </w:t>
      </w:r>
      <w:r w:rsidR="0014475E">
        <w:t xml:space="preserve">bijvoorbeeld </w:t>
      </w:r>
      <w:r>
        <w:t xml:space="preserve">15 </w:t>
      </w:r>
      <w:r w:rsidR="0014475E">
        <w:t>wordt verlaagd</w:t>
      </w:r>
      <w:r>
        <w:t xml:space="preserve">. Er is draagvlak in de </w:t>
      </w:r>
      <w:r w:rsidR="00B233A1">
        <w:t>SCB</w:t>
      </w:r>
      <w:r>
        <w:t xml:space="preserve"> om </w:t>
      </w:r>
      <w:r w:rsidR="00125CF6">
        <w:t xml:space="preserve">een Europees maximum vast te leggen voor het gebruik van </w:t>
      </w:r>
      <w:r w:rsidR="00B233A1">
        <w:t xml:space="preserve">het sperma van </w:t>
      </w:r>
      <w:r w:rsidR="00125CF6">
        <w:t xml:space="preserve">één donor en tevens om </w:t>
      </w:r>
      <w:r>
        <w:t>te onderzoeken welke maatregelen mogelijk en passend zijn</w:t>
      </w:r>
      <w:r w:rsidR="00926ABD">
        <w:t xml:space="preserve">. Zo </w:t>
      </w:r>
      <w:r w:rsidR="00125CF6">
        <w:t xml:space="preserve">wordt </w:t>
      </w:r>
      <w:r w:rsidR="00926ABD">
        <w:t xml:space="preserve">onder meer verkend of het mogelijk is om een </w:t>
      </w:r>
      <w:r>
        <w:t xml:space="preserve">Europees donorregister voor geslachtscellen </w:t>
      </w:r>
      <w:r w:rsidR="00926ABD">
        <w:t xml:space="preserve">op te zetten, zodat een maximumaantal nakomelingen </w:t>
      </w:r>
      <w:r>
        <w:t>effectief</w:t>
      </w:r>
      <w:r w:rsidR="00926ABD">
        <w:t xml:space="preserve"> kan worden nageleefd</w:t>
      </w:r>
      <w:r>
        <w:t xml:space="preserve">. </w:t>
      </w:r>
      <w:r w:rsidR="00926ABD">
        <w:t xml:space="preserve">Recent is </w:t>
      </w:r>
      <w:r w:rsidR="00B233A1">
        <w:t xml:space="preserve">bij de SCB </w:t>
      </w:r>
      <w:r w:rsidR="00926ABD">
        <w:t xml:space="preserve">een </w:t>
      </w:r>
      <w:r>
        <w:t>werkgroep onder leiding van België ingericht</w:t>
      </w:r>
      <w:r w:rsidR="00926ABD">
        <w:t xml:space="preserve"> om de </w:t>
      </w:r>
    </w:p>
    <w:p w:rsidR="00FB4D85" w:rsidP="00DD5247" w:rsidRDefault="00FB4D85" w14:paraId="735802A6" w14:textId="77777777"/>
    <w:p w:rsidR="00FB4D85" w:rsidP="00DD5247" w:rsidRDefault="00FB4D85" w14:paraId="140D873F" w14:textId="77777777"/>
    <w:p w:rsidR="00DD5247" w:rsidP="00DD5247" w:rsidRDefault="00926ABD" w14:paraId="2CCA0ECC" w14:textId="2874632D">
      <w:r>
        <w:t>uitvoeringsaspecten (zoals privacy) te verkennen van mogelijke regulering van het maximumaantal nakomelingen per donor op EU-niveau. Nederland neemt deel aan deze werkgroep. De Europese Commissie zal daarnaast een verkenning uitvoeren naar de juridische mogelijkheden van regulering via een mogelijke aanpassing van de SoHO</w:t>
      </w:r>
      <w:r w:rsidR="00B233A1">
        <w:t>-</w:t>
      </w:r>
      <w:r>
        <w:t>verordening.</w:t>
      </w:r>
      <w:r w:rsidR="0023136D">
        <w:t xml:space="preserve"> </w:t>
      </w:r>
    </w:p>
    <w:p w:rsidR="00D75945" w:rsidP="004D0FD4" w:rsidRDefault="00D75945" w14:paraId="5EA6774F" w14:textId="77777777"/>
    <w:p w:rsidRPr="00D75945" w:rsidR="00D75945" w:rsidP="00D75945" w:rsidRDefault="00000000" w14:paraId="333BEB51" w14:textId="77777777">
      <w:pPr>
        <w:rPr>
          <w:b/>
          <w:bCs/>
        </w:rPr>
      </w:pPr>
      <w:r w:rsidRPr="00D75945">
        <w:rPr>
          <w:b/>
          <w:bCs/>
        </w:rPr>
        <w:t>Route 3 Samenwerkingstraject gericht op verantwoorde donorconceptie</w:t>
      </w:r>
    </w:p>
    <w:p w:rsidR="00C55AF7" w:rsidP="00C55AF7" w:rsidRDefault="00000000" w14:paraId="1CBF3F32" w14:textId="77777777">
      <w:r>
        <w:t>De verantwoordelijkheid voor verantwoorde donorconceptie ligt niet alleen bij de overheid</w:t>
      </w:r>
      <w:r w:rsidR="00731975">
        <w:t xml:space="preserve">, maar ook bij wensouders, klinieken, spermabanken en behandelaren. </w:t>
      </w:r>
      <w:r>
        <w:t>O</w:t>
      </w:r>
      <w:r w:rsidR="00E37EC4">
        <w:t xml:space="preserve">ntwikkeling van </w:t>
      </w:r>
      <w:r w:rsidR="00A62B45">
        <w:t>wet- en regelgeving</w:t>
      </w:r>
      <w:r>
        <w:t xml:space="preserve"> kan</w:t>
      </w:r>
      <w:r w:rsidR="008578C4">
        <w:t xml:space="preserve"> niet alle problemen oplossen en vergt hoe dan ook een </w:t>
      </w:r>
      <w:r w:rsidR="00A62B45">
        <w:t xml:space="preserve">lange adem. </w:t>
      </w:r>
      <w:r w:rsidR="00FA4A6C">
        <w:t xml:space="preserve">Op kortere termijn valt wellicht meer te verwachten van zelfregulering, </w:t>
      </w:r>
      <w:r w:rsidR="00125CF6">
        <w:t>afspraken</w:t>
      </w:r>
      <w:r w:rsidR="00FA4A6C">
        <w:t xml:space="preserve"> </w:t>
      </w:r>
      <w:r w:rsidR="00125CF6">
        <w:t xml:space="preserve">tussen partijen </w:t>
      </w:r>
      <w:r w:rsidR="00FA4A6C">
        <w:t>en gezamenlijke initiatieven</w:t>
      </w:r>
      <w:r>
        <w:t xml:space="preserve">. </w:t>
      </w:r>
      <w:r w:rsidR="00D645C8">
        <w:t>Het ministerie van VWS is</w:t>
      </w:r>
      <w:r>
        <w:t xml:space="preserve"> graag bereid een faciliterende rol te vervullen bij een </w:t>
      </w:r>
      <w:r w:rsidRPr="00FA4A6C">
        <w:rPr>
          <w:i/>
          <w:iCs/>
        </w:rPr>
        <w:t xml:space="preserve">samenwerkingstraject ter verbetering van </w:t>
      </w:r>
      <w:r w:rsidR="001B091F">
        <w:rPr>
          <w:i/>
          <w:iCs/>
        </w:rPr>
        <w:t xml:space="preserve">de </w:t>
      </w:r>
      <w:r w:rsidRPr="00FA4A6C">
        <w:rPr>
          <w:i/>
          <w:iCs/>
        </w:rPr>
        <w:t>praktijk</w:t>
      </w:r>
      <w:r w:rsidR="001B091F">
        <w:rPr>
          <w:i/>
          <w:iCs/>
        </w:rPr>
        <w:t>en rond</w:t>
      </w:r>
      <w:r w:rsidRPr="00FA4A6C">
        <w:rPr>
          <w:i/>
          <w:iCs/>
        </w:rPr>
        <w:t xml:space="preserve"> grensoverschrijdende donorconceptie</w:t>
      </w:r>
      <w:r>
        <w:t xml:space="preserve">. Hiertoe </w:t>
      </w:r>
      <w:r w:rsidR="001B091F">
        <w:t>zal</w:t>
      </w:r>
      <w:r>
        <w:t xml:space="preserve"> </w:t>
      </w:r>
      <w:r w:rsidR="00D645C8">
        <w:t>het ministerie van VWS</w:t>
      </w:r>
      <w:r>
        <w:t xml:space="preserve"> </w:t>
      </w:r>
      <w:r w:rsidR="001B091F">
        <w:t xml:space="preserve">binnenkort de volgende </w:t>
      </w:r>
      <w:r>
        <w:t xml:space="preserve">partijen uitnodigen </w:t>
      </w:r>
      <w:r w:rsidR="001B091F">
        <w:t>om</w:t>
      </w:r>
      <w:r w:rsidR="00F12DB1">
        <w:t xml:space="preserve"> vanuit ieders rol en verantwoordelijkheid</w:t>
      </w:r>
      <w:r w:rsidR="001B091F">
        <w:t xml:space="preserve"> </w:t>
      </w:r>
      <w:r>
        <w:t xml:space="preserve">de handen ineen te slaan: de </w:t>
      </w:r>
      <w:r w:rsidRPr="00E47098" w:rsidR="00FA4A6C">
        <w:t>Nederlandse Vereniging voor Obstetrie en Gynaecologie (NVOG)</w:t>
      </w:r>
      <w:r>
        <w:t xml:space="preserve">, fertiliteitsklinieken, </w:t>
      </w:r>
      <w:r w:rsidR="00FA4A6C">
        <w:t xml:space="preserve">spermabanken, </w:t>
      </w:r>
      <w:r>
        <w:t>F</w:t>
      </w:r>
      <w:r w:rsidR="00B233A1">
        <w:t>iom</w:t>
      </w:r>
      <w:r>
        <w:t>,</w:t>
      </w:r>
      <w:r w:rsidR="00125CF6">
        <w:t xml:space="preserve"> POINT (beroepsgroep counselors)</w:t>
      </w:r>
      <w:r>
        <w:t xml:space="preserve">, het </w:t>
      </w:r>
      <w:r w:rsidR="00FA4A6C">
        <w:t>C</w:t>
      </w:r>
      <w:r>
        <w:t>dkb, de IGJ,</w:t>
      </w:r>
      <w:r w:rsidR="00FA4A6C">
        <w:t xml:space="preserve"> en belangenvertegenwoordigers als</w:t>
      </w:r>
      <w:r>
        <w:t xml:space="preserve"> Stichting Donorkind,</w:t>
      </w:r>
      <w:r w:rsidRPr="00654075">
        <w:t xml:space="preserve"> Priamos, </w:t>
      </w:r>
      <w:r>
        <w:t xml:space="preserve">Freya en Meer dan </w:t>
      </w:r>
      <w:r w:rsidR="00B233A1">
        <w:t>G</w:t>
      </w:r>
      <w:r>
        <w:t>ewenst.</w:t>
      </w:r>
      <w:r w:rsidR="0023136D">
        <w:t xml:space="preserve"> </w:t>
      </w:r>
    </w:p>
    <w:p w:rsidR="00C55AF7" w:rsidP="00C55AF7" w:rsidRDefault="00C55AF7" w14:paraId="6FE8208D" w14:textId="77777777"/>
    <w:p w:rsidR="00B06C4D" w:rsidP="00B06C4D" w:rsidRDefault="00000000" w14:paraId="3735B4B0" w14:textId="7A23F06E">
      <w:r>
        <w:t xml:space="preserve">Binnen </w:t>
      </w:r>
      <w:r w:rsidR="00F079A1">
        <w:t>dit traject kan mogelijke aanpassing van wet- en regelgeving</w:t>
      </w:r>
      <w:r w:rsidR="00E04532">
        <w:t xml:space="preserve"> (regulering via de W</w:t>
      </w:r>
      <w:r w:rsidRPr="00026446" w:rsidR="00E04532">
        <w:t>zl</w:t>
      </w:r>
      <w:r w:rsidR="00E04532">
        <w:t>, en/of Europese regelgeving)</w:t>
      </w:r>
      <w:r w:rsidR="00F079A1">
        <w:t xml:space="preserve"> </w:t>
      </w:r>
      <w:r w:rsidR="00E04532">
        <w:t xml:space="preserve">in gezamenlijkheid </w:t>
      </w:r>
      <w:r w:rsidR="00F079A1">
        <w:t>worden voorbereid.</w:t>
      </w:r>
      <w:r w:rsidR="00E04532">
        <w:t xml:space="preserve"> </w:t>
      </w:r>
      <w:r>
        <w:t xml:space="preserve">Ook </w:t>
      </w:r>
      <w:r w:rsidR="00FA4A6C">
        <w:t>zouden</w:t>
      </w:r>
      <w:r>
        <w:t xml:space="preserve"> de partijen een</w:t>
      </w:r>
      <w:r w:rsidR="00C55AF7">
        <w:t xml:space="preserve"> gedeelde </w:t>
      </w:r>
      <w:r>
        <w:t>‘</w:t>
      </w:r>
      <w:r w:rsidR="00C55AF7">
        <w:t>agenda grensoverschrijdende donorconceptie</w:t>
      </w:r>
      <w:r w:rsidR="00FB4D85">
        <w:t>’</w:t>
      </w:r>
      <w:r>
        <w:t xml:space="preserve"> </w:t>
      </w:r>
      <w:r w:rsidR="00FA4A6C">
        <w:t xml:space="preserve">kunnen </w:t>
      </w:r>
      <w:r>
        <w:t xml:space="preserve">opstellen. Onderdelen van die agenda </w:t>
      </w:r>
      <w:r w:rsidR="00C1639E">
        <w:t>kunnen</w:t>
      </w:r>
      <w:r w:rsidR="001B091F">
        <w:t xml:space="preserve"> dan</w:t>
      </w:r>
      <w:r>
        <w:t xml:space="preserve"> </w:t>
      </w:r>
      <w:r w:rsidR="00C1639E">
        <w:t xml:space="preserve">worden </w:t>
      </w:r>
      <w:r>
        <w:t>uitgewerkt door partijen die er de verantwoordelijkheid voor dragen. Denk hierbij aan</w:t>
      </w:r>
      <w:r w:rsidR="00DF6973">
        <w:t xml:space="preserve"> het volgende</w:t>
      </w:r>
      <w:r>
        <w:t>:</w:t>
      </w:r>
      <w:r w:rsidR="0023136D">
        <w:t xml:space="preserve"> </w:t>
      </w:r>
    </w:p>
    <w:p w:rsidR="00B06C4D" w:rsidP="00B06C4D" w:rsidRDefault="00000000" w14:paraId="22619A55" w14:textId="77777777">
      <w:pPr>
        <w:pStyle w:val="Lijstalinea"/>
        <w:numPr>
          <w:ilvl w:val="0"/>
          <w:numId w:val="8"/>
        </w:numPr>
      </w:pPr>
      <w:r>
        <w:t>V</w:t>
      </w:r>
      <w:r w:rsidR="004F22B1">
        <w:t>oorbereiding van mogelijke a</w:t>
      </w:r>
      <w:r w:rsidR="00C55AF7">
        <w:t>anpassing van wet- en regelgeving</w:t>
      </w:r>
      <w:r>
        <w:t xml:space="preserve"> onder regie van het ministerie van VWS. </w:t>
      </w:r>
    </w:p>
    <w:p w:rsidR="00B06C4D" w:rsidP="00B06C4D" w:rsidRDefault="00000000" w14:paraId="156A72EB" w14:textId="77777777">
      <w:pPr>
        <w:pStyle w:val="Lijstalinea"/>
        <w:numPr>
          <w:ilvl w:val="0"/>
          <w:numId w:val="8"/>
        </w:numPr>
      </w:pPr>
      <w:r>
        <w:t xml:space="preserve">Het maken van aanvullende afspraken door </w:t>
      </w:r>
      <w:r w:rsidR="00B233A1">
        <w:t>fertiliteits</w:t>
      </w:r>
      <w:r>
        <w:t>klinieken met buitenlandse spermabanken. Bijvoorbeeld</w:t>
      </w:r>
      <w:r w:rsidR="003A3A2D">
        <w:t xml:space="preserve"> over</w:t>
      </w:r>
      <w:r>
        <w:t xml:space="preserve"> </w:t>
      </w:r>
      <w:r w:rsidR="003A3A2D">
        <w:t xml:space="preserve">een maximumaantal vrouwen </w:t>
      </w:r>
      <w:r w:rsidR="00B233A1">
        <w:t xml:space="preserve">dat met het sperma van één donor </w:t>
      </w:r>
      <w:r w:rsidR="007C5E57">
        <w:t xml:space="preserve">wereldwijd </w:t>
      </w:r>
      <w:r w:rsidR="00B233A1">
        <w:t>behandeld mag worden</w:t>
      </w:r>
      <w:r w:rsidR="003A3A2D">
        <w:t>, of de</w:t>
      </w:r>
      <w:r w:rsidR="00C55AF7">
        <w:t xml:space="preserve"> eis dat </w:t>
      </w:r>
      <w:r w:rsidR="00C1639E">
        <w:t>sperma</w:t>
      </w:r>
      <w:r w:rsidR="00C55AF7">
        <w:t xml:space="preserve">banken </w:t>
      </w:r>
      <w:r w:rsidR="007C5E57">
        <w:t xml:space="preserve">verplicht zijn zich in te spannen om </w:t>
      </w:r>
      <w:r w:rsidR="00C1639E">
        <w:t xml:space="preserve">actuele </w:t>
      </w:r>
      <w:r w:rsidR="00E47098">
        <w:t>contactgegevens van donoren bij</w:t>
      </w:r>
      <w:r w:rsidR="007C5E57">
        <w:t xml:space="preserve"> te </w:t>
      </w:r>
      <w:r w:rsidR="00E47098">
        <w:t>houden</w:t>
      </w:r>
      <w:r w:rsidR="007C5E57">
        <w:t xml:space="preserve">. </w:t>
      </w:r>
      <w:r w:rsidR="00E47098">
        <w:t xml:space="preserve"> </w:t>
      </w:r>
    </w:p>
    <w:p w:rsidR="003A3A2D" w:rsidP="00B06C4D" w:rsidRDefault="00000000" w14:paraId="2FC75227" w14:textId="77777777">
      <w:pPr>
        <w:pStyle w:val="Lijstalinea"/>
        <w:numPr>
          <w:ilvl w:val="0"/>
          <w:numId w:val="8"/>
        </w:numPr>
      </w:pPr>
      <w:r>
        <w:t>Door het ministerie van VWS wordt momenteel verkend</w:t>
      </w:r>
      <w:r w:rsidRPr="003A3A2D">
        <w:t xml:space="preserve"> welke aanvullende </w:t>
      </w:r>
      <w:r>
        <w:t>donor</w:t>
      </w:r>
      <w:r w:rsidRPr="003A3A2D">
        <w:t xml:space="preserve">gegevens geregistreerd </w:t>
      </w:r>
      <w:r>
        <w:t>kunnen</w:t>
      </w:r>
      <w:r w:rsidRPr="003A3A2D" w:rsidR="001B229B">
        <w:t xml:space="preserve"> </w:t>
      </w:r>
      <w:r w:rsidRPr="003A3A2D">
        <w:t xml:space="preserve">worden </w:t>
      </w:r>
      <w:r>
        <w:t xml:space="preserve">door </w:t>
      </w:r>
      <w:r w:rsidR="00B233A1">
        <w:t>fertiliteits</w:t>
      </w:r>
      <w:r>
        <w:t>klinieken</w:t>
      </w:r>
      <w:r w:rsidR="00E574BA">
        <w:t xml:space="preserve">. Door </w:t>
      </w:r>
      <w:r w:rsidRPr="003A3A2D" w:rsidR="00E574BA">
        <w:t xml:space="preserve">een </w:t>
      </w:r>
      <w:r w:rsidR="001B229B">
        <w:t xml:space="preserve">persoonsnummer, een </w:t>
      </w:r>
      <w:r w:rsidRPr="003A3A2D" w:rsidR="00E574BA">
        <w:t xml:space="preserve">e-mailadres, het adres ten tijde van donatie en de </w:t>
      </w:r>
      <w:r w:rsidR="00C1639E">
        <w:t>sperma</w:t>
      </w:r>
      <w:r w:rsidRPr="003A3A2D" w:rsidR="00E574BA">
        <w:t>bank waar de donor heeft gedoneerd</w:t>
      </w:r>
      <w:r w:rsidR="00E574BA">
        <w:t xml:space="preserve"> vast te leggen </w:t>
      </w:r>
      <w:r w:rsidR="00DF6973">
        <w:t>kan</w:t>
      </w:r>
      <w:r w:rsidRPr="003A3A2D">
        <w:t xml:space="preserve"> de vindbaarheid van donoren in het buitenland </w:t>
      </w:r>
      <w:r w:rsidR="00E574BA">
        <w:t>worden vergroot</w:t>
      </w:r>
      <w:r w:rsidR="00E005ED">
        <w:t>.</w:t>
      </w:r>
      <w:r>
        <w:rPr>
          <w:rStyle w:val="Voetnootmarkering"/>
        </w:rPr>
        <w:footnoteReference w:id="15"/>
      </w:r>
      <w:r w:rsidRPr="003A3A2D">
        <w:t xml:space="preserve"> </w:t>
      </w:r>
    </w:p>
    <w:p w:rsidR="00E47098" w:rsidP="00B06C4D" w:rsidRDefault="00000000" w14:paraId="0CA75F2A" w14:textId="77777777">
      <w:pPr>
        <w:pStyle w:val="Lijstalinea"/>
        <w:numPr>
          <w:ilvl w:val="0"/>
          <w:numId w:val="8"/>
        </w:numPr>
      </w:pPr>
      <w:r>
        <w:t>Een initiatief van</w:t>
      </w:r>
      <w:r w:rsidR="00FA4A6C">
        <w:t xml:space="preserve"> de NVOG</w:t>
      </w:r>
      <w:r w:rsidR="00B06C4D">
        <w:t xml:space="preserve"> ten behoeve van </w:t>
      </w:r>
      <w:r w:rsidR="00FA4A6C">
        <w:t>gezamenlijke</w:t>
      </w:r>
      <w:r w:rsidR="00B06C4D">
        <w:t xml:space="preserve"> werving van donoren</w:t>
      </w:r>
      <w:r>
        <w:t xml:space="preserve"> </w:t>
      </w:r>
      <w:r w:rsidR="00040F63">
        <w:t xml:space="preserve">en </w:t>
      </w:r>
      <w:r>
        <w:t xml:space="preserve">centralisatie van </w:t>
      </w:r>
      <w:r w:rsidRPr="00E47098">
        <w:t xml:space="preserve">processen, waaronder de administratie en screening van </w:t>
      </w:r>
      <w:r w:rsidR="00B233A1">
        <w:t>sperma</w:t>
      </w:r>
      <w:r w:rsidRPr="00E47098">
        <w:t>donoren en het beschikbaar stellen van donorgegevens.</w:t>
      </w:r>
      <w:r>
        <w:t xml:space="preserve"> </w:t>
      </w:r>
      <w:r w:rsidR="00A03EF8">
        <w:t>Het ministerie van VWS is</w:t>
      </w:r>
      <w:r>
        <w:t xml:space="preserve"> van harte bereid </w:t>
      </w:r>
      <w:r w:rsidR="00C55AF7">
        <w:t xml:space="preserve">om mee te denken over </w:t>
      </w:r>
      <w:r w:rsidR="00040F63">
        <w:t xml:space="preserve">de </w:t>
      </w:r>
      <w:r w:rsidR="00C55AF7">
        <w:t>logistieke aspecten</w:t>
      </w:r>
      <w:r w:rsidR="00040F63">
        <w:t xml:space="preserve">, </w:t>
      </w:r>
      <w:r w:rsidR="00FA4A6C">
        <w:t xml:space="preserve">en </w:t>
      </w:r>
      <w:r w:rsidR="00E37EC4">
        <w:t xml:space="preserve">eventuele </w:t>
      </w:r>
      <w:r w:rsidR="00492327">
        <w:t xml:space="preserve">aansluiting </w:t>
      </w:r>
      <w:r w:rsidR="00FA4A6C">
        <w:t>op</w:t>
      </w:r>
      <w:r w:rsidR="00492327">
        <w:t xml:space="preserve"> </w:t>
      </w:r>
      <w:r w:rsidR="00FA4A6C">
        <w:t xml:space="preserve">het register </w:t>
      </w:r>
      <w:r w:rsidR="00492327">
        <w:t xml:space="preserve">van het </w:t>
      </w:r>
      <w:r w:rsidR="00C55AF7">
        <w:t>Cdkb</w:t>
      </w:r>
      <w:r>
        <w:t xml:space="preserve">. </w:t>
      </w:r>
    </w:p>
    <w:p w:rsidR="001B091F" w:rsidP="00D02EEA" w:rsidRDefault="001B091F" w14:paraId="0BFA7C31" w14:textId="77777777">
      <w:pPr>
        <w:rPr>
          <w:b/>
          <w:bCs/>
        </w:rPr>
      </w:pPr>
    </w:p>
    <w:p w:rsidR="00F45C15" w:rsidP="00D02EEA" w:rsidRDefault="00F45C15" w14:paraId="34C89E19" w14:textId="77777777">
      <w:pPr>
        <w:rPr>
          <w:b/>
          <w:bCs/>
        </w:rPr>
      </w:pPr>
    </w:p>
    <w:p w:rsidR="00F45C15" w:rsidP="00D02EEA" w:rsidRDefault="00F45C15" w14:paraId="4FD5BE4D" w14:textId="77777777">
      <w:pPr>
        <w:rPr>
          <w:b/>
          <w:bCs/>
        </w:rPr>
      </w:pPr>
    </w:p>
    <w:p w:rsidR="00F45C15" w:rsidP="00D02EEA" w:rsidRDefault="00F45C15" w14:paraId="3A67A648" w14:textId="77777777">
      <w:pPr>
        <w:rPr>
          <w:b/>
          <w:bCs/>
        </w:rPr>
      </w:pPr>
    </w:p>
    <w:p w:rsidR="00F45C15" w:rsidP="00D02EEA" w:rsidRDefault="00F45C15" w14:paraId="78D9E2DB" w14:textId="77777777">
      <w:pPr>
        <w:rPr>
          <w:b/>
          <w:bCs/>
        </w:rPr>
      </w:pPr>
    </w:p>
    <w:p w:rsidR="00D02EEA" w:rsidP="00D02EEA" w:rsidRDefault="00000000" w14:paraId="237B248A" w14:textId="77777777">
      <w:pPr>
        <w:rPr>
          <w:b/>
          <w:bCs/>
        </w:rPr>
      </w:pPr>
      <w:r>
        <w:rPr>
          <w:b/>
          <w:bCs/>
        </w:rPr>
        <w:t>Donorconceptie in de toekomst</w:t>
      </w:r>
    </w:p>
    <w:p w:rsidR="00F5674E" w:rsidP="00F5674E" w:rsidRDefault="00000000" w14:paraId="208A0E43" w14:textId="77777777">
      <w:r>
        <w:t>D</w:t>
      </w:r>
      <w:r w:rsidR="00125CF6">
        <w:t>e praktijk van d</w:t>
      </w:r>
      <w:r>
        <w:t xml:space="preserve">onorconceptie in Nederland is de afgelopen jaren sterk veranderd. De </w:t>
      </w:r>
      <w:r w:rsidR="00125CF6">
        <w:t>herziene</w:t>
      </w:r>
      <w:r>
        <w:t xml:space="preserve"> Wdkb en de nauwkeurige registratie van behandelingen met donorsperma door het Cdkb biedt donorkinderen, wensouders en donoren meer zekerheid en duidelijkheid</w:t>
      </w:r>
      <w:r w:rsidR="001B229B">
        <w:t>.</w:t>
      </w:r>
      <w:r>
        <w:t xml:space="preserve"> Dit laat zien dat vooruitgang mogelijk is. De opkomst van het gebruik van buitenlandse spermabanken toont echter aan dat het werk nog niet af is. </w:t>
      </w:r>
      <w:r w:rsidR="00B233A1">
        <w:t xml:space="preserve">Gelukkig </w:t>
      </w:r>
      <w:r>
        <w:t xml:space="preserve">voelen </w:t>
      </w:r>
      <w:r w:rsidR="00B233A1">
        <w:t xml:space="preserve">velen </w:t>
      </w:r>
      <w:r>
        <w:t xml:space="preserve">de noodzaak om te werken aan een </w:t>
      </w:r>
      <w:r w:rsidR="005E5430">
        <w:t xml:space="preserve">toekomst waarin </w:t>
      </w:r>
      <w:r w:rsidR="008448ED">
        <w:t xml:space="preserve">donorsperma uit het buitenland </w:t>
      </w:r>
      <w:r w:rsidR="005E5430">
        <w:t xml:space="preserve">niet of veel minder wordt gebruikt, </w:t>
      </w:r>
      <w:r>
        <w:t xml:space="preserve">of </w:t>
      </w:r>
      <w:r w:rsidR="00D02EEA">
        <w:t>in ieder geval</w:t>
      </w:r>
      <w:r w:rsidR="008448ED">
        <w:t xml:space="preserve"> </w:t>
      </w:r>
      <w:r w:rsidR="005E5430">
        <w:t xml:space="preserve">onder </w:t>
      </w:r>
      <w:r w:rsidR="008448ED">
        <w:t xml:space="preserve">dezelfde </w:t>
      </w:r>
      <w:r w:rsidRPr="008448ED" w:rsidR="008448ED">
        <w:t xml:space="preserve">waarborgen </w:t>
      </w:r>
      <w:r w:rsidR="008448ED">
        <w:t>die in</w:t>
      </w:r>
      <w:r w:rsidRPr="008448ED" w:rsidR="008448ED">
        <w:t xml:space="preserve"> Nederland</w:t>
      </w:r>
      <w:r w:rsidR="008448ED">
        <w:t xml:space="preserve"> </w:t>
      </w:r>
      <w:r w:rsidR="00125CF6">
        <w:t>geld</w:t>
      </w:r>
      <w:r w:rsidR="008448ED">
        <w:t>en</w:t>
      </w:r>
      <w:r w:rsidRPr="008448ED" w:rsidR="008448ED">
        <w:t>.</w:t>
      </w:r>
      <w:r w:rsidR="00492327">
        <w:t xml:space="preserve"> </w:t>
      </w:r>
      <w:r w:rsidR="00040F63">
        <w:t>De tijd is rijp</w:t>
      </w:r>
      <w:r w:rsidR="002E1A1C">
        <w:t xml:space="preserve"> </w:t>
      </w:r>
      <w:r w:rsidRPr="00D02EEA" w:rsidR="002E1A1C">
        <w:t xml:space="preserve">voor </w:t>
      </w:r>
      <w:r w:rsidR="002E1A1C">
        <w:t>hernieuwde</w:t>
      </w:r>
      <w:r w:rsidRPr="00D02EEA" w:rsidR="002E1A1C">
        <w:t xml:space="preserve"> inspanningen van de overheid en andere partijen om massadonatie en de ongewenste effecten </w:t>
      </w:r>
      <w:r w:rsidR="002E1A1C">
        <w:t xml:space="preserve">van gebruik van buitenlands donorsperma </w:t>
      </w:r>
      <w:r w:rsidRPr="00D02EEA" w:rsidR="002E1A1C">
        <w:t xml:space="preserve">tegen te gaan. </w:t>
      </w:r>
      <w:r w:rsidR="002E1A1C">
        <w:t xml:space="preserve">De </w:t>
      </w:r>
      <w:r w:rsidR="005E5430">
        <w:t xml:space="preserve">drie </w:t>
      </w:r>
      <w:r w:rsidR="002C31F0">
        <w:t xml:space="preserve">in deze brief </w:t>
      </w:r>
      <w:r w:rsidR="005E5430">
        <w:t>besproken routes</w:t>
      </w:r>
      <w:r w:rsidR="002C31F0">
        <w:t xml:space="preserve"> </w:t>
      </w:r>
      <w:r w:rsidR="001E2846">
        <w:t>– regulering v</w:t>
      </w:r>
      <w:r w:rsidR="002C31F0">
        <w:t xml:space="preserve">ia de Wzl, Europese </w:t>
      </w:r>
      <w:r w:rsidR="00DF6973">
        <w:t>regu</w:t>
      </w:r>
      <w:r w:rsidR="001B229B">
        <w:t>le</w:t>
      </w:r>
      <w:r w:rsidR="00DF6973">
        <w:t>ring</w:t>
      </w:r>
      <w:r w:rsidR="002C31F0">
        <w:t xml:space="preserve">, en een breed samenwerkingstraject – </w:t>
      </w:r>
      <w:r>
        <w:t>kunnen</w:t>
      </w:r>
      <w:r w:rsidR="002C31F0">
        <w:t xml:space="preserve"> bijdragen aan het realiseren van </w:t>
      </w:r>
      <w:r>
        <w:t>meer verantwoorde donorconceptie in de toekomst</w:t>
      </w:r>
      <w:r w:rsidR="002C31F0">
        <w:t>.</w:t>
      </w:r>
      <w:r w:rsidR="0077069B">
        <w:t xml:space="preserve"> Voor aanpassing van </w:t>
      </w:r>
      <w:r w:rsidR="003563FF">
        <w:t xml:space="preserve">nationale </w:t>
      </w:r>
      <w:r w:rsidR="0077069B">
        <w:t>wet- en regelgeving is het nieuwe kabinet aan zet.</w:t>
      </w:r>
    </w:p>
    <w:p w:rsidR="00F5674E" w:rsidP="00F5674E" w:rsidRDefault="00F5674E" w14:paraId="514262BB" w14:textId="77777777"/>
    <w:p w:rsidRPr="009A31BF" w:rsidR="00CD5856" w:rsidP="00F5674E" w:rsidRDefault="00000000" w14:paraId="7D0C9BE0" w14:textId="0A0A894F">
      <w:r>
        <w:t>Hoogachtend,</w:t>
      </w:r>
    </w:p>
    <w:p w:rsidR="00BC481F" w:rsidP="00463DBC" w:rsidRDefault="00BC481F" w14:paraId="67C4C8F9" w14:textId="77777777">
      <w:pPr>
        <w:spacing w:line="240" w:lineRule="auto"/>
        <w:rPr>
          <w:noProof/>
        </w:rPr>
      </w:pPr>
    </w:p>
    <w:p w:rsidR="00F5674E" w:rsidP="00C62B6C" w:rsidRDefault="00F5674E" w14:paraId="619BC4C5" w14:textId="77777777">
      <w:pPr>
        <w:spacing w:line="240" w:lineRule="atLeast"/>
        <w:jc w:val="both"/>
      </w:pPr>
      <w:r>
        <w:t xml:space="preserve">de staatssecretaris Jeugd, </w:t>
      </w:r>
    </w:p>
    <w:p w:rsidR="00C62B6C" w:rsidP="00C62B6C" w:rsidRDefault="00000000" w14:paraId="035EE82E" w14:textId="7078B3EF">
      <w:pPr>
        <w:spacing w:line="240" w:lineRule="atLeast"/>
        <w:jc w:val="both"/>
        <w:rPr>
          <w:szCs w:val="18"/>
        </w:rPr>
      </w:pPr>
      <w:r>
        <w:t>Preventie en Sport</w:t>
      </w:r>
      <w:r>
        <w:rPr>
          <w:szCs w:val="18"/>
        </w:rPr>
        <w:t>,</w:t>
      </w:r>
    </w:p>
    <w:p w:rsidRPr="007B6A41" w:rsidR="00C62B6C" w:rsidP="00C62B6C" w:rsidRDefault="00C62B6C" w14:paraId="6AFDD984" w14:textId="77777777">
      <w:pPr>
        <w:spacing w:line="240" w:lineRule="atLeast"/>
        <w:rPr>
          <w:szCs w:val="18"/>
        </w:rPr>
      </w:pPr>
      <w:bookmarkStart w:name="bmkHandtekening" w:id="2"/>
    </w:p>
    <w:bookmarkEnd w:id="2"/>
    <w:p w:rsidR="00F5674E" w:rsidP="00C62B6C" w:rsidRDefault="00000000" w14:paraId="6CD7C882" w14:textId="77777777">
      <w:pPr>
        <w:spacing w:line="240" w:lineRule="atLeast"/>
      </w:pPr>
      <w:r>
        <w:cr/>
      </w:r>
    </w:p>
    <w:p w:rsidR="00F5674E" w:rsidP="00C62B6C" w:rsidRDefault="00F5674E" w14:paraId="30A57A68" w14:textId="77777777">
      <w:pPr>
        <w:spacing w:line="240" w:lineRule="atLeast"/>
      </w:pPr>
    </w:p>
    <w:p w:rsidRPr="007B6A41" w:rsidR="00C62B6C" w:rsidP="00C62B6C" w:rsidRDefault="00000000" w14:paraId="278E8E9F" w14:textId="38CD2231">
      <w:pPr>
        <w:spacing w:line="240" w:lineRule="atLeast"/>
        <w:rPr>
          <w:szCs w:val="18"/>
        </w:rPr>
      </w:pPr>
      <w:r>
        <w:cr/>
      </w:r>
    </w:p>
    <w:p w:rsidRPr="007B6A41" w:rsidR="00C62B6C" w:rsidP="00C62B6C" w:rsidRDefault="00000000" w14:paraId="2302325F" w14:textId="77777777">
      <w:pPr>
        <w:spacing w:line="240" w:lineRule="atLeast"/>
        <w:jc w:val="both"/>
        <w:rPr>
          <w:szCs w:val="18"/>
        </w:rPr>
      </w:pPr>
      <w:r>
        <w:t>Judith Zs.C.M. Tielen</w:t>
      </w:r>
    </w:p>
    <w:p w:rsidR="00C95CA9" w:rsidRDefault="00C95CA9" w14:paraId="26531A5D"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943D" w14:textId="77777777" w:rsidR="00080D89" w:rsidRDefault="00080D89">
      <w:pPr>
        <w:spacing w:line="240" w:lineRule="auto"/>
      </w:pPr>
      <w:r>
        <w:separator/>
      </w:r>
    </w:p>
  </w:endnote>
  <w:endnote w:type="continuationSeparator" w:id="0">
    <w:p w14:paraId="5732BDA6" w14:textId="77777777" w:rsidR="00080D89" w:rsidRDefault="00080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DF3"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271CAFC5" wp14:editId="128FE4B2">
              <wp:simplePos x="0" y="0"/>
              <wp:positionH relativeFrom="page">
                <wp:posOffset>5922645</wp:posOffset>
              </wp:positionH>
              <wp:positionV relativeFrom="page">
                <wp:posOffset>10225405</wp:posOffset>
              </wp:positionV>
              <wp:extent cx="1259840" cy="185420"/>
              <wp:effectExtent l="7620" t="5080" r="8890" b="9525"/>
              <wp:wrapNone/>
              <wp:docPr id="14829725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4BEC7A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71CAFC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4BEC7A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45B4" w14:textId="77777777" w:rsidR="00080D89" w:rsidRDefault="00080D89">
      <w:pPr>
        <w:spacing w:line="240" w:lineRule="auto"/>
      </w:pPr>
      <w:r>
        <w:separator/>
      </w:r>
    </w:p>
  </w:footnote>
  <w:footnote w:type="continuationSeparator" w:id="0">
    <w:p w14:paraId="29D00E59" w14:textId="77777777" w:rsidR="00080D89" w:rsidRDefault="00080D89">
      <w:pPr>
        <w:spacing w:line="240" w:lineRule="auto"/>
      </w:pPr>
      <w:r>
        <w:continuationSeparator/>
      </w:r>
    </w:p>
  </w:footnote>
  <w:footnote w:id="1">
    <w:p w14:paraId="0423D047" w14:textId="77777777" w:rsidR="00F079A1" w:rsidRPr="00FB4D85" w:rsidRDefault="00000000" w:rsidP="00F079A1">
      <w:pPr>
        <w:pStyle w:val="Voetnoottekst"/>
        <w:rPr>
          <w:sz w:val="16"/>
          <w:szCs w:val="16"/>
        </w:rPr>
      </w:pPr>
      <w:r w:rsidRPr="00FB4D85">
        <w:rPr>
          <w:rStyle w:val="Voetnootmarkering"/>
          <w:sz w:val="16"/>
          <w:szCs w:val="16"/>
        </w:rPr>
        <w:footnoteRef/>
      </w:r>
      <w:r w:rsidRPr="00FB4D85">
        <w:rPr>
          <w:sz w:val="16"/>
          <w:szCs w:val="16"/>
        </w:rPr>
        <w:t xml:space="preserve"> In deze brief wordt onder ‘massadonatie’ verstaan: het moedwillig doen ontstaan van grote aantallen nakomelingen van één donor. Een kleine groep donoren heeft bewust bij verschillende (internationale) spermabanken gedoneerd, om veel nakomelingen te krijgen. Veel andere donoren werden onvoldoende geïnformeerd over het aantal behandelingen met hun sperma. Zij zijn buiten hun schuld en buiten hun medeweten om ‘massadonor’ geworden. Sommigen ervaren de term massadonor daardoor als onnodig grievend en verkiezen terminologie als ‘overschrijdingsdonor’ of ‘donor met veel nakomelingen’. </w:t>
      </w:r>
    </w:p>
  </w:footnote>
  <w:footnote w:id="2">
    <w:p w14:paraId="6CF9EA30" w14:textId="77777777" w:rsidR="0005450E"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Dijksterhuis, B., ten Oever, H., Jager, T., Bou-Sfia, S., &amp; Frederiks, B. (2025). Regulering in Nederland van massadonatie in internationale context. </w:t>
      </w:r>
      <w:r w:rsidRPr="00FB4D85">
        <w:rPr>
          <w:i/>
          <w:iCs/>
          <w:sz w:val="16"/>
          <w:szCs w:val="16"/>
        </w:rPr>
        <w:t>Nederlands Juristenblad</w:t>
      </w:r>
      <w:r w:rsidRPr="00FB4D85">
        <w:rPr>
          <w:sz w:val="16"/>
          <w:szCs w:val="16"/>
        </w:rPr>
        <w:t>, </w:t>
      </w:r>
      <w:r w:rsidRPr="00FB4D85">
        <w:rPr>
          <w:i/>
          <w:iCs/>
          <w:sz w:val="16"/>
          <w:szCs w:val="16"/>
        </w:rPr>
        <w:t>100</w:t>
      </w:r>
      <w:r w:rsidR="004E637A" w:rsidRPr="00FB4D85">
        <w:rPr>
          <w:i/>
          <w:iCs/>
          <w:sz w:val="16"/>
          <w:szCs w:val="16"/>
        </w:rPr>
        <w:t xml:space="preserve"> </w:t>
      </w:r>
      <w:r w:rsidRPr="00FB4D85">
        <w:rPr>
          <w:sz w:val="16"/>
          <w:szCs w:val="16"/>
        </w:rPr>
        <w:t xml:space="preserve">(31), 2599-2606. </w:t>
      </w:r>
    </w:p>
  </w:footnote>
  <w:footnote w:id="3">
    <w:p w14:paraId="4A9A2EB2" w14:textId="77777777" w:rsidR="00B233A1" w:rsidRPr="00FB4D85" w:rsidRDefault="00000000" w:rsidP="00B233A1">
      <w:pPr>
        <w:pStyle w:val="Voetnoottekst"/>
        <w:rPr>
          <w:sz w:val="16"/>
          <w:szCs w:val="16"/>
        </w:rPr>
      </w:pPr>
      <w:r w:rsidRPr="00FB4D85">
        <w:rPr>
          <w:rStyle w:val="Voetnootmarkering"/>
          <w:sz w:val="16"/>
          <w:szCs w:val="16"/>
        </w:rPr>
        <w:footnoteRef/>
      </w:r>
      <w:r w:rsidRPr="00FB4D85">
        <w:rPr>
          <w:sz w:val="16"/>
          <w:szCs w:val="16"/>
        </w:rPr>
        <w:t xml:space="preserve"> </w:t>
      </w:r>
      <w:r w:rsidR="00F7635B" w:rsidRPr="00FB4D85">
        <w:rPr>
          <w:sz w:val="16"/>
          <w:szCs w:val="16"/>
        </w:rPr>
        <w:t>De motie Diederik van Dijk c.s. verzoekt de regering massadonatie door Nederlandse donoren via buitenlandse spermabanken of fertiliteitsklinieken in woord en daad actief te ontmoedigen, en zich in Europese en internationale gremia sterk te blijven maken voor juridische maatregelen om massadonatie tegen te gaan (Kamerstuk 36600-XVI, nr. 94</w:t>
      </w:r>
      <w:r w:rsidRPr="00FB4D85">
        <w:rPr>
          <w:sz w:val="16"/>
          <w:szCs w:val="16"/>
        </w:rPr>
        <w:t>).</w:t>
      </w:r>
    </w:p>
  </w:footnote>
  <w:footnote w:id="4">
    <w:p w14:paraId="17FE34DD" w14:textId="77777777" w:rsidR="005D13DA"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Met ingang van 1 </w:t>
      </w:r>
      <w:r w:rsidR="006A3877" w:rsidRPr="00FB4D85">
        <w:rPr>
          <w:sz w:val="16"/>
          <w:szCs w:val="16"/>
        </w:rPr>
        <w:t>april</w:t>
      </w:r>
      <w:r w:rsidRPr="00FB4D85">
        <w:rPr>
          <w:sz w:val="16"/>
          <w:szCs w:val="16"/>
        </w:rPr>
        <w:t xml:space="preserve"> 2025 is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w:t>
      </w:r>
      <w:hyperlink r:id="rId1" w:tooltip="link naar publicatie stb-2023-294" w:history="1">
        <w:r w:rsidR="005D13DA" w:rsidRPr="00FB4D85">
          <w:rPr>
            <w:rStyle w:val="Hyperlink"/>
            <w:sz w:val="16"/>
            <w:szCs w:val="16"/>
          </w:rPr>
          <w:t>Stb. 2023, 294</w:t>
        </w:r>
      </w:hyperlink>
      <w:r w:rsidRPr="00FB4D85">
        <w:rPr>
          <w:sz w:val="16"/>
          <w:szCs w:val="16"/>
        </w:rPr>
        <w:t>) in werking getreden (Stb. 2024, 3</w:t>
      </w:r>
      <w:r w:rsidR="006A3877" w:rsidRPr="00FB4D85">
        <w:rPr>
          <w:sz w:val="16"/>
          <w:szCs w:val="16"/>
        </w:rPr>
        <w:t>73</w:t>
      </w:r>
      <w:r w:rsidRPr="00FB4D85">
        <w:rPr>
          <w:sz w:val="16"/>
          <w:szCs w:val="16"/>
        </w:rPr>
        <w:t>).</w:t>
      </w:r>
    </w:p>
  </w:footnote>
  <w:footnote w:id="5">
    <w:p w14:paraId="0E3EBFBB" w14:textId="77777777" w:rsidR="00125CF6" w:rsidRPr="00FB4D85" w:rsidRDefault="00000000" w:rsidP="00125CF6">
      <w:pPr>
        <w:pStyle w:val="Voetnoottekst"/>
        <w:rPr>
          <w:sz w:val="16"/>
          <w:szCs w:val="16"/>
          <w:lang w:val="en-US"/>
        </w:rPr>
      </w:pPr>
      <w:r w:rsidRPr="00FB4D85">
        <w:rPr>
          <w:rStyle w:val="Voetnootmarkering"/>
          <w:sz w:val="16"/>
          <w:szCs w:val="16"/>
        </w:rPr>
        <w:footnoteRef/>
      </w:r>
      <w:r w:rsidRPr="00FB4D85">
        <w:rPr>
          <w:sz w:val="16"/>
          <w:szCs w:val="16"/>
          <w:lang w:val="en-US"/>
        </w:rPr>
        <w:t xml:space="preserve"> - ESHRE position paper: international limits on the number of offspring per gamete donor, 2025, conceptversie. </w:t>
      </w:r>
    </w:p>
    <w:p w14:paraId="184E1A50" w14:textId="77777777" w:rsidR="00125CF6" w:rsidRPr="00FB4D85" w:rsidRDefault="00000000" w:rsidP="00125CF6">
      <w:pPr>
        <w:pStyle w:val="Voetnoottekst"/>
        <w:rPr>
          <w:sz w:val="16"/>
          <w:szCs w:val="16"/>
          <w:lang w:val="en-US"/>
        </w:rPr>
      </w:pPr>
      <w:r w:rsidRPr="00FB4D85">
        <w:rPr>
          <w:sz w:val="16"/>
          <w:szCs w:val="16"/>
          <w:lang w:val="en-US"/>
        </w:rPr>
        <w:t xml:space="preserve">- Indekeu et al. (2022). Meeting multiple same-donor offspring: psychosocial challenges. Human Fertility, 25(4), 677–687. </w:t>
      </w:r>
    </w:p>
    <w:p w14:paraId="07543D71" w14:textId="77777777" w:rsidR="00125CF6" w:rsidRPr="00FB4D85" w:rsidRDefault="00000000" w:rsidP="00125CF6">
      <w:pPr>
        <w:pStyle w:val="Voetnoottekst"/>
        <w:rPr>
          <w:sz w:val="16"/>
          <w:szCs w:val="16"/>
          <w:lang w:val="en-US"/>
        </w:rPr>
      </w:pPr>
      <w:r w:rsidRPr="00FB4D85">
        <w:rPr>
          <w:sz w:val="16"/>
          <w:szCs w:val="16"/>
          <w:lang w:val="en-US"/>
        </w:rPr>
        <w:t>- Bolt et al. (2023). The ongoing work of kinship among donor half-siblings in The Netherlands. BioSocieties, 18(1), 156-173.</w:t>
      </w:r>
    </w:p>
  </w:footnote>
  <w:footnote w:id="6">
    <w:p w14:paraId="45C5CB60" w14:textId="77777777" w:rsidR="004E637A" w:rsidRPr="00FB4D85" w:rsidRDefault="00000000">
      <w:pPr>
        <w:pStyle w:val="Voetnoottekst"/>
        <w:rPr>
          <w:sz w:val="16"/>
          <w:szCs w:val="16"/>
        </w:rPr>
      </w:pPr>
      <w:r w:rsidRPr="00FB4D85">
        <w:rPr>
          <w:rStyle w:val="Voetnootmarkering"/>
          <w:sz w:val="16"/>
          <w:szCs w:val="16"/>
        </w:rPr>
        <w:footnoteRef/>
      </w:r>
      <w:r w:rsidRPr="00FB4D85">
        <w:rPr>
          <w:sz w:val="16"/>
          <w:szCs w:val="16"/>
          <w:lang w:val="en-US"/>
        </w:rPr>
        <w:t xml:space="preserve"> Janssens PM, et al. Evolving minimum standards in responsible international sperm donor offspring quota. </w:t>
      </w:r>
      <w:r w:rsidRPr="00FB4D85">
        <w:rPr>
          <w:sz w:val="16"/>
          <w:szCs w:val="16"/>
        </w:rPr>
        <w:t xml:space="preserve">Reprod Biomed Online. 2015 Jun; 30 (6): 568-80. </w:t>
      </w:r>
    </w:p>
  </w:footnote>
  <w:footnote w:id="7">
    <w:p w14:paraId="50180BF9" w14:textId="77777777" w:rsidR="000A20A0"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Voorstel van Wet houdende Regels voor handelingen met lichaamsmateriaal, welke worden verricht voor andere doeleinden dan geneeskundige behandeling of diagnostiek van de donor (Wet zeggenschap lichaamsmateriaal) (35844).</w:t>
      </w:r>
    </w:p>
  </w:footnote>
  <w:footnote w:id="8">
    <w:p w14:paraId="45903117" w14:textId="77777777" w:rsidR="00E005ED" w:rsidRPr="00FB4D85" w:rsidRDefault="00000000" w:rsidP="00E005ED">
      <w:pPr>
        <w:pStyle w:val="Voetnoottekst"/>
        <w:rPr>
          <w:sz w:val="16"/>
          <w:szCs w:val="16"/>
        </w:rPr>
      </w:pPr>
      <w:r w:rsidRPr="00FB4D85">
        <w:rPr>
          <w:rStyle w:val="Voetnootmarkering"/>
          <w:sz w:val="16"/>
          <w:szCs w:val="16"/>
        </w:rPr>
        <w:footnoteRef/>
      </w:r>
      <w:r w:rsidRPr="00FB4D85">
        <w:rPr>
          <w:sz w:val="16"/>
          <w:szCs w:val="16"/>
        </w:rPr>
        <w:t xml:space="preserve"> Het gebruik van donorsperma in privékring, dus zonder tussenkomst van een fertiliteitskliniek, blijft toegestaan. </w:t>
      </w:r>
    </w:p>
  </w:footnote>
  <w:footnote w:id="9">
    <w:p w14:paraId="47B80CD5" w14:textId="77777777" w:rsidR="00E005ED" w:rsidRPr="00FB4D85" w:rsidRDefault="00000000" w:rsidP="00E005ED">
      <w:pPr>
        <w:pStyle w:val="Voetnoottekst"/>
        <w:rPr>
          <w:sz w:val="16"/>
          <w:szCs w:val="16"/>
        </w:rPr>
      </w:pPr>
      <w:r w:rsidRPr="00FB4D85">
        <w:rPr>
          <w:rStyle w:val="Voetnootmarkering"/>
          <w:sz w:val="16"/>
          <w:szCs w:val="16"/>
        </w:rPr>
        <w:footnoteRef/>
      </w:r>
      <w:r w:rsidRPr="00FB4D85">
        <w:rPr>
          <w:sz w:val="16"/>
          <w:szCs w:val="16"/>
        </w:rPr>
        <w:t xml:space="preserve"> Bovendien kan niet worden uitgesloten dat wensouders als gevolg van deze regulering vanuit Nederland zullen uitwijken naar omringende landen voor fertiliteitsbehandeling met donorsperma.</w:t>
      </w:r>
    </w:p>
  </w:footnote>
  <w:footnote w:id="10">
    <w:p w14:paraId="7AD11A2C" w14:textId="77777777" w:rsidR="008578C4" w:rsidRPr="00FB4D85" w:rsidRDefault="00000000" w:rsidP="008578C4">
      <w:pPr>
        <w:pStyle w:val="Voetnoottekst"/>
        <w:rPr>
          <w:sz w:val="16"/>
          <w:szCs w:val="16"/>
        </w:rPr>
      </w:pPr>
      <w:r w:rsidRPr="00FB4D85">
        <w:rPr>
          <w:rStyle w:val="Voetnootmarkering"/>
          <w:sz w:val="16"/>
          <w:szCs w:val="16"/>
        </w:rPr>
        <w:footnoteRef/>
      </w:r>
      <w:r w:rsidRPr="00FB4D85">
        <w:rPr>
          <w:sz w:val="16"/>
          <w:szCs w:val="16"/>
          <w:lang w:val="en-US"/>
        </w:rPr>
        <w:t xml:space="preserve"> In de European Committee on Legal Co-operation (CDCJ) van de Raad van Europa is in 2022 de Committee of Experts on Access to Origins (CJ-OR)</w:t>
      </w:r>
      <w:r w:rsidR="0005450E" w:rsidRPr="00FB4D85">
        <w:rPr>
          <w:sz w:val="16"/>
          <w:szCs w:val="16"/>
          <w:lang w:val="en-US"/>
        </w:rPr>
        <w:t xml:space="preserve"> opgericht</w:t>
      </w:r>
      <w:r w:rsidRPr="00FB4D85">
        <w:rPr>
          <w:sz w:val="16"/>
          <w:szCs w:val="16"/>
          <w:lang w:val="en-US"/>
        </w:rPr>
        <w:t xml:space="preserve">. </w:t>
      </w:r>
      <w:r w:rsidR="0005450E" w:rsidRPr="00FB4D85">
        <w:rPr>
          <w:sz w:val="16"/>
          <w:szCs w:val="16"/>
        </w:rPr>
        <w:t>Dit</w:t>
      </w:r>
      <w:r w:rsidRPr="00FB4D85">
        <w:rPr>
          <w:sz w:val="16"/>
          <w:szCs w:val="16"/>
        </w:rPr>
        <w:t xml:space="preserve"> volgde op een aanbeveling uit 2019 van PACE, de parlementaire tak van de Raad van Europa. </w:t>
      </w:r>
      <w:r w:rsidR="0005450E" w:rsidRPr="00FB4D85">
        <w:rPr>
          <w:sz w:val="16"/>
          <w:szCs w:val="16"/>
        </w:rPr>
        <w:t>De</w:t>
      </w:r>
      <w:r w:rsidRPr="00FB4D85">
        <w:rPr>
          <w:sz w:val="16"/>
          <w:szCs w:val="16"/>
        </w:rPr>
        <w:t xml:space="preserve"> werkgroep </w:t>
      </w:r>
      <w:r w:rsidR="0005450E" w:rsidRPr="00FB4D85">
        <w:rPr>
          <w:sz w:val="16"/>
          <w:szCs w:val="16"/>
        </w:rPr>
        <w:t xml:space="preserve">CJ-OR </w:t>
      </w:r>
      <w:r w:rsidRPr="00FB4D85">
        <w:rPr>
          <w:sz w:val="16"/>
          <w:szCs w:val="16"/>
        </w:rPr>
        <w:t xml:space="preserve">ziet op het recht van donorkinderen op afstammingsinformatie, maar Nederland heeft als deelnemer </w:t>
      </w:r>
      <w:r w:rsidR="0005450E" w:rsidRPr="00FB4D85">
        <w:rPr>
          <w:sz w:val="16"/>
          <w:szCs w:val="16"/>
        </w:rPr>
        <w:t xml:space="preserve">gewezen op </w:t>
      </w:r>
      <w:r w:rsidRPr="00FB4D85">
        <w:rPr>
          <w:sz w:val="16"/>
          <w:szCs w:val="16"/>
        </w:rPr>
        <w:t>het belang van maatregelen tegen massadonatie.</w:t>
      </w:r>
    </w:p>
  </w:footnote>
  <w:footnote w:id="11">
    <w:p w14:paraId="42E5FF2C" w14:textId="77777777" w:rsidR="00731975"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w:t>
      </w:r>
      <w:hyperlink r:id="rId2" w:history="1">
        <w:r w:rsidR="00731975" w:rsidRPr="00FB4D85">
          <w:rPr>
            <w:rStyle w:val="Hyperlink"/>
            <w:sz w:val="16"/>
            <w:szCs w:val="16"/>
          </w:rPr>
          <w:t>Regulation - 2024/1938 - EN - EUR-Lex</w:t>
        </w:r>
      </w:hyperlink>
    </w:p>
  </w:footnote>
  <w:footnote w:id="12">
    <w:p w14:paraId="0C7B1820" w14:textId="77777777" w:rsidR="00B233A1"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De EU-gezondheidsraad (EPSCO) gaat onder andere over wet- en regelgeving gericht op gezondheidsbescherming en het vergroten van de kwaliteit van leven van burgers.</w:t>
      </w:r>
    </w:p>
  </w:footnote>
  <w:footnote w:id="13">
    <w:p w14:paraId="69592EA2" w14:textId="77777777" w:rsidR="00EA3AE9"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w:t>
      </w:r>
      <w:hyperlink r:id="rId3" w:history="1">
        <w:r w:rsidR="00EA3AE9" w:rsidRPr="00FB4D85">
          <w:rPr>
            <w:rStyle w:val="Hyperlink"/>
            <w:sz w:val="16"/>
            <w:szCs w:val="16"/>
          </w:rPr>
          <w:t>https://www.etiskraad.dk/media/llxlevu5/nordic-statement-engelsk_end-note.pdf</w:t>
        </w:r>
      </w:hyperlink>
      <w:r w:rsidRPr="00FB4D85">
        <w:rPr>
          <w:sz w:val="16"/>
          <w:szCs w:val="16"/>
        </w:rPr>
        <w:t xml:space="preserve"> </w:t>
      </w:r>
    </w:p>
  </w:footnote>
  <w:footnote w:id="14">
    <w:p w14:paraId="1D5EE0BC" w14:textId="77777777" w:rsidR="003563FF" w:rsidRPr="00FB4D85" w:rsidRDefault="00000000" w:rsidP="003563FF">
      <w:pPr>
        <w:pStyle w:val="Voetnoottekst"/>
        <w:rPr>
          <w:sz w:val="16"/>
          <w:szCs w:val="16"/>
        </w:rPr>
      </w:pPr>
      <w:r w:rsidRPr="00FB4D85">
        <w:rPr>
          <w:rStyle w:val="Voetnootmarkering"/>
          <w:sz w:val="16"/>
          <w:szCs w:val="16"/>
        </w:rPr>
        <w:footnoteRef/>
      </w:r>
      <w:r w:rsidRPr="00FB4D85">
        <w:rPr>
          <w:sz w:val="16"/>
          <w:szCs w:val="16"/>
        </w:rPr>
        <w:t xml:space="preserve"> De SCB is een Europese coördinatieraad die lidstaten ondersteunt bij de implementatie van de SoHO verordening.</w:t>
      </w:r>
    </w:p>
  </w:footnote>
  <w:footnote w:id="15">
    <w:p w14:paraId="5BE044A4" w14:textId="77777777" w:rsidR="003A3A2D" w:rsidRPr="00FB4D85" w:rsidRDefault="00000000">
      <w:pPr>
        <w:pStyle w:val="Voetnoottekst"/>
        <w:rPr>
          <w:sz w:val="16"/>
          <w:szCs w:val="16"/>
        </w:rPr>
      </w:pPr>
      <w:r w:rsidRPr="00FB4D85">
        <w:rPr>
          <w:rStyle w:val="Voetnootmarkering"/>
          <w:sz w:val="16"/>
          <w:szCs w:val="16"/>
        </w:rPr>
        <w:footnoteRef/>
      </w:r>
      <w:r w:rsidRPr="00FB4D85">
        <w:rPr>
          <w:sz w:val="16"/>
          <w:szCs w:val="16"/>
        </w:rPr>
        <w:t xml:space="preserve"> Dit vergt een </w:t>
      </w:r>
      <w:r w:rsidR="00731975" w:rsidRPr="00FB4D85">
        <w:rPr>
          <w:sz w:val="16"/>
          <w:szCs w:val="16"/>
        </w:rPr>
        <w:t>wets</w:t>
      </w:r>
      <w:r w:rsidRPr="00FB4D85">
        <w:rPr>
          <w:sz w:val="16"/>
          <w:szCs w:val="16"/>
        </w:rPr>
        <w:t>wijziging</w:t>
      </w:r>
      <w:r w:rsidR="004E637A" w:rsidRPr="00FB4D85">
        <w:rPr>
          <w:sz w:val="16"/>
          <w:szCs w:val="16"/>
        </w:rPr>
        <w:t xml:space="preserve"> en aanpassing van </w:t>
      </w:r>
      <w:r w:rsidRPr="00FB4D85">
        <w:rPr>
          <w:sz w:val="16"/>
          <w:szCs w:val="16"/>
        </w:rPr>
        <w:t>het registratiesysteem van het Cdkb.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5D2"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5327B7AF" wp14:editId="35BEA13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D3BC9B7" wp14:editId="29B672A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7597690" wp14:editId="1E2662DB">
              <wp:simplePos x="0" y="0"/>
              <wp:positionH relativeFrom="page">
                <wp:posOffset>5922645</wp:posOffset>
              </wp:positionH>
              <wp:positionV relativeFrom="page">
                <wp:posOffset>1965960</wp:posOffset>
              </wp:positionV>
              <wp:extent cx="1259840" cy="8009890"/>
              <wp:effectExtent l="7620" t="13335" r="8890" b="6350"/>
              <wp:wrapNone/>
              <wp:docPr id="12282827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A96B03A" w14:textId="77777777" w:rsidR="00CD5856" w:rsidRDefault="00000000">
                          <w:pPr>
                            <w:pStyle w:val="Huisstijl-AfzendgegevensW1"/>
                          </w:pPr>
                          <w:r>
                            <w:t>Bezoekadres</w:t>
                          </w:r>
                        </w:p>
                        <w:p w14:paraId="01F387A7" w14:textId="77777777" w:rsidR="00CD5856" w:rsidRDefault="00000000">
                          <w:pPr>
                            <w:pStyle w:val="Huisstijl-Afzendgegevens"/>
                          </w:pPr>
                          <w:r>
                            <w:t>Parnassusplein 5</w:t>
                          </w:r>
                        </w:p>
                        <w:p w14:paraId="76A7B867" w14:textId="77777777" w:rsidR="00CD5856" w:rsidRPr="00997EFA" w:rsidRDefault="00000000">
                          <w:pPr>
                            <w:pStyle w:val="Huisstijl-Afzendgegevens"/>
                          </w:pPr>
                          <w:r w:rsidRPr="00997EFA">
                            <w:t>2511</w:t>
                          </w:r>
                          <w:r w:rsidR="008D59C5" w:rsidRPr="00997EFA">
                            <w:t xml:space="preserve"> </w:t>
                          </w:r>
                          <w:r w:rsidRPr="00997EFA">
                            <w:t>VX</w:t>
                          </w:r>
                          <w:r w:rsidR="0023136D" w:rsidRPr="00997EFA">
                            <w:t xml:space="preserve"> </w:t>
                          </w:r>
                          <w:r w:rsidR="008D59C5" w:rsidRPr="00997EFA">
                            <w:t>Den Haag</w:t>
                          </w:r>
                        </w:p>
                        <w:p w14:paraId="1B5A441B" w14:textId="77777777" w:rsidR="00CD5856" w:rsidRPr="00997EFA" w:rsidRDefault="00000000">
                          <w:pPr>
                            <w:pStyle w:val="Huisstijl-Afzendgegevens"/>
                          </w:pPr>
                          <w:r w:rsidRPr="00997EFA">
                            <w:t>www.rijksoverheid.nl</w:t>
                          </w:r>
                        </w:p>
                        <w:p w14:paraId="70F36D96" w14:textId="77777777" w:rsidR="00CD5856" w:rsidRDefault="00000000">
                          <w:pPr>
                            <w:pStyle w:val="Huisstijl-ReferentiegegevenskopW2"/>
                          </w:pPr>
                          <w:r w:rsidRPr="008D59C5">
                            <w:t>Kenmerk</w:t>
                          </w:r>
                        </w:p>
                        <w:p w14:paraId="45C01305" w14:textId="77777777" w:rsidR="00CD5856" w:rsidRDefault="00000000">
                          <w:pPr>
                            <w:pStyle w:val="Huisstijl-Referentiegegevens"/>
                          </w:pPr>
                          <w:bookmarkStart w:id="0" w:name="_Hlk117784077"/>
                          <w:r>
                            <w:t>4341786-1093846-PG</w:t>
                          </w:r>
                        </w:p>
                        <w:bookmarkEnd w:id="0"/>
                        <w:p w14:paraId="74A686A6" w14:textId="77777777" w:rsidR="00CD5856" w:rsidRPr="002B504F" w:rsidRDefault="00000000">
                          <w:pPr>
                            <w:pStyle w:val="Huisstijl-ReferentiegegevenskopW1"/>
                          </w:pPr>
                          <w:r w:rsidRPr="008D59C5">
                            <w:t>Bijlage(n)</w:t>
                          </w:r>
                        </w:p>
                        <w:p w14:paraId="3388745C" w14:textId="77777777" w:rsidR="00215CB5" w:rsidRDefault="00000000">
                          <w:pPr>
                            <w:pStyle w:val="Huisstijl-ReferentiegegevenskopW1"/>
                          </w:pPr>
                          <w:r>
                            <w:t>-</w:t>
                          </w:r>
                        </w:p>
                        <w:p w14:paraId="14E4B030" w14:textId="77777777" w:rsidR="00CD5856" w:rsidRDefault="00000000">
                          <w:pPr>
                            <w:pStyle w:val="Huisstijl-ReferentiegegevenskopW1"/>
                          </w:pPr>
                          <w:r>
                            <w:t>Kenmerk afzender</w:t>
                          </w:r>
                        </w:p>
                        <w:p w14:paraId="2447CED9" w14:textId="77777777" w:rsidR="00CD5856" w:rsidRDefault="00CD5856">
                          <w:pPr>
                            <w:pStyle w:val="Huisstijl-Referentiegegevens"/>
                          </w:pPr>
                        </w:p>
                        <w:p w14:paraId="71D71127" w14:textId="77777777" w:rsidR="00CD5856" w:rsidRDefault="00000000">
                          <w:pPr>
                            <w:pStyle w:val="Huisstijl-Algemenevoorwaarden"/>
                          </w:pPr>
                          <w:r>
                            <w:t>Correspondentie uitsluitend richten aan het retouradres met vermelding van de datum en het kenmerk van deze brief.</w:t>
                          </w:r>
                        </w:p>
                        <w:p w14:paraId="62B9F974"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759769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A96B03A" w14:textId="77777777" w:rsidR="00CD5856" w:rsidRDefault="00000000">
                    <w:pPr>
                      <w:pStyle w:val="Huisstijl-AfzendgegevensW1"/>
                    </w:pPr>
                    <w:r>
                      <w:t>Bezoekadres</w:t>
                    </w:r>
                  </w:p>
                  <w:p w14:paraId="01F387A7" w14:textId="77777777" w:rsidR="00CD5856" w:rsidRDefault="00000000">
                    <w:pPr>
                      <w:pStyle w:val="Huisstijl-Afzendgegevens"/>
                    </w:pPr>
                    <w:r>
                      <w:t>Parnassusplein 5</w:t>
                    </w:r>
                  </w:p>
                  <w:p w14:paraId="76A7B867" w14:textId="77777777" w:rsidR="00CD5856" w:rsidRPr="00997EFA" w:rsidRDefault="00000000">
                    <w:pPr>
                      <w:pStyle w:val="Huisstijl-Afzendgegevens"/>
                    </w:pPr>
                    <w:r w:rsidRPr="00997EFA">
                      <w:t>2511</w:t>
                    </w:r>
                    <w:r w:rsidR="008D59C5" w:rsidRPr="00997EFA">
                      <w:t xml:space="preserve"> </w:t>
                    </w:r>
                    <w:r w:rsidRPr="00997EFA">
                      <w:t>VX</w:t>
                    </w:r>
                    <w:r w:rsidR="0023136D" w:rsidRPr="00997EFA">
                      <w:t xml:space="preserve"> </w:t>
                    </w:r>
                    <w:r w:rsidR="008D59C5" w:rsidRPr="00997EFA">
                      <w:t>Den Haag</w:t>
                    </w:r>
                  </w:p>
                  <w:p w14:paraId="1B5A441B" w14:textId="77777777" w:rsidR="00CD5856" w:rsidRPr="00997EFA" w:rsidRDefault="00000000">
                    <w:pPr>
                      <w:pStyle w:val="Huisstijl-Afzendgegevens"/>
                    </w:pPr>
                    <w:r w:rsidRPr="00997EFA">
                      <w:t>www.rijksoverheid.nl</w:t>
                    </w:r>
                  </w:p>
                  <w:p w14:paraId="70F36D96" w14:textId="77777777" w:rsidR="00CD5856" w:rsidRDefault="00000000">
                    <w:pPr>
                      <w:pStyle w:val="Huisstijl-ReferentiegegevenskopW2"/>
                    </w:pPr>
                    <w:r w:rsidRPr="008D59C5">
                      <w:t>Kenmerk</w:t>
                    </w:r>
                  </w:p>
                  <w:p w14:paraId="45C01305" w14:textId="77777777" w:rsidR="00CD5856" w:rsidRDefault="00000000">
                    <w:pPr>
                      <w:pStyle w:val="Huisstijl-Referentiegegevens"/>
                    </w:pPr>
                    <w:bookmarkStart w:id="1" w:name="_Hlk117784077"/>
                    <w:r>
                      <w:t>4341786-1093846-PG</w:t>
                    </w:r>
                  </w:p>
                  <w:bookmarkEnd w:id="1"/>
                  <w:p w14:paraId="74A686A6" w14:textId="77777777" w:rsidR="00CD5856" w:rsidRPr="002B504F" w:rsidRDefault="00000000">
                    <w:pPr>
                      <w:pStyle w:val="Huisstijl-ReferentiegegevenskopW1"/>
                    </w:pPr>
                    <w:r w:rsidRPr="008D59C5">
                      <w:t>Bijlage(n)</w:t>
                    </w:r>
                  </w:p>
                  <w:p w14:paraId="3388745C" w14:textId="77777777" w:rsidR="00215CB5" w:rsidRDefault="00000000">
                    <w:pPr>
                      <w:pStyle w:val="Huisstijl-ReferentiegegevenskopW1"/>
                    </w:pPr>
                    <w:r>
                      <w:t>-</w:t>
                    </w:r>
                  </w:p>
                  <w:p w14:paraId="14E4B030" w14:textId="77777777" w:rsidR="00CD5856" w:rsidRDefault="00000000">
                    <w:pPr>
                      <w:pStyle w:val="Huisstijl-ReferentiegegevenskopW1"/>
                    </w:pPr>
                    <w:r>
                      <w:t>Kenmerk afzender</w:t>
                    </w:r>
                  </w:p>
                  <w:p w14:paraId="2447CED9" w14:textId="77777777" w:rsidR="00CD5856" w:rsidRDefault="00CD5856">
                    <w:pPr>
                      <w:pStyle w:val="Huisstijl-Referentiegegevens"/>
                    </w:pPr>
                  </w:p>
                  <w:p w14:paraId="71D71127" w14:textId="77777777" w:rsidR="00CD5856" w:rsidRDefault="00000000">
                    <w:pPr>
                      <w:pStyle w:val="Huisstijl-Algemenevoorwaarden"/>
                    </w:pPr>
                    <w:r>
                      <w:t>Correspondentie uitsluitend richten aan het retouradres met vermelding van de datum en het kenmerk van deze brief.</w:t>
                    </w:r>
                  </w:p>
                  <w:p w14:paraId="62B9F974"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41AB3EA7" wp14:editId="618F775D">
              <wp:simplePos x="0" y="0"/>
              <wp:positionH relativeFrom="page">
                <wp:posOffset>1011555</wp:posOffset>
              </wp:positionH>
              <wp:positionV relativeFrom="page">
                <wp:posOffset>3769995</wp:posOffset>
              </wp:positionV>
              <wp:extent cx="4103370" cy="466725"/>
              <wp:effectExtent l="11430" t="7620" r="9525" b="11430"/>
              <wp:wrapNone/>
              <wp:docPr id="484898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EFF22DA" w14:textId="5D0A3903" w:rsidR="00CD5856" w:rsidRDefault="00000000">
                          <w:pPr>
                            <w:pStyle w:val="Huisstijl-Datumenbetreft"/>
                            <w:tabs>
                              <w:tab w:val="clear" w:pos="737"/>
                              <w:tab w:val="left" w:pos="-5954"/>
                              <w:tab w:val="left" w:pos="-5670"/>
                              <w:tab w:val="left" w:pos="1134"/>
                            </w:tabs>
                          </w:pPr>
                          <w:r>
                            <w:t>Datum</w:t>
                          </w:r>
                          <w:r w:rsidR="00E1490C">
                            <w:tab/>
                          </w:r>
                          <w:r w:rsidR="00040410">
                            <w:t>12 februari 2026</w:t>
                          </w:r>
                        </w:p>
                        <w:p w14:paraId="6CE8BE37" w14:textId="77777777" w:rsidR="00CD5856" w:rsidRDefault="00000000" w:rsidP="00F5674E">
                          <w:pPr>
                            <w:pStyle w:val="Huisstijl-Datumenbetreft"/>
                            <w:tabs>
                              <w:tab w:val="clear" w:pos="737"/>
                              <w:tab w:val="left" w:pos="-5954"/>
                              <w:tab w:val="left" w:pos="-5670"/>
                              <w:tab w:val="left" w:pos="1134"/>
                            </w:tabs>
                            <w:ind w:left="850" w:hanging="850"/>
                          </w:pPr>
                          <w:r>
                            <w:t>Betreft</w:t>
                          </w:r>
                          <w:r w:rsidR="00E1490C">
                            <w:tab/>
                          </w:r>
                          <w:r w:rsidR="003563FF">
                            <w:t>Tegengaan massadonatie en r</w:t>
                          </w:r>
                          <w:r w:rsidR="001B229B">
                            <w:t>egulering gebruik buitenlands donorsperma</w:t>
                          </w:r>
                        </w:p>
                        <w:p w14:paraId="37D6269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AB3EA7"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EFF22DA" w14:textId="5D0A3903" w:rsidR="00CD5856" w:rsidRDefault="00000000">
                    <w:pPr>
                      <w:pStyle w:val="Huisstijl-Datumenbetreft"/>
                      <w:tabs>
                        <w:tab w:val="clear" w:pos="737"/>
                        <w:tab w:val="left" w:pos="-5954"/>
                        <w:tab w:val="left" w:pos="-5670"/>
                        <w:tab w:val="left" w:pos="1134"/>
                      </w:tabs>
                    </w:pPr>
                    <w:r>
                      <w:t>Datum</w:t>
                    </w:r>
                    <w:r w:rsidR="00E1490C">
                      <w:tab/>
                    </w:r>
                    <w:r w:rsidR="00040410">
                      <w:t>12 februari 2026</w:t>
                    </w:r>
                  </w:p>
                  <w:p w14:paraId="6CE8BE37" w14:textId="77777777" w:rsidR="00CD5856" w:rsidRDefault="00000000" w:rsidP="00F5674E">
                    <w:pPr>
                      <w:pStyle w:val="Huisstijl-Datumenbetreft"/>
                      <w:tabs>
                        <w:tab w:val="clear" w:pos="737"/>
                        <w:tab w:val="left" w:pos="-5954"/>
                        <w:tab w:val="left" w:pos="-5670"/>
                        <w:tab w:val="left" w:pos="1134"/>
                      </w:tabs>
                      <w:ind w:left="850" w:hanging="850"/>
                    </w:pPr>
                    <w:r>
                      <w:t>Betreft</w:t>
                    </w:r>
                    <w:r w:rsidR="00E1490C">
                      <w:tab/>
                    </w:r>
                    <w:r w:rsidR="003563FF">
                      <w:t>Tegengaan massadonatie en r</w:t>
                    </w:r>
                    <w:r w:rsidR="001B229B">
                      <w:t>egulering gebruik buitenlands donorsperma</w:t>
                    </w:r>
                  </w:p>
                  <w:p w14:paraId="37D62696"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7E31DCD" wp14:editId="3EFB1458">
              <wp:simplePos x="0" y="0"/>
              <wp:positionH relativeFrom="page">
                <wp:posOffset>1008380</wp:posOffset>
              </wp:positionH>
              <wp:positionV relativeFrom="page">
                <wp:posOffset>3384550</wp:posOffset>
              </wp:positionV>
              <wp:extent cx="4104005" cy="179705"/>
              <wp:effectExtent l="8255" t="12700" r="12065" b="7620"/>
              <wp:wrapNone/>
              <wp:docPr id="6491371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0D265F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E31DC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0D265F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14849C3" wp14:editId="0D4296DC">
              <wp:simplePos x="0" y="0"/>
              <wp:positionH relativeFrom="page">
                <wp:posOffset>1008380</wp:posOffset>
              </wp:positionH>
              <wp:positionV relativeFrom="page">
                <wp:posOffset>1944370</wp:posOffset>
              </wp:positionV>
              <wp:extent cx="3347720" cy="1080135"/>
              <wp:effectExtent l="8255" t="10795" r="6350" b="13970"/>
              <wp:wrapNone/>
              <wp:docPr id="12258874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6E49351" w14:textId="5FBCA367" w:rsidR="00CD5856" w:rsidRDefault="00000000">
                          <w:pPr>
                            <w:pStyle w:val="Huisstijl-Toezendgegevens"/>
                          </w:pPr>
                          <w:r>
                            <w:t>De Voorzitter van de Tweede Kamer</w:t>
                          </w:r>
                          <w:r>
                            <w:br/>
                            <w:t>der Staten-Generaal</w:t>
                          </w:r>
                          <w:r>
                            <w:br/>
                            <w:t>Postbus 20018</w:t>
                          </w:r>
                          <w:r>
                            <w:br/>
                            <w:t>2500 EA</w:t>
                          </w:r>
                          <w:r w:rsidR="0023136D">
                            <w:t xml:space="preserve"> </w:t>
                          </w:r>
                          <w:r w:rsidR="00F5674E">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4849C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6E49351" w14:textId="5FBCA367" w:rsidR="00CD5856" w:rsidRDefault="00000000">
                    <w:pPr>
                      <w:pStyle w:val="Huisstijl-Toezendgegevens"/>
                    </w:pPr>
                    <w:r>
                      <w:t>De Voorzitter van de Tweede Kamer</w:t>
                    </w:r>
                    <w:r>
                      <w:br/>
                      <w:t>der Staten-Generaal</w:t>
                    </w:r>
                    <w:r>
                      <w:br/>
                      <w:t>Postbus 20018</w:t>
                    </w:r>
                    <w:r>
                      <w:br/>
                      <w:t>2500 EA</w:t>
                    </w:r>
                    <w:r w:rsidR="0023136D">
                      <w:t xml:space="preserve"> </w:t>
                    </w:r>
                    <w:r w:rsidR="00F5674E">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EA2214E" wp14:editId="3CE48DB2">
              <wp:simplePos x="0" y="0"/>
              <wp:positionH relativeFrom="page">
                <wp:posOffset>1008380</wp:posOffset>
              </wp:positionH>
              <wp:positionV relativeFrom="page">
                <wp:posOffset>1713865</wp:posOffset>
              </wp:positionV>
              <wp:extent cx="3590925" cy="144145"/>
              <wp:effectExtent l="8255" t="8890" r="10795" b="8890"/>
              <wp:wrapNone/>
              <wp:docPr id="24124016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045A003" w14:textId="77777777" w:rsidR="00CD5856" w:rsidRDefault="00000000">
                          <w:pPr>
                            <w:pStyle w:val="Huisstijl-Retouradres"/>
                          </w:pPr>
                          <w:r w:rsidRPr="008D59C5">
                            <w:t>&gt; Retouradres</w:t>
                          </w:r>
                          <w:r w:rsidR="00E1490C">
                            <w:t xml:space="preserve"> Postbus 20350 2500 E</w:t>
                          </w:r>
                          <w:r w:rsidR="005D327A">
                            <w:t>J</w:t>
                          </w:r>
                          <w:r w:rsidR="0023136D">
                            <w:t xml:space="preserve"> </w:t>
                          </w:r>
                          <w:r w:rsidR="00E1490C">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A2214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045A003" w14:textId="77777777" w:rsidR="00CD5856" w:rsidRDefault="00000000">
                    <w:pPr>
                      <w:pStyle w:val="Huisstijl-Retouradres"/>
                    </w:pPr>
                    <w:r w:rsidRPr="008D59C5">
                      <w:t>&gt; Retouradres</w:t>
                    </w:r>
                    <w:r w:rsidR="00E1490C">
                      <w:t xml:space="preserve"> Postbus 20350 2500 E</w:t>
                    </w:r>
                    <w:r w:rsidR="005D327A">
                      <w:t>J</w:t>
                    </w:r>
                    <w:r w:rsidR="0023136D">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A8F7"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3545491F" wp14:editId="3E12F68A">
              <wp:simplePos x="0" y="0"/>
              <wp:positionH relativeFrom="page">
                <wp:posOffset>5922645</wp:posOffset>
              </wp:positionH>
              <wp:positionV relativeFrom="page">
                <wp:posOffset>1936750</wp:posOffset>
              </wp:positionV>
              <wp:extent cx="1259840" cy="8009890"/>
              <wp:effectExtent l="7620" t="12700" r="8890" b="6985"/>
              <wp:wrapNone/>
              <wp:docPr id="435336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22B73A9" w14:textId="77777777" w:rsidR="00CD5856" w:rsidRDefault="00000000">
                          <w:pPr>
                            <w:pStyle w:val="Huisstijl-ReferentiegegevenskopW2"/>
                          </w:pPr>
                          <w:r w:rsidRPr="008D59C5">
                            <w:t>Kenmerk</w:t>
                          </w:r>
                        </w:p>
                        <w:p w14:paraId="4800DEA7" w14:textId="77777777" w:rsidR="00C95CA9" w:rsidRPr="00C95CA9" w:rsidRDefault="00000000" w:rsidP="00C95CA9">
                          <w:pPr>
                            <w:pStyle w:val="Huisstijl-Referentiegegevens"/>
                          </w:pPr>
                          <w:r w:rsidRPr="00C95CA9">
                            <w:t>4341786-1093846-PG</w:t>
                          </w:r>
                        </w:p>
                        <w:p w14:paraId="646A98B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545491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22B73A9" w14:textId="77777777" w:rsidR="00CD5856" w:rsidRDefault="00000000">
                    <w:pPr>
                      <w:pStyle w:val="Huisstijl-ReferentiegegevenskopW2"/>
                    </w:pPr>
                    <w:r w:rsidRPr="008D59C5">
                      <w:t>Kenmerk</w:t>
                    </w:r>
                  </w:p>
                  <w:p w14:paraId="4800DEA7" w14:textId="77777777" w:rsidR="00C95CA9" w:rsidRPr="00C95CA9" w:rsidRDefault="00000000" w:rsidP="00C95CA9">
                    <w:pPr>
                      <w:pStyle w:val="Huisstijl-Referentiegegevens"/>
                    </w:pPr>
                    <w:r w:rsidRPr="00C95CA9">
                      <w:t>4341786-1093846-PG</w:t>
                    </w:r>
                  </w:p>
                  <w:p w14:paraId="646A98B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888E286" wp14:editId="36671914">
              <wp:simplePos x="0" y="0"/>
              <wp:positionH relativeFrom="page">
                <wp:posOffset>5922645</wp:posOffset>
              </wp:positionH>
              <wp:positionV relativeFrom="page">
                <wp:posOffset>10225405</wp:posOffset>
              </wp:positionV>
              <wp:extent cx="1259840" cy="213995"/>
              <wp:effectExtent l="7620" t="5080" r="8890" b="9525"/>
              <wp:wrapNone/>
              <wp:docPr id="8510500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49AA660" w14:textId="387CBA9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03EF8">
                            <w:fldChar w:fldCharType="begin"/>
                          </w:r>
                          <w:r>
                            <w:instrText xml:space="preserve"> SECTIONPAGES  \* Arabic  \* MERGEFORMAT </w:instrText>
                          </w:r>
                          <w:r w:rsidR="00A03EF8">
                            <w:fldChar w:fldCharType="separate"/>
                          </w:r>
                          <w:r w:rsidR="008C3E8B">
                            <w:rPr>
                              <w:noProof/>
                            </w:rPr>
                            <w:t>7</w:t>
                          </w:r>
                          <w:r w:rsidR="00A03EF8">
                            <w:rPr>
                              <w:noProof/>
                            </w:rPr>
                            <w:fldChar w:fldCharType="end"/>
                          </w:r>
                        </w:p>
                        <w:p w14:paraId="1BED8D6A" w14:textId="77777777" w:rsidR="00CD5856" w:rsidRDefault="00CD5856"/>
                        <w:p w14:paraId="0356DB80" w14:textId="77777777" w:rsidR="00CD5856" w:rsidRDefault="00CD5856">
                          <w:pPr>
                            <w:pStyle w:val="Huisstijl-Paginanummer"/>
                          </w:pPr>
                        </w:p>
                        <w:p w14:paraId="362F759F"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88E28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49AA660" w14:textId="387CBA9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03EF8">
                      <w:fldChar w:fldCharType="begin"/>
                    </w:r>
                    <w:r>
                      <w:instrText xml:space="preserve"> SECTIONPAGES  \* Arabic  \* MERGEFORMAT </w:instrText>
                    </w:r>
                    <w:r w:rsidR="00A03EF8">
                      <w:fldChar w:fldCharType="separate"/>
                    </w:r>
                    <w:r w:rsidR="008C3E8B">
                      <w:rPr>
                        <w:noProof/>
                      </w:rPr>
                      <w:t>7</w:t>
                    </w:r>
                    <w:r w:rsidR="00A03EF8">
                      <w:rPr>
                        <w:noProof/>
                      </w:rPr>
                      <w:fldChar w:fldCharType="end"/>
                    </w:r>
                  </w:p>
                  <w:p w14:paraId="1BED8D6A" w14:textId="77777777" w:rsidR="00CD5856" w:rsidRDefault="00CD5856"/>
                  <w:p w14:paraId="0356DB80" w14:textId="77777777" w:rsidR="00CD5856" w:rsidRDefault="00CD5856">
                    <w:pPr>
                      <w:pStyle w:val="Huisstijl-Paginanummer"/>
                    </w:pPr>
                  </w:p>
                  <w:p w14:paraId="362F759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50E"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C39EB69" wp14:editId="4508D823">
              <wp:simplePos x="0" y="0"/>
              <wp:positionH relativeFrom="page">
                <wp:posOffset>1009650</wp:posOffset>
              </wp:positionH>
              <wp:positionV relativeFrom="page">
                <wp:posOffset>3768725</wp:posOffset>
              </wp:positionV>
              <wp:extent cx="4103370" cy="457200"/>
              <wp:effectExtent l="9525" t="6350" r="11430" b="12700"/>
              <wp:wrapTopAndBottom/>
              <wp:docPr id="330553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910786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5674E">
                                <w:t>26 juni 2014</w:t>
                              </w:r>
                            </w:sdtContent>
                          </w:sdt>
                        </w:p>
                        <w:p w14:paraId="17E72D0F" w14:textId="77777777" w:rsidR="00CD5856" w:rsidRDefault="00000000">
                          <w:pPr>
                            <w:pStyle w:val="Huisstijl-Datumenbetreft"/>
                            <w:tabs>
                              <w:tab w:val="left" w:pos="-5954"/>
                              <w:tab w:val="left" w:pos="-5670"/>
                            </w:tabs>
                          </w:pPr>
                          <w:r>
                            <w:t>Betreft</w:t>
                          </w:r>
                          <w:r>
                            <w:tab/>
                          </w:r>
                          <w:r w:rsidR="008D59C5">
                            <w:t>BETREFT</w:t>
                          </w:r>
                        </w:p>
                        <w:p w14:paraId="1AB849A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39EB6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910786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5674E">
                          <w:t>26 juni 2014</w:t>
                        </w:r>
                      </w:sdtContent>
                    </w:sdt>
                  </w:p>
                  <w:p w14:paraId="17E72D0F" w14:textId="77777777" w:rsidR="00CD5856" w:rsidRDefault="00000000">
                    <w:pPr>
                      <w:pStyle w:val="Huisstijl-Datumenbetreft"/>
                      <w:tabs>
                        <w:tab w:val="left" w:pos="-5954"/>
                        <w:tab w:val="left" w:pos="-5670"/>
                      </w:tabs>
                    </w:pPr>
                    <w:r>
                      <w:t>Betreft</w:t>
                    </w:r>
                    <w:r>
                      <w:tab/>
                    </w:r>
                    <w:r w:rsidR="008D59C5">
                      <w:t>BETREFT</w:t>
                    </w:r>
                  </w:p>
                  <w:p w14:paraId="1AB849A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F588B01" wp14:editId="02D9B2D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4AE4674" wp14:editId="5CD1CF5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80D4A66" wp14:editId="30EC118F">
              <wp:simplePos x="0" y="0"/>
              <wp:positionH relativeFrom="page">
                <wp:posOffset>5922645</wp:posOffset>
              </wp:positionH>
              <wp:positionV relativeFrom="page">
                <wp:posOffset>1964690</wp:posOffset>
              </wp:positionV>
              <wp:extent cx="1259840" cy="8009890"/>
              <wp:effectExtent l="7620" t="12065" r="8890" b="7620"/>
              <wp:wrapNone/>
              <wp:docPr id="134772350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28BA3D" w14:textId="77777777" w:rsidR="00CD5856" w:rsidRDefault="00000000">
                          <w:pPr>
                            <w:pStyle w:val="Huisstijl-Afzendgegevens"/>
                          </w:pPr>
                          <w:r w:rsidRPr="008D59C5">
                            <w:t>Rijnstraat 50</w:t>
                          </w:r>
                        </w:p>
                        <w:p w14:paraId="247D7926" w14:textId="77777777" w:rsidR="00CD5856" w:rsidRDefault="00000000">
                          <w:pPr>
                            <w:pStyle w:val="Huisstijl-Afzendgegevens"/>
                          </w:pPr>
                          <w:r w:rsidRPr="008D59C5">
                            <w:t>Den Haag</w:t>
                          </w:r>
                        </w:p>
                        <w:p w14:paraId="7C9D691D" w14:textId="77777777" w:rsidR="00CD5856" w:rsidRDefault="00000000">
                          <w:pPr>
                            <w:pStyle w:val="Huisstijl-Afzendgegevens"/>
                          </w:pPr>
                          <w:r w:rsidRPr="008D59C5">
                            <w:t>www.rijksoverheid.nl</w:t>
                          </w:r>
                        </w:p>
                        <w:p w14:paraId="3DD67439" w14:textId="77777777" w:rsidR="00CD5856" w:rsidRDefault="00000000">
                          <w:pPr>
                            <w:pStyle w:val="Huisstijl-AfzendgegevenskopW1"/>
                          </w:pPr>
                          <w:r>
                            <w:t>Contactpersoon</w:t>
                          </w:r>
                        </w:p>
                        <w:p w14:paraId="67357DC1" w14:textId="77777777" w:rsidR="00CD5856" w:rsidRDefault="00000000">
                          <w:pPr>
                            <w:pStyle w:val="Huisstijl-Afzendgegevens"/>
                          </w:pPr>
                          <w:r w:rsidRPr="008D59C5">
                            <w:t>ing. J.A. Ramlal</w:t>
                          </w:r>
                        </w:p>
                        <w:p w14:paraId="0A264728" w14:textId="77777777" w:rsidR="00CD5856" w:rsidRDefault="00000000">
                          <w:pPr>
                            <w:pStyle w:val="Huisstijl-Afzendgegevens"/>
                          </w:pPr>
                          <w:r w:rsidRPr="008D59C5">
                            <w:t>ja.ramlal@minvws.nl</w:t>
                          </w:r>
                        </w:p>
                        <w:p w14:paraId="79848E89" w14:textId="77777777" w:rsidR="00CD5856" w:rsidRDefault="00000000">
                          <w:pPr>
                            <w:pStyle w:val="Huisstijl-ReferentiegegevenskopW2"/>
                          </w:pPr>
                          <w:r>
                            <w:t>Ons kenmerk</w:t>
                          </w:r>
                        </w:p>
                        <w:p w14:paraId="6D5D2922" w14:textId="77777777" w:rsidR="00CD5856" w:rsidRDefault="00000000">
                          <w:pPr>
                            <w:pStyle w:val="Huisstijl-Referentiegegevens"/>
                          </w:pPr>
                          <w:r>
                            <w:t>KENMERK</w:t>
                          </w:r>
                        </w:p>
                        <w:p w14:paraId="29FFF7DC" w14:textId="77777777" w:rsidR="00CD5856" w:rsidRDefault="00000000">
                          <w:pPr>
                            <w:pStyle w:val="Huisstijl-ReferentiegegevenskopW1"/>
                          </w:pPr>
                          <w:r>
                            <w:t>Uw kenmerk</w:t>
                          </w:r>
                        </w:p>
                        <w:p w14:paraId="5BD48C29"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0D4A6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B28BA3D" w14:textId="77777777" w:rsidR="00CD5856" w:rsidRDefault="00000000">
                    <w:pPr>
                      <w:pStyle w:val="Huisstijl-Afzendgegevens"/>
                    </w:pPr>
                    <w:r w:rsidRPr="008D59C5">
                      <w:t>Rijnstraat 50</w:t>
                    </w:r>
                  </w:p>
                  <w:p w14:paraId="247D7926" w14:textId="77777777" w:rsidR="00CD5856" w:rsidRDefault="00000000">
                    <w:pPr>
                      <w:pStyle w:val="Huisstijl-Afzendgegevens"/>
                    </w:pPr>
                    <w:r w:rsidRPr="008D59C5">
                      <w:t>Den Haag</w:t>
                    </w:r>
                  </w:p>
                  <w:p w14:paraId="7C9D691D" w14:textId="77777777" w:rsidR="00CD5856" w:rsidRDefault="00000000">
                    <w:pPr>
                      <w:pStyle w:val="Huisstijl-Afzendgegevens"/>
                    </w:pPr>
                    <w:r w:rsidRPr="008D59C5">
                      <w:t>www.rijksoverheid.nl</w:t>
                    </w:r>
                  </w:p>
                  <w:p w14:paraId="3DD67439" w14:textId="77777777" w:rsidR="00CD5856" w:rsidRDefault="00000000">
                    <w:pPr>
                      <w:pStyle w:val="Huisstijl-AfzendgegevenskopW1"/>
                    </w:pPr>
                    <w:r>
                      <w:t>Contactpersoon</w:t>
                    </w:r>
                  </w:p>
                  <w:p w14:paraId="67357DC1" w14:textId="77777777" w:rsidR="00CD5856" w:rsidRDefault="00000000">
                    <w:pPr>
                      <w:pStyle w:val="Huisstijl-Afzendgegevens"/>
                    </w:pPr>
                    <w:r w:rsidRPr="008D59C5">
                      <w:t>ing. J.A. Ramlal</w:t>
                    </w:r>
                  </w:p>
                  <w:p w14:paraId="0A264728" w14:textId="77777777" w:rsidR="00CD5856" w:rsidRDefault="00000000">
                    <w:pPr>
                      <w:pStyle w:val="Huisstijl-Afzendgegevens"/>
                    </w:pPr>
                    <w:r w:rsidRPr="008D59C5">
                      <w:t>ja.ramlal@minvws.nl</w:t>
                    </w:r>
                  </w:p>
                  <w:p w14:paraId="79848E89" w14:textId="77777777" w:rsidR="00CD5856" w:rsidRDefault="00000000">
                    <w:pPr>
                      <w:pStyle w:val="Huisstijl-ReferentiegegevenskopW2"/>
                    </w:pPr>
                    <w:r>
                      <w:t>Ons kenmerk</w:t>
                    </w:r>
                  </w:p>
                  <w:p w14:paraId="6D5D2922" w14:textId="77777777" w:rsidR="00CD5856" w:rsidRDefault="00000000">
                    <w:pPr>
                      <w:pStyle w:val="Huisstijl-Referentiegegevens"/>
                    </w:pPr>
                    <w:r>
                      <w:t>KENMERK</w:t>
                    </w:r>
                  </w:p>
                  <w:p w14:paraId="29FFF7DC" w14:textId="77777777" w:rsidR="00CD5856" w:rsidRDefault="00000000">
                    <w:pPr>
                      <w:pStyle w:val="Huisstijl-ReferentiegegevenskopW1"/>
                    </w:pPr>
                    <w:r>
                      <w:t>Uw kenmerk</w:t>
                    </w:r>
                  </w:p>
                  <w:p w14:paraId="5BD48C2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B6A6101" wp14:editId="6B185D32">
              <wp:simplePos x="0" y="0"/>
              <wp:positionH relativeFrom="page">
                <wp:posOffset>1008380</wp:posOffset>
              </wp:positionH>
              <wp:positionV relativeFrom="page">
                <wp:posOffset>1942465</wp:posOffset>
              </wp:positionV>
              <wp:extent cx="2988310" cy="1080135"/>
              <wp:effectExtent l="8255" t="8890" r="13335" b="6350"/>
              <wp:wrapNone/>
              <wp:docPr id="58734269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DECB9D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6A610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DECB9D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0BC2E7E" wp14:editId="6E505DD4">
              <wp:simplePos x="0" y="0"/>
              <wp:positionH relativeFrom="page">
                <wp:posOffset>5922645</wp:posOffset>
              </wp:positionH>
              <wp:positionV relativeFrom="page">
                <wp:posOffset>10224770</wp:posOffset>
              </wp:positionV>
              <wp:extent cx="730885" cy="107950"/>
              <wp:effectExtent l="7620" t="13970" r="13970" b="11430"/>
              <wp:wrapNone/>
              <wp:docPr id="123064874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A56F3F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BC2E7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A56F3F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C2C87DA" wp14:editId="73647728">
              <wp:simplePos x="0" y="0"/>
              <wp:positionH relativeFrom="page">
                <wp:posOffset>1008380</wp:posOffset>
              </wp:positionH>
              <wp:positionV relativeFrom="page">
                <wp:posOffset>3384550</wp:posOffset>
              </wp:positionV>
              <wp:extent cx="4104005" cy="179705"/>
              <wp:effectExtent l="8255" t="12700" r="12065" b="7620"/>
              <wp:wrapNone/>
              <wp:docPr id="205416703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29C360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2C87D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29C360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03C25E0" wp14:editId="4E85F564">
              <wp:simplePos x="0" y="0"/>
              <wp:positionH relativeFrom="page">
                <wp:posOffset>1008380</wp:posOffset>
              </wp:positionH>
              <wp:positionV relativeFrom="page">
                <wp:posOffset>1715135</wp:posOffset>
              </wp:positionV>
              <wp:extent cx="3590925" cy="144145"/>
              <wp:effectExtent l="8255" t="10160" r="10795" b="7620"/>
              <wp:wrapNone/>
              <wp:docPr id="19931430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F5FA4AE"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3C25E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F5FA4A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69F"/>
    <w:multiLevelType w:val="hybridMultilevel"/>
    <w:tmpl w:val="1C72B76A"/>
    <w:lvl w:ilvl="0" w:tplc="96801B24">
      <w:start w:val="2"/>
      <w:numFmt w:val="bullet"/>
      <w:lvlText w:val="-"/>
      <w:lvlJc w:val="left"/>
      <w:pPr>
        <w:ind w:left="720" w:hanging="360"/>
      </w:pPr>
      <w:rPr>
        <w:rFonts w:ascii="Verdana" w:eastAsia="DejaVu Sans" w:hAnsi="Verdana" w:cs="Lohit Hindi" w:hint="default"/>
      </w:rPr>
    </w:lvl>
    <w:lvl w:ilvl="1" w:tplc="94B44A08">
      <w:start w:val="1"/>
      <w:numFmt w:val="bullet"/>
      <w:lvlText w:val="o"/>
      <w:lvlJc w:val="left"/>
      <w:pPr>
        <w:ind w:left="1440" w:hanging="360"/>
      </w:pPr>
      <w:rPr>
        <w:rFonts w:ascii="Courier New" w:hAnsi="Courier New" w:cs="Courier New" w:hint="default"/>
      </w:rPr>
    </w:lvl>
    <w:lvl w:ilvl="2" w:tplc="A6F45D30" w:tentative="1">
      <w:start w:val="1"/>
      <w:numFmt w:val="bullet"/>
      <w:lvlText w:val=""/>
      <w:lvlJc w:val="left"/>
      <w:pPr>
        <w:ind w:left="2160" w:hanging="360"/>
      </w:pPr>
      <w:rPr>
        <w:rFonts w:ascii="Wingdings" w:hAnsi="Wingdings" w:hint="default"/>
      </w:rPr>
    </w:lvl>
    <w:lvl w:ilvl="3" w:tplc="600C0058" w:tentative="1">
      <w:start w:val="1"/>
      <w:numFmt w:val="bullet"/>
      <w:lvlText w:val=""/>
      <w:lvlJc w:val="left"/>
      <w:pPr>
        <w:ind w:left="2880" w:hanging="360"/>
      </w:pPr>
      <w:rPr>
        <w:rFonts w:ascii="Symbol" w:hAnsi="Symbol" w:hint="default"/>
      </w:rPr>
    </w:lvl>
    <w:lvl w:ilvl="4" w:tplc="A28676EC" w:tentative="1">
      <w:start w:val="1"/>
      <w:numFmt w:val="bullet"/>
      <w:lvlText w:val="o"/>
      <w:lvlJc w:val="left"/>
      <w:pPr>
        <w:ind w:left="3600" w:hanging="360"/>
      </w:pPr>
      <w:rPr>
        <w:rFonts w:ascii="Courier New" w:hAnsi="Courier New" w:cs="Courier New" w:hint="default"/>
      </w:rPr>
    </w:lvl>
    <w:lvl w:ilvl="5" w:tplc="DC5437DC" w:tentative="1">
      <w:start w:val="1"/>
      <w:numFmt w:val="bullet"/>
      <w:lvlText w:val=""/>
      <w:lvlJc w:val="left"/>
      <w:pPr>
        <w:ind w:left="4320" w:hanging="360"/>
      </w:pPr>
      <w:rPr>
        <w:rFonts w:ascii="Wingdings" w:hAnsi="Wingdings" w:hint="default"/>
      </w:rPr>
    </w:lvl>
    <w:lvl w:ilvl="6" w:tplc="68F2996C" w:tentative="1">
      <w:start w:val="1"/>
      <w:numFmt w:val="bullet"/>
      <w:lvlText w:val=""/>
      <w:lvlJc w:val="left"/>
      <w:pPr>
        <w:ind w:left="5040" w:hanging="360"/>
      </w:pPr>
      <w:rPr>
        <w:rFonts w:ascii="Symbol" w:hAnsi="Symbol" w:hint="default"/>
      </w:rPr>
    </w:lvl>
    <w:lvl w:ilvl="7" w:tplc="5E488A48" w:tentative="1">
      <w:start w:val="1"/>
      <w:numFmt w:val="bullet"/>
      <w:lvlText w:val="o"/>
      <w:lvlJc w:val="left"/>
      <w:pPr>
        <w:ind w:left="5760" w:hanging="360"/>
      </w:pPr>
      <w:rPr>
        <w:rFonts w:ascii="Courier New" w:hAnsi="Courier New" w:cs="Courier New" w:hint="default"/>
      </w:rPr>
    </w:lvl>
    <w:lvl w:ilvl="8" w:tplc="7EACFB6A" w:tentative="1">
      <w:start w:val="1"/>
      <w:numFmt w:val="bullet"/>
      <w:lvlText w:val=""/>
      <w:lvlJc w:val="left"/>
      <w:pPr>
        <w:ind w:left="6480" w:hanging="360"/>
      </w:pPr>
      <w:rPr>
        <w:rFonts w:ascii="Wingdings" w:hAnsi="Wingdings" w:hint="default"/>
      </w:rPr>
    </w:lvl>
  </w:abstractNum>
  <w:abstractNum w:abstractNumId="1" w15:restartNumberingAfterBreak="0">
    <w:nsid w:val="0D7044B0"/>
    <w:multiLevelType w:val="hybridMultilevel"/>
    <w:tmpl w:val="1E82A156"/>
    <w:lvl w:ilvl="0" w:tplc="C64002B8">
      <w:start w:val="2"/>
      <w:numFmt w:val="bullet"/>
      <w:lvlText w:val="-"/>
      <w:lvlJc w:val="left"/>
      <w:pPr>
        <w:ind w:left="720" w:hanging="360"/>
      </w:pPr>
      <w:rPr>
        <w:rFonts w:ascii="Verdana" w:eastAsia="DejaVu Sans" w:hAnsi="Verdana" w:cs="Lohit Hindi" w:hint="default"/>
      </w:rPr>
    </w:lvl>
    <w:lvl w:ilvl="1" w:tplc="9174AA72" w:tentative="1">
      <w:start w:val="1"/>
      <w:numFmt w:val="bullet"/>
      <w:lvlText w:val="o"/>
      <w:lvlJc w:val="left"/>
      <w:pPr>
        <w:ind w:left="1440" w:hanging="360"/>
      </w:pPr>
      <w:rPr>
        <w:rFonts w:ascii="Courier New" w:hAnsi="Courier New" w:cs="Courier New" w:hint="default"/>
      </w:rPr>
    </w:lvl>
    <w:lvl w:ilvl="2" w:tplc="49F6BF2C" w:tentative="1">
      <w:start w:val="1"/>
      <w:numFmt w:val="bullet"/>
      <w:lvlText w:val=""/>
      <w:lvlJc w:val="left"/>
      <w:pPr>
        <w:ind w:left="2160" w:hanging="360"/>
      </w:pPr>
      <w:rPr>
        <w:rFonts w:ascii="Wingdings" w:hAnsi="Wingdings" w:hint="default"/>
      </w:rPr>
    </w:lvl>
    <w:lvl w:ilvl="3" w:tplc="7B38A884" w:tentative="1">
      <w:start w:val="1"/>
      <w:numFmt w:val="bullet"/>
      <w:lvlText w:val=""/>
      <w:lvlJc w:val="left"/>
      <w:pPr>
        <w:ind w:left="2880" w:hanging="360"/>
      </w:pPr>
      <w:rPr>
        <w:rFonts w:ascii="Symbol" w:hAnsi="Symbol" w:hint="default"/>
      </w:rPr>
    </w:lvl>
    <w:lvl w:ilvl="4" w:tplc="797AC078" w:tentative="1">
      <w:start w:val="1"/>
      <w:numFmt w:val="bullet"/>
      <w:lvlText w:val="o"/>
      <w:lvlJc w:val="left"/>
      <w:pPr>
        <w:ind w:left="3600" w:hanging="360"/>
      </w:pPr>
      <w:rPr>
        <w:rFonts w:ascii="Courier New" w:hAnsi="Courier New" w:cs="Courier New" w:hint="default"/>
      </w:rPr>
    </w:lvl>
    <w:lvl w:ilvl="5" w:tplc="2D22EB56" w:tentative="1">
      <w:start w:val="1"/>
      <w:numFmt w:val="bullet"/>
      <w:lvlText w:val=""/>
      <w:lvlJc w:val="left"/>
      <w:pPr>
        <w:ind w:left="4320" w:hanging="360"/>
      </w:pPr>
      <w:rPr>
        <w:rFonts w:ascii="Wingdings" w:hAnsi="Wingdings" w:hint="default"/>
      </w:rPr>
    </w:lvl>
    <w:lvl w:ilvl="6" w:tplc="D56C3728" w:tentative="1">
      <w:start w:val="1"/>
      <w:numFmt w:val="bullet"/>
      <w:lvlText w:val=""/>
      <w:lvlJc w:val="left"/>
      <w:pPr>
        <w:ind w:left="5040" w:hanging="360"/>
      </w:pPr>
      <w:rPr>
        <w:rFonts w:ascii="Symbol" w:hAnsi="Symbol" w:hint="default"/>
      </w:rPr>
    </w:lvl>
    <w:lvl w:ilvl="7" w:tplc="6E4E1E00" w:tentative="1">
      <w:start w:val="1"/>
      <w:numFmt w:val="bullet"/>
      <w:lvlText w:val="o"/>
      <w:lvlJc w:val="left"/>
      <w:pPr>
        <w:ind w:left="5760" w:hanging="360"/>
      </w:pPr>
      <w:rPr>
        <w:rFonts w:ascii="Courier New" w:hAnsi="Courier New" w:cs="Courier New" w:hint="default"/>
      </w:rPr>
    </w:lvl>
    <w:lvl w:ilvl="8" w:tplc="487C1E3E" w:tentative="1">
      <w:start w:val="1"/>
      <w:numFmt w:val="bullet"/>
      <w:lvlText w:val=""/>
      <w:lvlJc w:val="left"/>
      <w:pPr>
        <w:ind w:left="6480" w:hanging="360"/>
      </w:pPr>
      <w:rPr>
        <w:rFonts w:ascii="Wingdings" w:hAnsi="Wingdings" w:hint="default"/>
      </w:rPr>
    </w:lvl>
  </w:abstractNum>
  <w:abstractNum w:abstractNumId="2" w15:restartNumberingAfterBreak="0">
    <w:nsid w:val="2CBC6B2C"/>
    <w:multiLevelType w:val="hybridMultilevel"/>
    <w:tmpl w:val="93BE7956"/>
    <w:lvl w:ilvl="0" w:tplc="581ED49A">
      <w:start w:val="2"/>
      <w:numFmt w:val="bullet"/>
      <w:lvlText w:val="-"/>
      <w:lvlJc w:val="left"/>
      <w:pPr>
        <w:ind w:left="720" w:hanging="360"/>
      </w:pPr>
      <w:rPr>
        <w:rFonts w:ascii="Verdana" w:eastAsia="DejaVu Sans" w:hAnsi="Verdana" w:cs="Lohit Hindi" w:hint="default"/>
      </w:rPr>
    </w:lvl>
    <w:lvl w:ilvl="1" w:tplc="B0367DB8" w:tentative="1">
      <w:start w:val="1"/>
      <w:numFmt w:val="bullet"/>
      <w:lvlText w:val="o"/>
      <w:lvlJc w:val="left"/>
      <w:pPr>
        <w:ind w:left="1440" w:hanging="360"/>
      </w:pPr>
      <w:rPr>
        <w:rFonts w:ascii="Courier New" w:hAnsi="Courier New" w:cs="Courier New" w:hint="default"/>
      </w:rPr>
    </w:lvl>
    <w:lvl w:ilvl="2" w:tplc="8B76D6B0" w:tentative="1">
      <w:start w:val="1"/>
      <w:numFmt w:val="bullet"/>
      <w:lvlText w:val=""/>
      <w:lvlJc w:val="left"/>
      <w:pPr>
        <w:ind w:left="2160" w:hanging="360"/>
      </w:pPr>
      <w:rPr>
        <w:rFonts w:ascii="Wingdings" w:hAnsi="Wingdings" w:hint="default"/>
      </w:rPr>
    </w:lvl>
    <w:lvl w:ilvl="3" w:tplc="C37C1C2C" w:tentative="1">
      <w:start w:val="1"/>
      <w:numFmt w:val="bullet"/>
      <w:lvlText w:val=""/>
      <w:lvlJc w:val="left"/>
      <w:pPr>
        <w:ind w:left="2880" w:hanging="360"/>
      </w:pPr>
      <w:rPr>
        <w:rFonts w:ascii="Symbol" w:hAnsi="Symbol" w:hint="default"/>
      </w:rPr>
    </w:lvl>
    <w:lvl w:ilvl="4" w:tplc="0726991E" w:tentative="1">
      <w:start w:val="1"/>
      <w:numFmt w:val="bullet"/>
      <w:lvlText w:val="o"/>
      <w:lvlJc w:val="left"/>
      <w:pPr>
        <w:ind w:left="3600" w:hanging="360"/>
      </w:pPr>
      <w:rPr>
        <w:rFonts w:ascii="Courier New" w:hAnsi="Courier New" w:cs="Courier New" w:hint="default"/>
      </w:rPr>
    </w:lvl>
    <w:lvl w:ilvl="5" w:tplc="97CAB7E4" w:tentative="1">
      <w:start w:val="1"/>
      <w:numFmt w:val="bullet"/>
      <w:lvlText w:val=""/>
      <w:lvlJc w:val="left"/>
      <w:pPr>
        <w:ind w:left="4320" w:hanging="360"/>
      </w:pPr>
      <w:rPr>
        <w:rFonts w:ascii="Wingdings" w:hAnsi="Wingdings" w:hint="default"/>
      </w:rPr>
    </w:lvl>
    <w:lvl w:ilvl="6" w:tplc="53B26684" w:tentative="1">
      <w:start w:val="1"/>
      <w:numFmt w:val="bullet"/>
      <w:lvlText w:val=""/>
      <w:lvlJc w:val="left"/>
      <w:pPr>
        <w:ind w:left="5040" w:hanging="360"/>
      </w:pPr>
      <w:rPr>
        <w:rFonts w:ascii="Symbol" w:hAnsi="Symbol" w:hint="default"/>
      </w:rPr>
    </w:lvl>
    <w:lvl w:ilvl="7" w:tplc="3D64BA4A" w:tentative="1">
      <w:start w:val="1"/>
      <w:numFmt w:val="bullet"/>
      <w:lvlText w:val="o"/>
      <w:lvlJc w:val="left"/>
      <w:pPr>
        <w:ind w:left="5760" w:hanging="360"/>
      </w:pPr>
      <w:rPr>
        <w:rFonts w:ascii="Courier New" w:hAnsi="Courier New" w:cs="Courier New" w:hint="default"/>
      </w:rPr>
    </w:lvl>
    <w:lvl w:ilvl="8" w:tplc="3A8A4456" w:tentative="1">
      <w:start w:val="1"/>
      <w:numFmt w:val="bullet"/>
      <w:lvlText w:val=""/>
      <w:lvlJc w:val="left"/>
      <w:pPr>
        <w:ind w:left="6480" w:hanging="360"/>
      </w:pPr>
      <w:rPr>
        <w:rFonts w:ascii="Wingdings" w:hAnsi="Wingdings" w:hint="default"/>
      </w:rPr>
    </w:lvl>
  </w:abstractNum>
  <w:abstractNum w:abstractNumId="3" w15:restartNumberingAfterBreak="0">
    <w:nsid w:val="419D7556"/>
    <w:multiLevelType w:val="hybridMultilevel"/>
    <w:tmpl w:val="1DFCB54E"/>
    <w:lvl w:ilvl="0" w:tplc="9EA6DE2A">
      <w:start w:val="1"/>
      <w:numFmt w:val="decimal"/>
      <w:lvlText w:val="%1."/>
      <w:lvlJc w:val="left"/>
      <w:pPr>
        <w:ind w:left="720" w:hanging="360"/>
      </w:pPr>
      <w:rPr>
        <w:rFonts w:hint="default"/>
      </w:rPr>
    </w:lvl>
    <w:lvl w:ilvl="1" w:tplc="8542A450" w:tentative="1">
      <w:start w:val="1"/>
      <w:numFmt w:val="lowerLetter"/>
      <w:lvlText w:val="%2."/>
      <w:lvlJc w:val="left"/>
      <w:pPr>
        <w:ind w:left="1440" w:hanging="360"/>
      </w:pPr>
    </w:lvl>
    <w:lvl w:ilvl="2" w:tplc="2DCC6734" w:tentative="1">
      <w:start w:val="1"/>
      <w:numFmt w:val="lowerRoman"/>
      <w:lvlText w:val="%3."/>
      <w:lvlJc w:val="right"/>
      <w:pPr>
        <w:ind w:left="2160" w:hanging="180"/>
      </w:pPr>
    </w:lvl>
    <w:lvl w:ilvl="3" w:tplc="9354A970" w:tentative="1">
      <w:start w:val="1"/>
      <w:numFmt w:val="decimal"/>
      <w:lvlText w:val="%4."/>
      <w:lvlJc w:val="left"/>
      <w:pPr>
        <w:ind w:left="2880" w:hanging="360"/>
      </w:pPr>
    </w:lvl>
    <w:lvl w:ilvl="4" w:tplc="BFEA2168" w:tentative="1">
      <w:start w:val="1"/>
      <w:numFmt w:val="lowerLetter"/>
      <w:lvlText w:val="%5."/>
      <w:lvlJc w:val="left"/>
      <w:pPr>
        <w:ind w:left="3600" w:hanging="360"/>
      </w:pPr>
    </w:lvl>
    <w:lvl w:ilvl="5" w:tplc="E5104252" w:tentative="1">
      <w:start w:val="1"/>
      <w:numFmt w:val="lowerRoman"/>
      <w:lvlText w:val="%6."/>
      <w:lvlJc w:val="right"/>
      <w:pPr>
        <w:ind w:left="4320" w:hanging="180"/>
      </w:pPr>
    </w:lvl>
    <w:lvl w:ilvl="6" w:tplc="9B00C720" w:tentative="1">
      <w:start w:val="1"/>
      <w:numFmt w:val="decimal"/>
      <w:lvlText w:val="%7."/>
      <w:lvlJc w:val="left"/>
      <w:pPr>
        <w:ind w:left="5040" w:hanging="360"/>
      </w:pPr>
    </w:lvl>
    <w:lvl w:ilvl="7" w:tplc="A1D6F986" w:tentative="1">
      <w:start w:val="1"/>
      <w:numFmt w:val="lowerLetter"/>
      <w:lvlText w:val="%8."/>
      <w:lvlJc w:val="left"/>
      <w:pPr>
        <w:ind w:left="5760" w:hanging="360"/>
      </w:pPr>
    </w:lvl>
    <w:lvl w:ilvl="8" w:tplc="5434D2AA" w:tentative="1">
      <w:start w:val="1"/>
      <w:numFmt w:val="lowerRoman"/>
      <w:lvlText w:val="%9."/>
      <w:lvlJc w:val="right"/>
      <w:pPr>
        <w:ind w:left="6480" w:hanging="180"/>
      </w:pPr>
    </w:lvl>
  </w:abstractNum>
  <w:abstractNum w:abstractNumId="4" w15:restartNumberingAfterBreak="0">
    <w:nsid w:val="558A576F"/>
    <w:multiLevelType w:val="hybridMultilevel"/>
    <w:tmpl w:val="DB8AF5D4"/>
    <w:lvl w:ilvl="0" w:tplc="1FF8BE92">
      <w:numFmt w:val="bullet"/>
      <w:lvlText w:val=""/>
      <w:lvlJc w:val="left"/>
      <w:pPr>
        <w:ind w:left="720" w:hanging="360"/>
      </w:pPr>
      <w:rPr>
        <w:rFonts w:ascii="Wingdings" w:eastAsia="DejaVu Sans" w:hAnsi="Wingdings" w:cs="Lohit Hindi" w:hint="default"/>
      </w:rPr>
    </w:lvl>
    <w:lvl w:ilvl="1" w:tplc="8E12C65A" w:tentative="1">
      <w:start w:val="1"/>
      <w:numFmt w:val="bullet"/>
      <w:lvlText w:val="o"/>
      <w:lvlJc w:val="left"/>
      <w:pPr>
        <w:ind w:left="1440" w:hanging="360"/>
      </w:pPr>
      <w:rPr>
        <w:rFonts w:ascii="Courier New" w:hAnsi="Courier New" w:cs="Courier New" w:hint="default"/>
      </w:rPr>
    </w:lvl>
    <w:lvl w:ilvl="2" w:tplc="F620C218" w:tentative="1">
      <w:start w:val="1"/>
      <w:numFmt w:val="bullet"/>
      <w:lvlText w:val=""/>
      <w:lvlJc w:val="left"/>
      <w:pPr>
        <w:ind w:left="2160" w:hanging="360"/>
      </w:pPr>
      <w:rPr>
        <w:rFonts w:ascii="Wingdings" w:hAnsi="Wingdings" w:hint="default"/>
      </w:rPr>
    </w:lvl>
    <w:lvl w:ilvl="3" w:tplc="A532E0F2" w:tentative="1">
      <w:start w:val="1"/>
      <w:numFmt w:val="bullet"/>
      <w:lvlText w:val=""/>
      <w:lvlJc w:val="left"/>
      <w:pPr>
        <w:ind w:left="2880" w:hanging="360"/>
      </w:pPr>
      <w:rPr>
        <w:rFonts w:ascii="Symbol" w:hAnsi="Symbol" w:hint="default"/>
      </w:rPr>
    </w:lvl>
    <w:lvl w:ilvl="4" w:tplc="6810AA0A" w:tentative="1">
      <w:start w:val="1"/>
      <w:numFmt w:val="bullet"/>
      <w:lvlText w:val="o"/>
      <w:lvlJc w:val="left"/>
      <w:pPr>
        <w:ind w:left="3600" w:hanging="360"/>
      </w:pPr>
      <w:rPr>
        <w:rFonts w:ascii="Courier New" w:hAnsi="Courier New" w:cs="Courier New" w:hint="default"/>
      </w:rPr>
    </w:lvl>
    <w:lvl w:ilvl="5" w:tplc="E9F0461C" w:tentative="1">
      <w:start w:val="1"/>
      <w:numFmt w:val="bullet"/>
      <w:lvlText w:val=""/>
      <w:lvlJc w:val="left"/>
      <w:pPr>
        <w:ind w:left="4320" w:hanging="360"/>
      </w:pPr>
      <w:rPr>
        <w:rFonts w:ascii="Wingdings" w:hAnsi="Wingdings" w:hint="default"/>
      </w:rPr>
    </w:lvl>
    <w:lvl w:ilvl="6" w:tplc="2582580A" w:tentative="1">
      <w:start w:val="1"/>
      <w:numFmt w:val="bullet"/>
      <w:lvlText w:val=""/>
      <w:lvlJc w:val="left"/>
      <w:pPr>
        <w:ind w:left="5040" w:hanging="360"/>
      </w:pPr>
      <w:rPr>
        <w:rFonts w:ascii="Symbol" w:hAnsi="Symbol" w:hint="default"/>
      </w:rPr>
    </w:lvl>
    <w:lvl w:ilvl="7" w:tplc="DC88E0E2" w:tentative="1">
      <w:start w:val="1"/>
      <w:numFmt w:val="bullet"/>
      <w:lvlText w:val="o"/>
      <w:lvlJc w:val="left"/>
      <w:pPr>
        <w:ind w:left="5760" w:hanging="360"/>
      </w:pPr>
      <w:rPr>
        <w:rFonts w:ascii="Courier New" w:hAnsi="Courier New" w:cs="Courier New" w:hint="default"/>
      </w:rPr>
    </w:lvl>
    <w:lvl w:ilvl="8" w:tplc="FE50C89A" w:tentative="1">
      <w:start w:val="1"/>
      <w:numFmt w:val="bullet"/>
      <w:lvlText w:val=""/>
      <w:lvlJc w:val="left"/>
      <w:pPr>
        <w:ind w:left="6480" w:hanging="360"/>
      </w:pPr>
      <w:rPr>
        <w:rFonts w:ascii="Wingdings" w:hAnsi="Wingdings" w:hint="default"/>
      </w:rPr>
    </w:lvl>
  </w:abstractNum>
  <w:abstractNum w:abstractNumId="5" w15:restartNumberingAfterBreak="0">
    <w:nsid w:val="5EA5353D"/>
    <w:multiLevelType w:val="hybridMultilevel"/>
    <w:tmpl w:val="3A8EC85E"/>
    <w:lvl w:ilvl="0" w:tplc="0C1873B0">
      <w:start w:val="1"/>
      <w:numFmt w:val="bullet"/>
      <w:lvlText w:val=""/>
      <w:lvlJc w:val="left"/>
      <w:pPr>
        <w:ind w:left="720" w:hanging="360"/>
      </w:pPr>
      <w:rPr>
        <w:rFonts w:ascii="Symbol" w:hAnsi="Symbol" w:hint="default"/>
      </w:rPr>
    </w:lvl>
    <w:lvl w:ilvl="1" w:tplc="C0E004CE" w:tentative="1">
      <w:start w:val="1"/>
      <w:numFmt w:val="bullet"/>
      <w:lvlText w:val="o"/>
      <w:lvlJc w:val="left"/>
      <w:pPr>
        <w:ind w:left="1440" w:hanging="360"/>
      </w:pPr>
      <w:rPr>
        <w:rFonts w:ascii="Courier New" w:hAnsi="Courier New" w:cs="Courier New" w:hint="default"/>
      </w:rPr>
    </w:lvl>
    <w:lvl w:ilvl="2" w:tplc="8CB816F0" w:tentative="1">
      <w:start w:val="1"/>
      <w:numFmt w:val="bullet"/>
      <w:lvlText w:val=""/>
      <w:lvlJc w:val="left"/>
      <w:pPr>
        <w:ind w:left="2160" w:hanging="360"/>
      </w:pPr>
      <w:rPr>
        <w:rFonts w:ascii="Wingdings" w:hAnsi="Wingdings" w:hint="default"/>
      </w:rPr>
    </w:lvl>
    <w:lvl w:ilvl="3" w:tplc="381603B0" w:tentative="1">
      <w:start w:val="1"/>
      <w:numFmt w:val="bullet"/>
      <w:lvlText w:val=""/>
      <w:lvlJc w:val="left"/>
      <w:pPr>
        <w:ind w:left="2880" w:hanging="360"/>
      </w:pPr>
      <w:rPr>
        <w:rFonts w:ascii="Symbol" w:hAnsi="Symbol" w:hint="default"/>
      </w:rPr>
    </w:lvl>
    <w:lvl w:ilvl="4" w:tplc="C98E0AA6" w:tentative="1">
      <w:start w:val="1"/>
      <w:numFmt w:val="bullet"/>
      <w:lvlText w:val="o"/>
      <w:lvlJc w:val="left"/>
      <w:pPr>
        <w:ind w:left="3600" w:hanging="360"/>
      </w:pPr>
      <w:rPr>
        <w:rFonts w:ascii="Courier New" w:hAnsi="Courier New" w:cs="Courier New" w:hint="default"/>
      </w:rPr>
    </w:lvl>
    <w:lvl w:ilvl="5" w:tplc="CF243D04" w:tentative="1">
      <w:start w:val="1"/>
      <w:numFmt w:val="bullet"/>
      <w:lvlText w:val=""/>
      <w:lvlJc w:val="left"/>
      <w:pPr>
        <w:ind w:left="4320" w:hanging="360"/>
      </w:pPr>
      <w:rPr>
        <w:rFonts w:ascii="Wingdings" w:hAnsi="Wingdings" w:hint="default"/>
      </w:rPr>
    </w:lvl>
    <w:lvl w:ilvl="6" w:tplc="1CDA44F8" w:tentative="1">
      <w:start w:val="1"/>
      <w:numFmt w:val="bullet"/>
      <w:lvlText w:val=""/>
      <w:lvlJc w:val="left"/>
      <w:pPr>
        <w:ind w:left="5040" w:hanging="360"/>
      </w:pPr>
      <w:rPr>
        <w:rFonts w:ascii="Symbol" w:hAnsi="Symbol" w:hint="default"/>
      </w:rPr>
    </w:lvl>
    <w:lvl w:ilvl="7" w:tplc="6B5C0B5C" w:tentative="1">
      <w:start w:val="1"/>
      <w:numFmt w:val="bullet"/>
      <w:lvlText w:val="o"/>
      <w:lvlJc w:val="left"/>
      <w:pPr>
        <w:ind w:left="5760" w:hanging="360"/>
      </w:pPr>
      <w:rPr>
        <w:rFonts w:ascii="Courier New" w:hAnsi="Courier New" w:cs="Courier New" w:hint="default"/>
      </w:rPr>
    </w:lvl>
    <w:lvl w:ilvl="8" w:tplc="0BE8423C" w:tentative="1">
      <w:start w:val="1"/>
      <w:numFmt w:val="bullet"/>
      <w:lvlText w:val=""/>
      <w:lvlJc w:val="left"/>
      <w:pPr>
        <w:ind w:left="6480" w:hanging="360"/>
      </w:pPr>
      <w:rPr>
        <w:rFonts w:ascii="Wingdings" w:hAnsi="Wingdings" w:hint="default"/>
      </w:rPr>
    </w:lvl>
  </w:abstractNum>
  <w:abstractNum w:abstractNumId="6" w15:restartNumberingAfterBreak="0">
    <w:nsid w:val="657327F8"/>
    <w:multiLevelType w:val="hybridMultilevel"/>
    <w:tmpl w:val="9BE40752"/>
    <w:lvl w:ilvl="0" w:tplc="356AA14C">
      <w:start w:val="1"/>
      <w:numFmt w:val="decimal"/>
      <w:lvlText w:val="%1."/>
      <w:lvlJc w:val="left"/>
      <w:pPr>
        <w:ind w:left="720" w:hanging="360"/>
      </w:pPr>
      <w:rPr>
        <w:rFonts w:hint="default"/>
      </w:rPr>
    </w:lvl>
    <w:lvl w:ilvl="1" w:tplc="55B2F0DC" w:tentative="1">
      <w:start w:val="1"/>
      <w:numFmt w:val="lowerLetter"/>
      <w:lvlText w:val="%2."/>
      <w:lvlJc w:val="left"/>
      <w:pPr>
        <w:ind w:left="1440" w:hanging="360"/>
      </w:pPr>
    </w:lvl>
    <w:lvl w:ilvl="2" w:tplc="EDCA1F3E" w:tentative="1">
      <w:start w:val="1"/>
      <w:numFmt w:val="lowerRoman"/>
      <w:lvlText w:val="%3."/>
      <w:lvlJc w:val="right"/>
      <w:pPr>
        <w:ind w:left="2160" w:hanging="180"/>
      </w:pPr>
    </w:lvl>
    <w:lvl w:ilvl="3" w:tplc="FB4E8544" w:tentative="1">
      <w:start w:val="1"/>
      <w:numFmt w:val="decimal"/>
      <w:lvlText w:val="%4."/>
      <w:lvlJc w:val="left"/>
      <w:pPr>
        <w:ind w:left="2880" w:hanging="360"/>
      </w:pPr>
    </w:lvl>
    <w:lvl w:ilvl="4" w:tplc="FF08916C" w:tentative="1">
      <w:start w:val="1"/>
      <w:numFmt w:val="lowerLetter"/>
      <w:lvlText w:val="%5."/>
      <w:lvlJc w:val="left"/>
      <w:pPr>
        <w:ind w:left="3600" w:hanging="360"/>
      </w:pPr>
    </w:lvl>
    <w:lvl w:ilvl="5" w:tplc="6F56AB94" w:tentative="1">
      <w:start w:val="1"/>
      <w:numFmt w:val="lowerRoman"/>
      <w:lvlText w:val="%6."/>
      <w:lvlJc w:val="right"/>
      <w:pPr>
        <w:ind w:left="4320" w:hanging="180"/>
      </w:pPr>
    </w:lvl>
    <w:lvl w:ilvl="6" w:tplc="CB227952" w:tentative="1">
      <w:start w:val="1"/>
      <w:numFmt w:val="decimal"/>
      <w:lvlText w:val="%7."/>
      <w:lvlJc w:val="left"/>
      <w:pPr>
        <w:ind w:left="5040" w:hanging="360"/>
      </w:pPr>
    </w:lvl>
    <w:lvl w:ilvl="7" w:tplc="99AE4554" w:tentative="1">
      <w:start w:val="1"/>
      <w:numFmt w:val="lowerLetter"/>
      <w:lvlText w:val="%8."/>
      <w:lvlJc w:val="left"/>
      <w:pPr>
        <w:ind w:left="5760" w:hanging="360"/>
      </w:pPr>
    </w:lvl>
    <w:lvl w:ilvl="8" w:tplc="30BC16F8" w:tentative="1">
      <w:start w:val="1"/>
      <w:numFmt w:val="lowerRoman"/>
      <w:lvlText w:val="%9."/>
      <w:lvlJc w:val="right"/>
      <w:pPr>
        <w:ind w:left="6480" w:hanging="180"/>
      </w:pPr>
    </w:lvl>
  </w:abstractNum>
  <w:abstractNum w:abstractNumId="7" w15:restartNumberingAfterBreak="0">
    <w:nsid w:val="74E37730"/>
    <w:multiLevelType w:val="hybridMultilevel"/>
    <w:tmpl w:val="80000AD6"/>
    <w:lvl w:ilvl="0" w:tplc="9442209C">
      <w:start w:val="1"/>
      <w:numFmt w:val="bullet"/>
      <w:lvlText w:val=""/>
      <w:lvlJc w:val="left"/>
      <w:pPr>
        <w:ind w:left="720" w:hanging="360"/>
      </w:pPr>
      <w:rPr>
        <w:rFonts w:ascii="Symbol" w:hAnsi="Symbol" w:hint="default"/>
      </w:rPr>
    </w:lvl>
    <w:lvl w:ilvl="1" w:tplc="7B165772" w:tentative="1">
      <w:start w:val="1"/>
      <w:numFmt w:val="bullet"/>
      <w:lvlText w:val="o"/>
      <w:lvlJc w:val="left"/>
      <w:pPr>
        <w:ind w:left="1440" w:hanging="360"/>
      </w:pPr>
      <w:rPr>
        <w:rFonts w:ascii="Courier New" w:hAnsi="Courier New" w:cs="Courier New" w:hint="default"/>
      </w:rPr>
    </w:lvl>
    <w:lvl w:ilvl="2" w:tplc="4818573A" w:tentative="1">
      <w:start w:val="1"/>
      <w:numFmt w:val="bullet"/>
      <w:lvlText w:val=""/>
      <w:lvlJc w:val="left"/>
      <w:pPr>
        <w:ind w:left="2160" w:hanging="360"/>
      </w:pPr>
      <w:rPr>
        <w:rFonts w:ascii="Wingdings" w:hAnsi="Wingdings" w:hint="default"/>
      </w:rPr>
    </w:lvl>
    <w:lvl w:ilvl="3" w:tplc="D9703CB2" w:tentative="1">
      <w:start w:val="1"/>
      <w:numFmt w:val="bullet"/>
      <w:lvlText w:val=""/>
      <w:lvlJc w:val="left"/>
      <w:pPr>
        <w:ind w:left="2880" w:hanging="360"/>
      </w:pPr>
      <w:rPr>
        <w:rFonts w:ascii="Symbol" w:hAnsi="Symbol" w:hint="default"/>
      </w:rPr>
    </w:lvl>
    <w:lvl w:ilvl="4" w:tplc="FC4215AE" w:tentative="1">
      <w:start w:val="1"/>
      <w:numFmt w:val="bullet"/>
      <w:lvlText w:val="o"/>
      <w:lvlJc w:val="left"/>
      <w:pPr>
        <w:ind w:left="3600" w:hanging="360"/>
      </w:pPr>
      <w:rPr>
        <w:rFonts w:ascii="Courier New" w:hAnsi="Courier New" w:cs="Courier New" w:hint="default"/>
      </w:rPr>
    </w:lvl>
    <w:lvl w:ilvl="5" w:tplc="20608036" w:tentative="1">
      <w:start w:val="1"/>
      <w:numFmt w:val="bullet"/>
      <w:lvlText w:val=""/>
      <w:lvlJc w:val="left"/>
      <w:pPr>
        <w:ind w:left="4320" w:hanging="360"/>
      </w:pPr>
      <w:rPr>
        <w:rFonts w:ascii="Wingdings" w:hAnsi="Wingdings" w:hint="default"/>
      </w:rPr>
    </w:lvl>
    <w:lvl w:ilvl="6" w:tplc="FD7E507E" w:tentative="1">
      <w:start w:val="1"/>
      <w:numFmt w:val="bullet"/>
      <w:lvlText w:val=""/>
      <w:lvlJc w:val="left"/>
      <w:pPr>
        <w:ind w:left="5040" w:hanging="360"/>
      </w:pPr>
      <w:rPr>
        <w:rFonts w:ascii="Symbol" w:hAnsi="Symbol" w:hint="default"/>
      </w:rPr>
    </w:lvl>
    <w:lvl w:ilvl="7" w:tplc="56B4AC18" w:tentative="1">
      <w:start w:val="1"/>
      <w:numFmt w:val="bullet"/>
      <w:lvlText w:val="o"/>
      <w:lvlJc w:val="left"/>
      <w:pPr>
        <w:ind w:left="5760" w:hanging="360"/>
      </w:pPr>
      <w:rPr>
        <w:rFonts w:ascii="Courier New" w:hAnsi="Courier New" w:cs="Courier New" w:hint="default"/>
      </w:rPr>
    </w:lvl>
    <w:lvl w:ilvl="8" w:tplc="C4B01E1C" w:tentative="1">
      <w:start w:val="1"/>
      <w:numFmt w:val="bullet"/>
      <w:lvlText w:val=""/>
      <w:lvlJc w:val="left"/>
      <w:pPr>
        <w:ind w:left="6480" w:hanging="360"/>
      </w:pPr>
      <w:rPr>
        <w:rFonts w:ascii="Wingdings" w:hAnsi="Wingdings" w:hint="default"/>
      </w:rPr>
    </w:lvl>
  </w:abstractNum>
  <w:num w:numId="1" w16cid:durableId="1463886503">
    <w:abstractNumId w:val="4"/>
  </w:num>
  <w:num w:numId="2" w16cid:durableId="1279920433">
    <w:abstractNumId w:val="5"/>
  </w:num>
  <w:num w:numId="3" w16cid:durableId="646251241">
    <w:abstractNumId w:val="1"/>
  </w:num>
  <w:num w:numId="4" w16cid:durableId="507445842">
    <w:abstractNumId w:val="2"/>
  </w:num>
  <w:num w:numId="5" w16cid:durableId="992026399">
    <w:abstractNumId w:val="0"/>
  </w:num>
  <w:num w:numId="6" w16cid:durableId="2015836116">
    <w:abstractNumId w:val="3"/>
  </w:num>
  <w:num w:numId="7" w16cid:durableId="585649969">
    <w:abstractNumId w:val="6"/>
  </w:num>
  <w:num w:numId="8" w16cid:durableId="468939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DB4"/>
    <w:rsid w:val="00021508"/>
    <w:rsid w:val="00026446"/>
    <w:rsid w:val="00034261"/>
    <w:rsid w:val="000344CB"/>
    <w:rsid w:val="000374F9"/>
    <w:rsid w:val="00037F92"/>
    <w:rsid w:val="00040410"/>
    <w:rsid w:val="00040450"/>
    <w:rsid w:val="00040907"/>
    <w:rsid w:val="00040F63"/>
    <w:rsid w:val="00050D5B"/>
    <w:rsid w:val="0005450E"/>
    <w:rsid w:val="00060DEC"/>
    <w:rsid w:val="00080D89"/>
    <w:rsid w:val="000833E9"/>
    <w:rsid w:val="000A04E6"/>
    <w:rsid w:val="000A20A0"/>
    <w:rsid w:val="000B1832"/>
    <w:rsid w:val="000B45B1"/>
    <w:rsid w:val="000C29E1"/>
    <w:rsid w:val="000C7061"/>
    <w:rsid w:val="000D0CCB"/>
    <w:rsid w:val="000D6D8A"/>
    <w:rsid w:val="000E2B33"/>
    <w:rsid w:val="000E2F12"/>
    <w:rsid w:val="000E54B6"/>
    <w:rsid w:val="000F200E"/>
    <w:rsid w:val="00113778"/>
    <w:rsid w:val="0012243A"/>
    <w:rsid w:val="00125BDF"/>
    <w:rsid w:val="00125CF6"/>
    <w:rsid w:val="001327A8"/>
    <w:rsid w:val="001356D2"/>
    <w:rsid w:val="0014475E"/>
    <w:rsid w:val="001547A7"/>
    <w:rsid w:val="0015515D"/>
    <w:rsid w:val="001653DA"/>
    <w:rsid w:val="00172063"/>
    <w:rsid w:val="00172CD9"/>
    <w:rsid w:val="00172CDA"/>
    <w:rsid w:val="0018098F"/>
    <w:rsid w:val="0018389A"/>
    <w:rsid w:val="001853F7"/>
    <w:rsid w:val="001869B5"/>
    <w:rsid w:val="001A25F4"/>
    <w:rsid w:val="001B091F"/>
    <w:rsid w:val="001B229B"/>
    <w:rsid w:val="001B41E1"/>
    <w:rsid w:val="001B7303"/>
    <w:rsid w:val="001C088B"/>
    <w:rsid w:val="001D23DF"/>
    <w:rsid w:val="001E2846"/>
    <w:rsid w:val="00215CB5"/>
    <w:rsid w:val="002244CE"/>
    <w:rsid w:val="0023136D"/>
    <w:rsid w:val="0023523A"/>
    <w:rsid w:val="00235AED"/>
    <w:rsid w:val="00241BB9"/>
    <w:rsid w:val="0024698E"/>
    <w:rsid w:val="00255E46"/>
    <w:rsid w:val="002707FB"/>
    <w:rsid w:val="00277F1D"/>
    <w:rsid w:val="002848ED"/>
    <w:rsid w:val="00284BC3"/>
    <w:rsid w:val="00292960"/>
    <w:rsid w:val="00293F5E"/>
    <w:rsid w:val="00297795"/>
    <w:rsid w:val="002B1D9F"/>
    <w:rsid w:val="002B504F"/>
    <w:rsid w:val="002C31F0"/>
    <w:rsid w:val="002C323A"/>
    <w:rsid w:val="002D3ADC"/>
    <w:rsid w:val="002D5AFF"/>
    <w:rsid w:val="002E133F"/>
    <w:rsid w:val="002E1A1C"/>
    <w:rsid w:val="002F4886"/>
    <w:rsid w:val="00334C45"/>
    <w:rsid w:val="00340CF4"/>
    <w:rsid w:val="00344387"/>
    <w:rsid w:val="003451E2"/>
    <w:rsid w:val="00347F1B"/>
    <w:rsid w:val="003563FF"/>
    <w:rsid w:val="00374B68"/>
    <w:rsid w:val="00395550"/>
    <w:rsid w:val="003A3A2D"/>
    <w:rsid w:val="003B287C"/>
    <w:rsid w:val="003B43E1"/>
    <w:rsid w:val="003B48D4"/>
    <w:rsid w:val="003B6B08"/>
    <w:rsid w:val="003B7573"/>
    <w:rsid w:val="003C472B"/>
    <w:rsid w:val="003C6ED5"/>
    <w:rsid w:val="003C700C"/>
    <w:rsid w:val="003C7185"/>
    <w:rsid w:val="003D0C7B"/>
    <w:rsid w:val="003D27F8"/>
    <w:rsid w:val="003F3A47"/>
    <w:rsid w:val="00400E2A"/>
    <w:rsid w:val="004023E5"/>
    <w:rsid w:val="004024DE"/>
    <w:rsid w:val="00404066"/>
    <w:rsid w:val="0040478F"/>
    <w:rsid w:val="004116FE"/>
    <w:rsid w:val="0041261C"/>
    <w:rsid w:val="0042458C"/>
    <w:rsid w:val="0043480A"/>
    <w:rsid w:val="004356CF"/>
    <w:rsid w:val="00437B5F"/>
    <w:rsid w:val="00441460"/>
    <w:rsid w:val="004509BE"/>
    <w:rsid w:val="0045486D"/>
    <w:rsid w:val="00463DBC"/>
    <w:rsid w:val="0048004B"/>
    <w:rsid w:val="004844C9"/>
    <w:rsid w:val="00492327"/>
    <w:rsid w:val="00492F92"/>
    <w:rsid w:val="004934A8"/>
    <w:rsid w:val="004B0C11"/>
    <w:rsid w:val="004C4C3D"/>
    <w:rsid w:val="004D0C8A"/>
    <w:rsid w:val="004D0FD4"/>
    <w:rsid w:val="004E637A"/>
    <w:rsid w:val="004F0962"/>
    <w:rsid w:val="004F0B09"/>
    <w:rsid w:val="004F22B1"/>
    <w:rsid w:val="00502221"/>
    <w:rsid w:val="00507EB8"/>
    <w:rsid w:val="00516D6A"/>
    <w:rsid w:val="00523C02"/>
    <w:rsid w:val="005242EF"/>
    <w:rsid w:val="00527912"/>
    <w:rsid w:val="00532F27"/>
    <w:rsid w:val="00543169"/>
    <w:rsid w:val="00544135"/>
    <w:rsid w:val="005573C5"/>
    <w:rsid w:val="005600D7"/>
    <w:rsid w:val="00565CD6"/>
    <w:rsid w:val="005677D6"/>
    <w:rsid w:val="00582E97"/>
    <w:rsid w:val="00587714"/>
    <w:rsid w:val="005A030F"/>
    <w:rsid w:val="005B4CE9"/>
    <w:rsid w:val="005C3CD4"/>
    <w:rsid w:val="005C3E8C"/>
    <w:rsid w:val="005C4DFA"/>
    <w:rsid w:val="005D13DA"/>
    <w:rsid w:val="005D327A"/>
    <w:rsid w:val="005E5430"/>
    <w:rsid w:val="005F4A3B"/>
    <w:rsid w:val="00616D0A"/>
    <w:rsid w:val="0063555A"/>
    <w:rsid w:val="00637676"/>
    <w:rsid w:val="00641020"/>
    <w:rsid w:val="006415A7"/>
    <w:rsid w:val="00643DBE"/>
    <w:rsid w:val="00654075"/>
    <w:rsid w:val="00685A03"/>
    <w:rsid w:val="00686885"/>
    <w:rsid w:val="006922AC"/>
    <w:rsid w:val="00697032"/>
    <w:rsid w:val="006A3877"/>
    <w:rsid w:val="006B16C1"/>
    <w:rsid w:val="006D0EBC"/>
    <w:rsid w:val="006D7857"/>
    <w:rsid w:val="006F3FBB"/>
    <w:rsid w:val="006F4E1E"/>
    <w:rsid w:val="006F5637"/>
    <w:rsid w:val="00731975"/>
    <w:rsid w:val="00743763"/>
    <w:rsid w:val="0074764C"/>
    <w:rsid w:val="00763E81"/>
    <w:rsid w:val="0077069B"/>
    <w:rsid w:val="00774C91"/>
    <w:rsid w:val="00776965"/>
    <w:rsid w:val="00797ED4"/>
    <w:rsid w:val="007A394C"/>
    <w:rsid w:val="007A4F37"/>
    <w:rsid w:val="007B028B"/>
    <w:rsid w:val="007B4EF9"/>
    <w:rsid w:val="007B6A41"/>
    <w:rsid w:val="007C5E57"/>
    <w:rsid w:val="007D0F21"/>
    <w:rsid w:val="007D23C6"/>
    <w:rsid w:val="007D7A29"/>
    <w:rsid w:val="007E36BA"/>
    <w:rsid w:val="007E6594"/>
    <w:rsid w:val="007F380D"/>
    <w:rsid w:val="007F39AD"/>
    <w:rsid w:val="007F4A98"/>
    <w:rsid w:val="00810E94"/>
    <w:rsid w:val="0081619E"/>
    <w:rsid w:val="00834216"/>
    <w:rsid w:val="008448ED"/>
    <w:rsid w:val="008501C3"/>
    <w:rsid w:val="008578C4"/>
    <w:rsid w:val="008708B2"/>
    <w:rsid w:val="0087691C"/>
    <w:rsid w:val="00882331"/>
    <w:rsid w:val="00893C24"/>
    <w:rsid w:val="008A21F4"/>
    <w:rsid w:val="008A42CB"/>
    <w:rsid w:val="008A5C8C"/>
    <w:rsid w:val="008C3E8B"/>
    <w:rsid w:val="008D2704"/>
    <w:rsid w:val="008D58E8"/>
    <w:rsid w:val="008D59C5"/>
    <w:rsid w:val="008D618A"/>
    <w:rsid w:val="008E210E"/>
    <w:rsid w:val="008E4B89"/>
    <w:rsid w:val="008E5A67"/>
    <w:rsid w:val="008F33AD"/>
    <w:rsid w:val="00903153"/>
    <w:rsid w:val="009123ED"/>
    <w:rsid w:val="00926ABD"/>
    <w:rsid w:val="00943CCD"/>
    <w:rsid w:val="00960E2B"/>
    <w:rsid w:val="00962BB3"/>
    <w:rsid w:val="00964083"/>
    <w:rsid w:val="00982139"/>
    <w:rsid w:val="00985A65"/>
    <w:rsid w:val="009965E8"/>
    <w:rsid w:val="00997EFA"/>
    <w:rsid w:val="009A31BF"/>
    <w:rsid w:val="009B2459"/>
    <w:rsid w:val="009C4777"/>
    <w:rsid w:val="009D3C77"/>
    <w:rsid w:val="009D7D63"/>
    <w:rsid w:val="009E3C85"/>
    <w:rsid w:val="009F419D"/>
    <w:rsid w:val="00A03EF8"/>
    <w:rsid w:val="00A057CE"/>
    <w:rsid w:val="00A218EA"/>
    <w:rsid w:val="00A246F5"/>
    <w:rsid w:val="00A43276"/>
    <w:rsid w:val="00A52DBE"/>
    <w:rsid w:val="00A62B45"/>
    <w:rsid w:val="00A83BE3"/>
    <w:rsid w:val="00A9539A"/>
    <w:rsid w:val="00AA593B"/>
    <w:rsid w:val="00AA61EA"/>
    <w:rsid w:val="00AC2F74"/>
    <w:rsid w:val="00AD599F"/>
    <w:rsid w:val="00AF5926"/>
    <w:rsid w:val="00AF6BEC"/>
    <w:rsid w:val="00B06C4D"/>
    <w:rsid w:val="00B233A1"/>
    <w:rsid w:val="00B427BA"/>
    <w:rsid w:val="00B45D68"/>
    <w:rsid w:val="00B80096"/>
    <w:rsid w:val="00B8296E"/>
    <w:rsid w:val="00B82F43"/>
    <w:rsid w:val="00BA7566"/>
    <w:rsid w:val="00BB0CA4"/>
    <w:rsid w:val="00BC481F"/>
    <w:rsid w:val="00BC6DB9"/>
    <w:rsid w:val="00BC75D9"/>
    <w:rsid w:val="00BD75C1"/>
    <w:rsid w:val="00BE14F4"/>
    <w:rsid w:val="00C14F28"/>
    <w:rsid w:val="00C1639E"/>
    <w:rsid w:val="00C16AA2"/>
    <w:rsid w:val="00C3438D"/>
    <w:rsid w:val="00C520CA"/>
    <w:rsid w:val="00C55AF7"/>
    <w:rsid w:val="00C62B6C"/>
    <w:rsid w:val="00C65236"/>
    <w:rsid w:val="00C74EB6"/>
    <w:rsid w:val="00C81260"/>
    <w:rsid w:val="00C829E2"/>
    <w:rsid w:val="00C953F4"/>
    <w:rsid w:val="00C95CA9"/>
    <w:rsid w:val="00CA061B"/>
    <w:rsid w:val="00CB1CA7"/>
    <w:rsid w:val="00CB553C"/>
    <w:rsid w:val="00CD05E7"/>
    <w:rsid w:val="00CD4AED"/>
    <w:rsid w:val="00CD576A"/>
    <w:rsid w:val="00CD5856"/>
    <w:rsid w:val="00CF0F2E"/>
    <w:rsid w:val="00CF3E82"/>
    <w:rsid w:val="00D02EEA"/>
    <w:rsid w:val="00D21CEE"/>
    <w:rsid w:val="00D257AB"/>
    <w:rsid w:val="00D32F3C"/>
    <w:rsid w:val="00D41C98"/>
    <w:rsid w:val="00D54121"/>
    <w:rsid w:val="00D54679"/>
    <w:rsid w:val="00D645C8"/>
    <w:rsid w:val="00D66A30"/>
    <w:rsid w:val="00D67BAF"/>
    <w:rsid w:val="00D75945"/>
    <w:rsid w:val="00D81796"/>
    <w:rsid w:val="00D94B61"/>
    <w:rsid w:val="00DA15A1"/>
    <w:rsid w:val="00DB0965"/>
    <w:rsid w:val="00DC1B34"/>
    <w:rsid w:val="00DC7639"/>
    <w:rsid w:val="00DD5247"/>
    <w:rsid w:val="00DD7E31"/>
    <w:rsid w:val="00DE352C"/>
    <w:rsid w:val="00DF1E55"/>
    <w:rsid w:val="00DF6973"/>
    <w:rsid w:val="00E005ED"/>
    <w:rsid w:val="00E04532"/>
    <w:rsid w:val="00E0636F"/>
    <w:rsid w:val="00E1490C"/>
    <w:rsid w:val="00E30691"/>
    <w:rsid w:val="00E37122"/>
    <w:rsid w:val="00E37D4D"/>
    <w:rsid w:val="00E37EC4"/>
    <w:rsid w:val="00E43212"/>
    <w:rsid w:val="00E47098"/>
    <w:rsid w:val="00E56C17"/>
    <w:rsid w:val="00E574BA"/>
    <w:rsid w:val="00E76B96"/>
    <w:rsid w:val="00E80E9F"/>
    <w:rsid w:val="00E85195"/>
    <w:rsid w:val="00EA275E"/>
    <w:rsid w:val="00EA28D6"/>
    <w:rsid w:val="00EA3AE9"/>
    <w:rsid w:val="00EB7E9B"/>
    <w:rsid w:val="00EE23CE"/>
    <w:rsid w:val="00EE2A9D"/>
    <w:rsid w:val="00F00D38"/>
    <w:rsid w:val="00F079A1"/>
    <w:rsid w:val="00F12DB1"/>
    <w:rsid w:val="00F24DF0"/>
    <w:rsid w:val="00F32EA9"/>
    <w:rsid w:val="00F406E0"/>
    <w:rsid w:val="00F45C15"/>
    <w:rsid w:val="00F5674E"/>
    <w:rsid w:val="00F56EBE"/>
    <w:rsid w:val="00F72360"/>
    <w:rsid w:val="00F7635B"/>
    <w:rsid w:val="00F807EA"/>
    <w:rsid w:val="00F847BF"/>
    <w:rsid w:val="00F87E88"/>
    <w:rsid w:val="00F95B27"/>
    <w:rsid w:val="00FA2533"/>
    <w:rsid w:val="00FA4A6C"/>
    <w:rsid w:val="00FB4D85"/>
    <w:rsid w:val="00FC2FFD"/>
    <w:rsid w:val="00FC776C"/>
    <w:rsid w:val="00FD036B"/>
    <w:rsid w:val="00FD4F9A"/>
    <w:rsid w:val="00FD6940"/>
    <w:rsid w:val="00FE3CB6"/>
    <w:rsid w:val="00FE4200"/>
    <w:rsid w:val="00FF31DD"/>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E3C8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9E3C85"/>
    <w:rPr>
      <w:rFonts w:ascii="Verdana" w:hAnsi="Verdana" w:cs="Mangal"/>
      <w:sz w:val="20"/>
      <w:szCs w:val="18"/>
    </w:rPr>
  </w:style>
  <w:style w:type="character" w:styleId="Voetnootmarkering">
    <w:name w:val="footnote reference"/>
    <w:basedOn w:val="Standaardalinea-lettertype"/>
    <w:uiPriority w:val="99"/>
    <w:semiHidden/>
    <w:unhideWhenUsed/>
    <w:rsid w:val="009E3C85"/>
    <w:rPr>
      <w:vertAlign w:val="superscript"/>
    </w:rPr>
  </w:style>
  <w:style w:type="paragraph" w:styleId="Lijstalinea">
    <w:name w:val="List Paragraph"/>
    <w:basedOn w:val="Standaard"/>
    <w:uiPriority w:val="34"/>
    <w:qFormat/>
    <w:rsid w:val="00C14F28"/>
    <w:pPr>
      <w:ind w:left="720"/>
      <w:contextualSpacing/>
    </w:pPr>
    <w:rPr>
      <w:rFonts w:cs="Mangal"/>
    </w:rPr>
  </w:style>
  <w:style w:type="paragraph" w:styleId="Revisie">
    <w:name w:val="Revision"/>
    <w:hidden/>
    <w:uiPriority w:val="99"/>
    <w:semiHidden/>
    <w:rsid w:val="004F22B1"/>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4F22B1"/>
    <w:rPr>
      <w:sz w:val="16"/>
      <w:szCs w:val="16"/>
    </w:rPr>
  </w:style>
  <w:style w:type="paragraph" w:styleId="Tekstopmerking">
    <w:name w:val="annotation text"/>
    <w:basedOn w:val="Standaard"/>
    <w:link w:val="TekstopmerkingChar"/>
    <w:uiPriority w:val="99"/>
    <w:unhideWhenUsed/>
    <w:rsid w:val="004F22B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F22B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F22B1"/>
    <w:rPr>
      <w:b/>
      <w:bCs/>
    </w:rPr>
  </w:style>
  <w:style w:type="character" w:customStyle="1" w:styleId="OnderwerpvanopmerkingChar">
    <w:name w:val="Onderwerp van opmerking Char"/>
    <w:basedOn w:val="TekstopmerkingChar"/>
    <w:link w:val="Onderwerpvanopmerking"/>
    <w:uiPriority w:val="99"/>
    <w:semiHidden/>
    <w:rsid w:val="004F22B1"/>
    <w:rPr>
      <w:rFonts w:ascii="Verdana" w:hAnsi="Verdana" w:cs="Mangal"/>
      <w:b/>
      <w:bCs/>
      <w:sz w:val="20"/>
      <w:szCs w:val="18"/>
    </w:rPr>
  </w:style>
  <w:style w:type="character" w:styleId="Hyperlink">
    <w:name w:val="Hyperlink"/>
    <w:basedOn w:val="Standaardalinea-lettertype"/>
    <w:uiPriority w:val="99"/>
    <w:unhideWhenUsed/>
    <w:rsid w:val="005D13DA"/>
    <w:rPr>
      <w:color w:val="0000FF" w:themeColor="hyperlink"/>
      <w:u w:val="single"/>
    </w:rPr>
  </w:style>
  <w:style w:type="character" w:styleId="Onopgelostemelding">
    <w:name w:val="Unresolved Mention"/>
    <w:basedOn w:val="Standaardalinea-lettertype"/>
    <w:uiPriority w:val="99"/>
    <w:semiHidden/>
    <w:unhideWhenUsed/>
    <w:rsid w:val="005D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tiskraad.dk/media/llxlevu5/nordic-statement-engelsk_end-note.pdf" TargetMode="External"/><Relationship Id="rId2" Type="http://schemas.openxmlformats.org/officeDocument/2006/relationships/hyperlink" Target="https://eur-lex.europa.eu/legal-content/EN/TXT/?uri=OJ:L_202401938" TargetMode="External"/><Relationship Id="rId1" Type="http://schemas.openxmlformats.org/officeDocument/2006/relationships/hyperlink" Target="https://zoek.officielebekendmakingen.nl/stb-2023-29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2660</ap:Words>
  <ap:Characters>14632</ap:Characters>
  <ap:DocSecurity>0</ap:DocSecurity>
  <ap:Lines>121</ap:Lines>
  <ap:Paragraphs>34</ap:Paragraphs>
  <ap:ScaleCrop>false</ap:ScaleCrop>
  <ap:LinksUpToDate>false</ap:LinksUpToDate>
  <ap:CharactersWithSpaces>17258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2026-02-12T09:31:00.0000000Z</dcterms:created>
  <dcterms:modified xsi:type="dcterms:W3CDTF">2026-02-12T09:31:00.0000000Z</dcterms:modified>
  <dc:description>------------------------</dc:description>
  <dc:subject/>
  <dc:title/>
  <keywords/>
  <version/>
  <category/>
</coreProperties>
</file>