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2026Z03241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februari 2026)</w:t>
        <w:br/>
      </w:r>
    </w:p>
    <w:p>
      <w:r>
        <w:t xml:space="preserve">Vragen van het lid Wendel aan de staatssecretaris van Volksgezondheid, Welzijn en Sport over het bericht dat jongeren in de jeugdzorg niet durven te klagen over misstanden.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Bent u bekend met het artikel ‘Kinderombudsman: jongeren in de jeugdzorg durven niet te klagen over misstanden’ in de Trouw d.d. 11 februari 2026?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Deelt u de mening dat het van cruciaal belang is dat kinderen in de jeugdzorg zich veilig genoeg voelen om een klacht in te dienen bij misstanden?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Wat vindt u ervan dat uit onderzoek van de Kinderombudsman blijkt dat kinderen problemen in de jeugdzorg niet informeel durven aan te kaarten?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Herkent u de signalen uit het onderzoek van de Kinderombudsman, waaruit blijkt dat kinderen in de jeugdzorg vrijwel nooit een formele klacht durven in te dienen uit angst voor repercussies? Wat vindt u hiervan?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Bent u op de hoogte van de wijze waarop jeugdzorgorganisaties hun klachtenprocedures inrichten?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Het onderzoek stelt dat de klachtenprocedures te ingewikkeld zijn en het voor jongeren vaak niet duidelijk is hoe de klachtenprocedure werkt, herkent u de conclusies uit het onderzoek van de Kinderombudsman over de gebreken in de klachtenprocedures van de jeugdzorg?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Wat gaat u doen om ervoor te zorgen dat de klachtenprocedures in de jeugdzorg verbeterd worden en kinderen zich veilig voelen om informeel, dan wel formeel te melden?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Klopt het dat in sommige gevallen een officiële klacht ingediend moet worden via een begeleider?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Het onderzoek van de Kinderombudsman stelt ook dat de afhandeling van klachten onvoldoende verloopt, herkent u dit beeld en zo ja hoe gaat u ervoor zorgen dat dit wordt verbeterd?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Deelt u de mening dat een gebrek aan lerend vermogen bij de organisatie naar aanleiding van een klacht de drempels hiertoe voor een jongere nog hoger maakt? Hoe kunt u ervoor zorgen dat dit lerend vermogen toeneemt?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Kunt u aangeven op welke manier klachtenprocedures binnen de residentiële jeugdhulp beter kunnen aansluiten bij de aanbevelingen die de Kinderombudsman in 2016 hierover heeft gedaan?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Hoe ziet u uw rol als stelselverantwoordelijke ten aanzien van de jeugdzorg in het verbeteren van de klachtenprocedures?</w:t>
      </w:r>
      <w:r>
        <w:br/>
      </w:r>
    </w:p>
    <w:p>
      <w:pPr>
        <w:pStyle w:val="ListParagraph"/>
        <w:numPr>
          <w:ilvl w:val="0"/>
          <w:numId w:val="100497510"/>
        </w:numPr>
        <w:ind w:left="360"/>
      </w:pPr>
      <w:r>
        <w:t xml:space="preserve">Kunt u deze vragen individueel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420">
    <w:abstractNumId w:val="100497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