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2026Z03244</w:t>
        <w:br/>
      </w:r>
      <w:proofErr w:type="spellEnd"/>
    </w:p>
    <w:p>
      <w:pPr>
        <w:pStyle w:val="Normal"/>
        <w:rPr>
          <w:b w:val="1"/>
          <w:bCs w:val="1"/>
        </w:rPr>
      </w:pPr>
      <w:r w:rsidR="250AE766">
        <w:rPr>
          <w:b w:val="0"/>
          <w:bCs w:val="0"/>
        </w:rPr>
        <w:t>(ingezonden 13 februari 2026)</w:t>
        <w:br/>
      </w:r>
    </w:p>
    <w:p>
      <w:r>
        <w:t xml:space="preserve">Vragen van de leden Bikker (ChristenUnie) en Dobbe (SP) aan de staatssecretaris van Justitie en Veiligheid over het onderzoek van de Consumentenbond naar tekortkomingen in de bescherming van online gokkers en de lopende massaclaim van de Consumentenbond.</w:t>
      </w:r>
      <w:r>
        <w:br/>
      </w:r>
    </w:p>
    <w:p>
      <w:pPr>
        <w:pStyle w:val="ListParagraph"/>
        <w:numPr>
          <w:ilvl w:val="0"/>
          <w:numId w:val="100497530"/>
        </w:numPr>
        <w:ind w:left="360"/>
      </w:pPr>
      <w:r>
        <w:t xml:space="preserve">Bent u bekend met de berichten “Verboden trucs in legale online casino’s: massaclaim in de maak”[1] en “Consumenten voor totaalverbod gokreclame én betere bescherming”[2]?</w:t>
      </w:r>
      <w:r>
        <w:br/>
      </w:r>
    </w:p>
    <w:p>
      <w:pPr>
        <w:pStyle w:val="ListParagraph"/>
        <w:numPr>
          <w:ilvl w:val="0"/>
          <w:numId w:val="100497530"/>
        </w:numPr>
        <w:ind w:left="360"/>
      </w:pPr>
      <w:r>
        <w:t xml:space="preserve">Hoe weegt u het feit dat 84% van door de Consumentenbond onderzochte populatie een totaalverbod op gokreclame steunt en 88% betere bescherming tegen dark patterns verlangt?</w:t>
      </w:r>
      <w:r>
        <w:br/>
      </w:r>
    </w:p>
    <w:p>
      <w:pPr>
        <w:pStyle w:val="ListParagraph"/>
        <w:numPr>
          <w:ilvl w:val="0"/>
          <w:numId w:val="100497530"/>
        </w:numPr>
        <w:ind w:left="360"/>
      </w:pPr>
      <w:r>
        <w:t xml:space="preserve">Kunt u expliciet aangeven of u van oordeel bent dat de Wet kansspelen op afstand, zoals deze sinds 2021 wordt uitgevoerd, onvoldoende bescherming biedt aan kwetsbare spelers en waarop u dat oordeel baseert?</w:t>
      </w:r>
      <w:r>
        <w:br/>
      </w:r>
    </w:p>
    <w:p>
      <w:pPr>
        <w:pStyle w:val="ListParagraph"/>
        <w:numPr>
          <w:ilvl w:val="0"/>
          <w:numId w:val="100497530"/>
        </w:numPr>
        <w:ind w:left="360"/>
      </w:pPr>
      <w:r>
        <w:t xml:space="preserve">Bent u het ermee eens dat de belofte van “veilig en gecontroleerd” online gokken niet is waargemaakt, nu structureel sprake is van toenemende gokverslavingen, ernstige financiële schade bij gedupeerde burgers en het gebruik van gedragsbeïnvloedende technieken door legale aanbieders?</w:t>
      </w:r>
      <w:r>
        <w:br/>
      </w:r>
    </w:p>
    <w:p>
      <w:pPr>
        <w:pStyle w:val="ListParagraph"/>
        <w:numPr>
          <w:ilvl w:val="0"/>
          <w:numId w:val="100497530"/>
        </w:numPr>
        <w:ind w:left="360"/>
      </w:pPr>
      <w:r>
        <w:t xml:space="preserve">Deelt u de opvatting dat het toepassen van dergelijke gedragsbeïnvloedende technieken door vergunninghoudende gokbedrijven onverenigbaar is met hun zorgplicht, juist omdat zij aantoonbaar bijdragen aan problematisch speelgedrag?</w:t>
      </w:r>
      <w:r>
        <w:br/>
      </w:r>
    </w:p>
    <w:p>
      <w:pPr>
        <w:pStyle w:val="ListParagraph"/>
        <w:numPr>
          <w:ilvl w:val="0"/>
          <w:numId w:val="100497530"/>
        </w:numPr>
        <w:ind w:left="360"/>
      </w:pPr>
      <w:r>
        <w:t xml:space="preserve">Is het ontbreken van een expliciet wettelijk verbod op dark patterns een lacune in de bescherming van burgers die actief zijn op online gokplatforms? Zo ja, hoe en op welke wijze en termijn bent u van plan dit probleem aan te pakken?</w:t>
      </w:r>
      <w:r>
        <w:br/>
      </w:r>
    </w:p>
    <w:p>
      <w:pPr>
        <w:pStyle w:val="ListParagraph"/>
        <w:numPr>
          <w:ilvl w:val="0"/>
          <w:numId w:val="100497530"/>
        </w:numPr>
        <w:ind w:left="360"/>
      </w:pPr>
      <w:r>
        <w:t xml:space="preserve">Hoe beoordeelt u de vaststelling van de Consumentenbond dat meerdere legale aanbieders werken met oneerlijke standaardinstellingen en extreem hoge speellimieten, en kunt u bevestigen of dit naar uw oordeel in strijd is met geldende wet- en regelgeving?</w:t>
      </w:r>
      <w:r>
        <w:br/>
      </w:r>
    </w:p>
    <w:p>
      <w:pPr>
        <w:pStyle w:val="ListParagraph"/>
        <w:numPr>
          <w:ilvl w:val="0"/>
          <w:numId w:val="100497530"/>
        </w:numPr>
        <w:ind w:left="360"/>
      </w:pPr>
      <w:r>
        <w:t xml:space="preserve">Kunt u concreet aangeven welke maximale speellimieten en welke uitgangspunten voor standaardinstellingen momenteel wettelijk of beleidsmatig gelden, en waarom deze niet hebben voorkomen dat spelers gemiddeld duizenden euro’s verliezen?</w:t>
      </w:r>
      <w:r>
        <w:br/>
      </w:r>
    </w:p>
    <w:p>
      <w:pPr>
        <w:pStyle w:val="ListParagraph"/>
        <w:numPr>
          <w:ilvl w:val="0"/>
          <w:numId w:val="100497530"/>
        </w:numPr>
        <w:ind w:left="360"/>
      </w:pPr>
      <w:r>
        <w:t xml:space="preserve">Hoe vaak heeft de Kansspelautoriteit sinds 2021 handhavend opgetreden tegen legale aanbieders wegens schending van de zorgplicht, en kunt u daarbij per jaar aangeven hoeveel waarschuwingen, boetes en vergunningmaatregelen zijn opgelegd? Acht u deze handhavingspraktijk, bezien in het licht van de huidige maatschappelijke schade en de lopende massaclaim, voldoende afschrikwekkend, en zo ja, waarom?</w:t>
      </w:r>
      <w:r>
        <w:br/>
      </w:r>
    </w:p>
    <w:p>
      <w:pPr>
        <w:pStyle w:val="ListParagraph"/>
        <w:numPr>
          <w:ilvl w:val="0"/>
          <w:numId w:val="100497530"/>
        </w:numPr>
        <w:ind w:left="360"/>
      </w:pPr>
      <w:r>
        <w:t xml:space="preserve">Deelt u de juridische opvatting dat het structureel schenden van de zorgplicht en het toepassen van verboden of misleidende technieken kan worden aangemerkt als onrechtmatig handelen, met als mogelijke consequentie ongeldigverklaring van contracten en schadevergoeding aan gedupeerden?</w:t>
      </w:r>
      <w:r>
        <w:br/>
      </w:r>
    </w:p>
    <w:p>
      <w:pPr>
        <w:pStyle w:val="ListParagraph"/>
        <w:numPr>
          <w:ilvl w:val="0"/>
          <w:numId w:val="100497530"/>
        </w:numPr>
        <w:ind w:left="360"/>
      </w:pPr>
      <w:r>
        <w:t xml:space="preserve">Welke concrete gevolgen zou een rechterlijke vaststelling van dergelijk onrechtmatig handelen volgens u moeten hebben voor de vergunningverlening, verlenging of intrekking bij betrokken aanbieders?</w:t>
      </w:r>
      <w:r>
        <w:br/>
      </w:r>
    </w:p>
    <w:p>
      <w:pPr>
        <w:pStyle w:val="ListParagraph"/>
        <w:numPr>
          <w:ilvl w:val="0"/>
          <w:numId w:val="100497530"/>
        </w:numPr>
        <w:ind w:left="360"/>
      </w:pPr>
      <w:r>
        <w:t xml:space="preserve">Kunt u concreet aangeven welke aanvullende wettelijke maatregelen u op korte termijn zult nemen om de zorgplicht van online kansspelaanbieders afdwingbaar te versterken, en op welke termijn de Kamer hierover voorstellen kan verwachten?</w:t>
      </w:r>
      <w:r>
        <w:br/>
      </w:r>
    </w:p>
    <w:p>
      <w:r>
        <w:t xml:space="preserve"> </w:t>
      </w:r>
      <w:r>
        <w:br/>
      </w:r>
    </w:p>
    <w:p>
      <w:r>
        <w:t xml:space="preserve">[1] Algemeen Dagblad, 12 februari 2026, Verboden trucs in legale online casino’s: massaclaim in de maak (https://www.ad.nl/geld/verboden-trucs-in-legale-online-casinos-massaclaim-in-de-maak~a5f6f9f5/).</w:t>
      </w:r>
      <w:r>
        <w:br/>
      </w:r>
    </w:p>
    <w:p>
      <w:r>
        <w:t xml:space="preserve">[2] Consumentenbond, 12 februari 2026, Consumenten voor totaalverbod gokreclame én betere bescherming (https://www.consumentenbond.nl/nieuws/2026/consumenten-voor-totaalverbod-gokreclame-en-betere-bescherming).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