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341" w:rsidR="009A3B1D" w:rsidP="00262341" w:rsidRDefault="4BB5FC10" w14:paraId="3855D1C4" w14:textId="718F157A">
      <w:pPr>
        <w:pStyle w:val="Heading1"/>
        <w:numPr>
          <w:ilvl w:val="0"/>
          <w:numId w:val="0"/>
        </w:numPr>
        <w:spacing w:line="360" w:lineRule="auto"/>
        <w:rPr>
          <w:rFonts w:ascii="Verdana" w:hAnsi="Verdana"/>
          <w:sz w:val="18"/>
          <w:szCs w:val="18"/>
        </w:rPr>
      </w:pPr>
      <w:bookmarkStart w:name="OLE_LINK1" w:id="0"/>
      <w:bookmarkStart w:name="OLE_LINK2" w:id="1"/>
      <w:r w:rsidRPr="00262341">
        <w:rPr>
          <w:rFonts w:ascii="Verdana" w:hAnsi="Verdana" w:eastAsia="Verdana" w:cs="Verdana"/>
          <w:sz w:val="18"/>
          <w:szCs w:val="18"/>
        </w:rPr>
        <w:t xml:space="preserve">Fiche </w:t>
      </w:r>
      <w:r w:rsidR="008961E6">
        <w:rPr>
          <w:rFonts w:ascii="Verdana" w:hAnsi="Verdana" w:eastAsia="Verdana" w:cs="Verdana"/>
          <w:sz w:val="18"/>
          <w:szCs w:val="18"/>
        </w:rPr>
        <w:t>2</w:t>
      </w:r>
      <w:r w:rsidRPr="00262341">
        <w:rPr>
          <w:rFonts w:ascii="Verdana" w:hAnsi="Verdana" w:eastAsia="Verdana" w:cs="Verdana"/>
          <w:sz w:val="18"/>
          <w:szCs w:val="18"/>
        </w:rPr>
        <w:t xml:space="preserve">: </w:t>
      </w:r>
      <w:r w:rsidRPr="00262341" w:rsidR="00E817F0">
        <w:rPr>
          <w:rFonts w:ascii="Verdana" w:hAnsi="Verdana" w:eastAsia="Verdana" w:cs="Verdana"/>
          <w:sz w:val="18"/>
          <w:szCs w:val="18"/>
        </w:rPr>
        <w:t xml:space="preserve">Wijziging </w:t>
      </w:r>
      <w:r w:rsidRPr="00262341">
        <w:rPr>
          <w:rFonts w:ascii="Verdana" w:hAnsi="Verdana" w:eastAsia="Verdana" w:cs="Verdana"/>
          <w:sz w:val="18"/>
          <w:szCs w:val="18"/>
        </w:rPr>
        <w:t xml:space="preserve">Verordening medische hulpmiddelen en medische hulpmiddelen voor in-vitro diagnostiek </w:t>
      </w:r>
    </w:p>
    <w:p w:rsidRPr="00262341" w:rsidR="009A3B1D" w:rsidP="00262341" w:rsidRDefault="009A3B1D" w14:paraId="4F5D2405" w14:textId="77777777">
      <w:pPr>
        <w:spacing w:line="360" w:lineRule="auto"/>
        <w:rPr>
          <w:rFonts w:ascii="Verdana" w:hAnsi="Verdana" w:eastAsia="Verdana" w:cs="Verdana"/>
          <w:sz w:val="18"/>
          <w:szCs w:val="18"/>
        </w:rPr>
      </w:pPr>
    </w:p>
    <w:p w:rsidRPr="00262341" w:rsidR="009A3B1D" w:rsidP="00262341" w:rsidRDefault="6E0DAAEF" w14:paraId="433BA929" w14:textId="77777777">
      <w:pPr>
        <w:numPr>
          <w:ilvl w:val="0"/>
          <w:numId w:val="7"/>
        </w:numPr>
        <w:spacing w:line="360" w:lineRule="auto"/>
        <w:rPr>
          <w:rFonts w:ascii="Verdana" w:hAnsi="Verdana"/>
          <w:b/>
          <w:bCs/>
          <w:color w:val="000000" w:themeColor="text1"/>
          <w:sz w:val="18"/>
          <w:szCs w:val="18"/>
        </w:rPr>
      </w:pPr>
      <w:r w:rsidRPr="00262341">
        <w:rPr>
          <w:rFonts w:ascii="Verdana" w:hAnsi="Verdana" w:eastAsia="Verdana" w:cs="Verdana"/>
          <w:b/>
          <w:bCs/>
          <w:sz w:val="18"/>
          <w:szCs w:val="18"/>
        </w:rPr>
        <w:t>Algemene gegevens</w:t>
      </w:r>
    </w:p>
    <w:p w:rsidRPr="00262341" w:rsidR="00F74E07" w:rsidP="00262341" w:rsidRDefault="6E0DAAEF" w14:paraId="62D55F76" w14:textId="5542D9EE">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 xml:space="preserve">Titel voorstel </w:t>
      </w:r>
    </w:p>
    <w:p w:rsidRPr="00262341" w:rsidR="516E890F" w:rsidP="008961E6" w:rsidRDefault="6E0DAAEF" w14:paraId="76D9BD2A" w14:textId="30B13705">
      <w:pPr>
        <w:spacing w:line="360" w:lineRule="auto"/>
        <w:rPr>
          <w:rFonts w:ascii="Verdana" w:hAnsi="Verdana" w:eastAsia="Verdana" w:cs="Verdana"/>
          <w:sz w:val="18"/>
          <w:szCs w:val="18"/>
          <w:lang w:val="en-US"/>
        </w:rPr>
      </w:pPr>
      <w:r w:rsidRPr="00262341">
        <w:rPr>
          <w:rFonts w:ascii="Verdana" w:hAnsi="Verdana" w:eastAsia="Verdana" w:cs="Verdana"/>
          <w:sz w:val="18"/>
          <w:szCs w:val="18"/>
          <w:lang w:val="en-US"/>
        </w:rPr>
        <w:t xml:space="preserve">REGULATION OF THE EUROPEAN PARLIAMENT AND OF THE COUNCIL amending Regulations (EU) 2017/745 and (EU) 2017/746 as regards simplifying and reducing the burden of the rules on medical devices and in vitro diagnostic medical devices, and amending Regulation (EU) 2022/123 as regards the support of the European Medicines Agency for the expert panels on medical devices and Regulation (EU) 2024/1689 as regards the list of Union </w:t>
      </w:r>
      <w:proofErr w:type="spellStart"/>
      <w:r w:rsidRPr="00262341">
        <w:rPr>
          <w:rFonts w:ascii="Verdana" w:hAnsi="Verdana" w:eastAsia="Verdana" w:cs="Verdana"/>
          <w:sz w:val="18"/>
          <w:szCs w:val="18"/>
          <w:lang w:val="en-US"/>
        </w:rPr>
        <w:t>harmonisation</w:t>
      </w:r>
      <w:proofErr w:type="spellEnd"/>
      <w:r w:rsidRPr="00262341">
        <w:rPr>
          <w:rFonts w:ascii="Verdana" w:hAnsi="Verdana" w:eastAsia="Verdana" w:cs="Verdana"/>
          <w:sz w:val="18"/>
          <w:szCs w:val="18"/>
          <w:lang w:val="en-US"/>
        </w:rPr>
        <w:t xml:space="preserve"> legislation referred to in its Annex I</w:t>
      </w:r>
    </w:p>
    <w:p w:rsidRPr="00262341" w:rsidR="004A59C7" w:rsidP="00262341" w:rsidRDefault="004A59C7" w14:paraId="6F5CA1F1" w14:textId="77777777">
      <w:pPr>
        <w:spacing w:line="360" w:lineRule="auto"/>
        <w:rPr>
          <w:rFonts w:ascii="Verdana" w:hAnsi="Verdana" w:eastAsia="Verdana" w:cs="Verdana"/>
          <w:i/>
          <w:sz w:val="18"/>
          <w:szCs w:val="18"/>
          <w:lang w:val="en-US"/>
        </w:rPr>
      </w:pPr>
    </w:p>
    <w:p w:rsidRPr="00262341" w:rsidR="00F74E07" w:rsidP="00262341" w:rsidRDefault="6E0DAAEF" w14:paraId="2EBC1C57" w14:textId="77777777">
      <w:pPr>
        <w:numPr>
          <w:ilvl w:val="0"/>
          <w:numId w:val="8"/>
        </w:numPr>
        <w:spacing w:line="360" w:lineRule="auto"/>
        <w:rPr>
          <w:rFonts w:ascii="Verdana" w:hAnsi="Verdana"/>
          <w:i/>
          <w:color w:val="000000" w:themeColor="text1"/>
          <w:sz w:val="18"/>
          <w:szCs w:val="18"/>
        </w:rPr>
      </w:pPr>
      <w:r w:rsidRPr="00262341">
        <w:rPr>
          <w:rFonts w:ascii="Verdana" w:hAnsi="Verdana" w:eastAsia="Verdana" w:cs="Verdana"/>
          <w:i/>
          <w:iCs/>
          <w:sz w:val="18"/>
          <w:szCs w:val="18"/>
        </w:rPr>
        <w:t>Datum ontvangst Commissiedocument</w:t>
      </w:r>
    </w:p>
    <w:p w:rsidRPr="00262341" w:rsidR="004A59C7" w:rsidP="00262341" w:rsidRDefault="6E0DAAEF" w14:paraId="12DAC859" w14:textId="1DBD6B41">
      <w:pPr>
        <w:spacing w:line="360" w:lineRule="auto"/>
        <w:rPr>
          <w:rFonts w:ascii="Verdana" w:hAnsi="Verdana" w:eastAsia="Verdana" w:cs="Verdana"/>
          <w:sz w:val="18"/>
          <w:szCs w:val="18"/>
        </w:rPr>
      </w:pPr>
      <w:r w:rsidRPr="00262341">
        <w:rPr>
          <w:rFonts w:ascii="Verdana" w:hAnsi="Verdana" w:eastAsia="Verdana" w:cs="Verdana"/>
          <w:sz w:val="18"/>
          <w:szCs w:val="18"/>
        </w:rPr>
        <w:t>16 december 2025</w:t>
      </w:r>
    </w:p>
    <w:p w:rsidRPr="00262341" w:rsidR="004A59C7" w:rsidP="00262341" w:rsidRDefault="004A59C7" w14:paraId="7163DA09" w14:textId="77777777">
      <w:pPr>
        <w:spacing w:line="360" w:lineRule="auto"/>
        <w:rPr>
          <w:rFonts w:ascii="Verdana" w:hAnsi="Verdana" w:eastAsia="Verdana" w:cs="Verdana"/>
          <w:i/>
          <w:iCs/>
          <w:sz w:val="18"/>
          <w:szCs w:val="18"/>
        </w:rPr>
      </w:pPr>
    </w:p>
    <w:p w:rsidRPr="00262341" w:rsidR="516E890F" w:rsidP="00262341" w:rsidRDefault="6E0DAAEF" w14:paraId="7D360964" w14:textId="47DD5482">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Nr. Commissiedocument</w:t>
      </w:r>
    </w:p>
    <w:p w:rsidRPr="00262341" w:rsidR="4D830289" w:rsidP="00262341" w:rsidRDefault="6E0DAAEF" w14:paraId="66501D70" w14:textId="06C85E8E">
      <w:pPr>
        <w:spacing w:line="360" w:lineRule="auto"/>
        <w:rPr>
          <w:rFonts w:ascii="Verdana" w:hAnsi="Verdana" w:eastAsia="Verdana"/>
          <w:sz w:val="18"/>
          <w:szCs w:val="18"/>
        </w:rPr>
      </w:pPr>
      <w:r w:rsidRPr="00262341">
        <w:rPr>
          <w:rFonts w:ascii="Verdana" w:hAnsi="Verdana" w:eastAsia="Verdana" w:cs="Verdana"/>
          <w:sz w:val="18"/>
          <w:szCs w:val="18"/>
        </w:rPr>
        <w:t>COM/2025/1023</w:t>
      </w:r>
    </w:p>
    <w:p w:rsidRPr="00262341" w:rsidR="004A59C7" w:rsidP="00262341" w:rsidRDefault="004A59C7" w14:paraId="577CF2EF" w14:textId="77777777">
      <w:pPr>
        <w:spacing w:line="360" w:lineRule="auto"/>
        <w:rPr>
          <w:rFonts w:ascii="Verdana" w:hAnsi="Verdana"/>
          <w:sz w:val="18"/>
          <w:szCs w:val="18"/>
        </w:rPr>
      </w:pPr>
    </w:p>
    <w:p w:rsidRPr="00262341" w:rsidR="00F74E07" w:rsidP="00262341" w:rsidRDefault="6E0DAAEF" w14:paraId="423932B7" w14:textId="77777777">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EUR-Lex</w:t>
      </w:r>
    </w:p>
    <w:p w:rsidRPr="00262341" w:rsidR="001B2066" w:rsidP="008961E6" w:rsidRDefault="001B2066" w14:paraId="25E8DC82" w14:textId="289A303A">
      <w:pPr>
        <w:spacing w:line="360" w:lineRule="auto"/>
        <w:rPr>
          <w:rFonts w:ascii="Verdana" w:hAnsi="Verdana"/>
          <w:sz w:val="18"/>
          <w:szCs w:val="18"/>
          <w:lang w:val="fr-FR"/>
        </w:rPr>
      </w:pPr>
      <w:hyperlink w:history="1" r:id="rId13">
        <w:r w:rsidRPr="00262341">
          <w:rPr>
            <w:rStyle w:val="Hyperlink"/>
            <w:rFonts w:ascii="Verdana" w:hAnsi="Verdana"/>
            <w:sz w:val="18"/>
            <w:szCs w:val="18"/>
            <w:lang w:val="fr-FR"/>
          </w:rPr>
          <w:t>EUR-Lex - 52025PC1023 - EN - EUR-Lex</w:t>
        </w:r>
      </w:hyperlink>
    </w:p>
    <w:p w:rsidRPr="00262341" w:rsidR="004A59C7" w:rsidP="00262341" w:rsidRDefault="004A59C7" w14:paraId="49321A53" w14:textId="77777777">
      <w:pPr>
        <w:spacing w:line="360" w:lineRule="auto"/>
        <w:ind w:left="360"/>
        <w:rPr>
          <w:rFonts w:ascii="Verdana" w:hAnsi="Verdana"/>
          <w:sz w:val="18"/>
          <w:szCs w:val="18"/>
          <w:lang w:val="fr-FR"/>
        </w:rPr>
      </w:pPr>
    </w:p>
    <w:p w:rsidRPr="00262341" w:rsidR="00F74E07" w:rsidP="00262341" w:rsidRDefault="6E0DAAEF" w14:paraId="275B6B27" w14:textId="77777777">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Nr. impact assessment Commissie en Opinie Raad voor Regelgevingstoetsing</w:t>
      </w:r>
    </w:p>
    <w:p w:rsidRPr="008961E6" w:rsidR="00456EFA" w:rsidP="008961E6" w:rsidRDefault="6E0DAAEF" w14:paraId="03472AFA" w14:textId="6F4081E3">
      <w:pPr>
        <w:spacing w:line="360" w:lineRule="auto"/>
        <w:rPr>
          <w:rFonts w:ascii="Verdana" w:hAnsi="Verdana" w:eastAsia="Verdana" w:cs="Verdana"/>
          <w:sz w:val="18"/>
          <w:szCs w:val="18"/>
        </w:rPr>
      </w:pPr>
      <w:r w:rsidRPr="008961E6">
        <w:rPr>
          <w:rFonts w:ascii="Verdana" w:hAnsi="Verdana" w:eastAsia="Verdana" w:cs="Verdana"/>
          <w:sz w:val="18"/>
          <w:szCs w:val="18"/>
        </w:rPr>
        <w:t xml:space="preserve">Niet opgesteld </w:t>
      </w:r>
    </w:p>
    <w:p w:rsidRPr="00262341" w:rsidR="004A59C7" w:rsidP="00262341" w:rsidRDefault="004A59C7" w14:paraId="6B77EEC1" w14:textId="77777777">
      <w:pPr>
        <w:spacing w:line="360" w:lineRule="auto"/>
        <w:ind w:left="360"/>
        <w:rPr>
          <w:rFonts w:ascii="Verdana" w:hAnsi="Verdana"/>
          <w:sz w:val="18"/>
          <w:szCs w:val="18"/>
        </w:rPr>
      </w:pPr>
    </w:p>
    <w:p w:rsidRPr="00262341" w:rsidR="00456EFA" w:rsidP="00262341" w:rsidRDefault="6E0DAAEF" w14:paraId="738194A2" w14:textId="14A89CB8">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Behandelingstraject Raad</w:t>
      </w:r>
    </w:p>
    <w:p w:rsidRPr="00262341" w:rsidR="00456EFA" w:rsidP="008961E6" w:rsidRDefault="6E0DAAEF" w14:paraId="7CF22871" w14:textId="7E8526A1">
      <w:pPr>
        <w:pStyle w:val="Spreekpunten"/>
        <w:numPr>
          <w:ilvl w:val="0"/>
          <w:numId w:val="0"/>
        </w:numPr>
        <w:jc w:val="both"/>
        <w:rPr>
          <w:rFonts w:ascii="Verdana" w:hAnsi="Verdana" w:eastAsia="Verdana" w:cs="Verdana"/>
          <w:sz w:val="18"/>
          <w:szCs w:val="18"/>
          <w:lang w:val="nl-NL" w:eastAsia="zh-CN"/>
        </w:rPr>
      </w:pPr>
      <w:r w:rsidRPr="00262341">
        <w:rPr>
          <w:rFonts w:ascii="Verdana" w:hAnsi="Verdana" w:eastAsia="Verdana" w:cs="Verdana"/>
          <w:sz w:val="18"/>
          <w:szCs w:val="18"/>
          <w:lang w:val="nl-NL" w:eastAsia="zh-CN"/>
        </w:rPr>
        <w:t>Raad voor Werkgelegenheid, Sociaal Beleid, Volksgezondheid en Consumentenzaken (Gezondheid)</w:t>
      </w:r>
    </w:p>
    <w:p w:rsidRPr="00262341" w:rsidR="004A59C7" w:rsidP="00262341" w:rsidRDefault="004A59C7" w14:paraId="3D2088D3" w14:textId="77777777">
      <w:pPr>
        <w:pStyle w:val="Spreekpunten"/>
        <w:numPr>
          <w:ilvl w:val="0"/>
          <w:numId w:val="0"/>
        </w:numPr>
        <w:ind w:left="360"/>
        <w:jc w:val="both"/>
        <w:rPr>
          <w:rFonts w:ascii="Verdana" w:hAnsi="Verdana" w:eastAsia="Verdana" w:cs="Verdana"/>
          <w:sz w:val="18"/>
          <w:szCs w:val="18"/>
          <w:lang w:val="nl-NL" w:eastAsia="zh-CN"/>
        </w:rPr>
      </w:pPr>
    </w:p>
    <w:p w:rsidRPr="008961E6" w:rsidR="008961E6" w:rsidP="008961E6" w:rsidRDefault="6E0DAAEF" w14:paraId="1F244380" w14:textId="66EEC217">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Eerstverantwoordelijk ministerie</w:t>
      </w:r>
    </w:p>
    <w:p w:rsidRPr="00262341" w:rsidR="00456EFA" w:rsidP="008961E6" w:rsidRDefault="6E0DAAEF" w14:paraId="1A01C313" w14:textId="1841609E">
      <w:pPr>
        <w:spacing w:line="360" w:lineRule="auto"/>
        <w:rPr>
          <w:rFonts w:ascii="Verdana" w:hAnsi="Verdana" w:eastAsia="Verdana" w:cs="Verdana"/>
          <w:sz w:val="18"/>
          <w:szCs w:val="18"/>
        </w:rPr>
      </w:pPr>
      <w:r w:rsidRPr="00262341">
        <w:rPr>
          <w:rFonts w:ascii="Verdana" w:hAnsi="Verdana" w:eastAsia="Verdana" w:cs="Verdana"/>
          <w:sz w:val="18"/>
          <w:szCs w:val="18"/>
        </w:rPr>
        <w:t>Ministerie van Volksgezondheid, Welzijn en Sport (VWS)</w:t>
      </w:r>
    </w:p>
    <w:p w:rsidRPr="00262341" w:rsidR="004A59C7" w:rsidP="00262341" w:rsidRDefault="004A59C7" w14:paraId="0A25F417" w14:textId="77777777">
      <w:pPr>
        <w:pStyle w:val="Spreekpunten"/>
        <w:numPr>
          <w:ilvl w:val="0"/>
          <w:numId w:val="0"/>
        </w:numPr>
        <w:ind w:firstLine="360"/>
        <w:jc w:val="both"/>
        <w:rPr>
          <w:rFonts w:ascii="Verdana" w:hAnsi="Verdana" w:eastAsia="Verdana" w:cs="Verdana"/>
          <w:sz w:val="18"/>
          <w:szCs w:val="18"/>
          <w:lang w:val="nl-NL" w:eastAsia="zh-CN"/>
        </w:rPr>
      </w:pPr>
    </w:p>
    <w:p w:rsidRPr="00262341" w:rsidR="00330FE7" w:rsidP="00262341" w:rsidRDefault="6E0DAAEF" w14:paraId="7AD0288E" w14:textId="77777777">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Rechtsbasis</w:t>
      </w:r>
    </w:p>
    <w:p w:rsidRPr="00262341" w:rsidR="00456EFA" w:rsidP="00262341" w:rsidRDefault="6E0DAAEF" w14:paraId="399CED7D" w14:textId="2037680A">
      <w:pPr>
        <w:spacing w:line="360" w:lineRule="auto"/>
        <w:rPr>
          <w:rFonts w:ascii="Verdana" w:hAnsi="Verdana" w:eastAsia="Verdana"/>
          <w:sz w:val="18"/>
          <w:szCs w:val="18"/>
        </w:rPr>
      </w:pPr>
      <w:r w:rsidRPr="00262341">
        <w:rPr>
          <w:rFonts w:ascii="Verdana" w:hAnsi="Verdana" w:eastAsia="Verdana" w:cs="Verdana"/>
          <w:sz w:val="18"/>
          <w:szCs w:val="18"/>
        </w:rPr>
        <w:t>Artikel 114 en artikel 168(4) punt (c) betreffende de Werking van de Europese Unie</w:t>
      </w:r>
      <w:r w:rsidRPr="00262341" w:rsidR="002F4701">
        <w:rPr>
          <w:rFonts w:ascii="Verdana" w:hAnsi="Verdana" w:eastAsia="Verdana" w:cs="Verdana"/>
          <w:sz w:val="18"/>
          <w:szCs w:val="18"/>
        </w:rPr>
        <w:t xml:space="preserve"> (VWEU)</w:t>
      </w:r>
    </w:p>
    <w:p w:rsidRPr="00262341" w:rsidR="004A59C7" w:rsidP="00262341" w:rsidRDefault="004A59C7" w14:paraId="58687AC8" w14:textId="77777777">
      <w:pPr>
        <w:spacing w:line="360" w:lineRule="auto"/>
        <w:rPr>
          <w:rFonts w:ascii="Verdana" w:hAnsi="Verdana"/>
          <w:sz w:val="18"/>
          <w:szCs w:val="18"/>
        </w:rPr>
      </w:pPr>
    </w:p>
    <w:p w:rsidRPr="00262341" w:rsidR="00330FE7" w:rsidP="00262341" w:rsidRDefault="6E0DAAEF" w14:paraId="1EB0C227" w14:textId="77777777">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Besluitvormingsprocedure Raad</w:t>
      </w:r>
    </w:p>
    <w:p w:rsidRPr="00262341" w:rsidR="00456EFA" w:rsidP="008961E6" w:rsidRDefault="6E0DAAEF" w14:paraId="57986FD8" w14:textId="30047133">
      <w:pPr>
        <w:pStyle w:val="Spreekpunten"/>
        <w:numPr>
          <w:ilvl w:val="0"/>
          <w:numId w:val="0"/>
        </w:numPr>
        <w:jc w:val="both"/>
        <w:rPr>
          <w:rFonts w:ascii="Verdana" w:hAnsi="Verdana" w:eastAsia="Verdana" w:cs="Verdana"/>
          <w:sz w:val="18"/>
          <w:szCs w:val="18"/>
          <w:lang w:val="nl-NL" w:eastAsia="zh-CN"/>
        </w:rPr>
      </w:pPr>
      <w:r w:rsidRPr="00262341">
        <w:rPr>
          <w:rFonts w:ascii="Verdana" w:hAnsi="Verdana" w:eastAsia="Verdana" w:cs="Verdana"/>
          <w:sz w:val="18"/>
          <w:szCs w:val="18"/>
          <w:lang w:val="nl-NL" w:eastAsia="zh-CN"/>
        </w:rPr>
        <w:t xml:space="preserve">Gekwalificeerde meerderheid </w:t>
      </w:r>
    </w:p>
    <w:p w:rsidRPr="00262341" w:rsidR="004A59C7" w:rsidP="00262341" w:rsidRDefault="004A59C7" w14:paraId="1E014802" w14:textId="77777777">
      <w:pPr>
        <w:pStyle w:val="Spreekpunten"/>
        <w:numPr>
          <w:ilvl w:val="0"/>
          <w:numId w:val="0"/>
        </w:numPr>
        <w:ind w:left="360"/>
        <w:jc w:val="both"/>
        <w:rPr>
          <w:rFonts w:ascii="Verdana" w:hAnsi="Verdana" w:eastAsia="Verdana" w:cs="Verdana"/>
          <w:sz w:val="18"/>
          <w:szCs w:val="18"/>
          <w:lang w:val="nl-NL" w:eastAsia="zh-CN"/>
        </w:rPr>
      </w:pPr>
    </w:p>
    <w:p w:rsidRPr="00262341" w:rsidR="00330FE7" w:rsidP="00262341" w:rsidRDefault="6E0DAAEF" w14:paraId="7E1521AA" w14:textId="77777777">
      <w:pPr>
        <w:numPr>
          <w:ilvl w:val="0"/>
          <w:numId w:val="8"/>
        </w:numPr>
        <w:spacing w:line="360" w:lineRule="auto"/>
        <w:rPr>
          <w:rFonts w:ascii="Verdana" w:hAnsi="Verdana"/>
          <w:sz w:val="18"/>
          <w:szCs w:val="18"/>
        </w:rPr>
      </w:pPr>
      <w:r w:rsidRPr="00262341">
        <w:rPr>
          <w:rFonts w:ascii="Verdana" w:hAnsi="Verdana" w:eastAsia="Verdana" w:cs="Verdana"/>
          <w:i/>
          <w:iCs/>
          <w:sz w:val="18"/>
          <w:szCs w:val="18"/>
        </w:rPr>
        <w:t>Rol Europees Parlement</w:t>
      </w:r>
    </w:p>
    <w:p w:rsidRPr="00262341" w:rsidR="00456EFA" w:rsidP="008961E6" w:rsidRDefault="6E0DAAEF" w14:paraId="1EC44BF8" w14:textId="76BCEA95">
      <w:pPr>
        <w:pStyle w:val="Spreekpunten"/>
        <w:numPr>
          <w:ilvl w:val="0"/>
          <w:numId w:val="0"/>
        </w:numPr>
        <w:jc w:val="both"/>
        <w:rPr>
          <w:rFonts w:ascii="Verdana" w:hAnsi="Verdana" w:eastAsia="Verdana" w:cs="Verdana"/>
          <w:sz w:val="18"/>
          <w:szCs w:val="18"/>
          <w:lang w:val="nl-NL" w:eastAsia="zh-CN"/>
        </w:rPr>
      </w:pPr>
      <w:r w:rsidRPr="00262341">
        <w:rPr>
          <w:rFonts w:ascii="Verdana" w:hAnsi="Verdana" w:eastAsia="Verdana" w:cs="Verdana"/>
          <w:sz w:val="18"/>
          <w:szCs w:val="18"/>
          <w:lang w:val="nl-NL" w:eastAsia="zh-CN"/>
        </w:rPr>
        <w:t xml:space="preserve">Medebeslissing </w:t>
      </w:r>
    </w:p>
    <w:p w:rsidR="00C92EA1" w:rsidP="00262341" w:rsidRDefault="00C92EA1" w14:paraId="181B93FD" w14:textId="77777777">
      <w:pPr>
        <w:spacing w:line="360" w:lineRule="auto"/>
        <w:rPr>
          <w:rFonts w:ascii="Verdana" w:hAnsi="Verdana" w:eastAsia="Verdana" w:cs="Verdana"/>
          <w:i/>
          <w:sz w:val="18"/>
          <w:szCs w:val="18"/>
        </w:rPr>
      </w:pPr>
    </w:p>
    <w:p w:rsidR="00574F02" w:rsidP="00262341" w:rsidRDefault="00574F02" w14:paraId="41870412" w14:textId="77777777">
      <w:pPr>
        <w:spacing w:line="360" w:lineRule="auto"/>
        <w:rPr>
          <w:rFonts w:ascii="Verdana" w:hAnsi="Verdana" w:eastAsia="Verdana" w:cs="Verdana"/>
          <w:i/>
          <w:sz w:val="18"/>
          <w:szCs w:val="18"/>
        </w:rPr>
      </w:pPr>
    </w:p>
    <w:p w:rsidRPr="00262341" w:rsidR="00574F02" w:rsidP="00262341" w:rsidRDefault="00574F02" w14:paraId="7A3E3383" w14:textId="77777777">
      <w:pPr>
        <w:spacing w:line="360" w:lineRule="auto"/>
        <w:rPr>
          <w:rFonts w:ascii="Verdana" w:hAnsi="Verdana" w:eastAsia="Verdana" w:cs="Verdana"/>
          <w:i/>
          <w:sz w:val="18"/>
          <w:szCs w:val="18"/>
        </w:rPr>
      </w:pPr>
    </w:p>
    <w:p w:rsidRPr="00E72E12" w:rsidR="00E81E82" w:rsidP="00262341" w:rsidRDefault="00C92EA1" w14:paraId="23B81967" w14:textId="672B5B31">
      <w:pPr>
        <w:spacing w:line="360" w:lineRule="auto"/>
        <w:rPr>
          <w:rFonts w:ascii="Verdana" w:hAnsi="Verdana"/>
          <w:b/>
          <w:bCs/>
          <w:color w:val="000000" w:themeColor="text1"/>
          <w:sz w:val="18"/>
          <w:szCs w:val="18"/>
        </w:rPr>
      </w:pPr>
      <w:r w:rsidRPr="00262341">
        <w:rPr>
          <w:rFonts w:ascii="Verdana" w:hAnsi="Verdana" w:eastAsia="Verdana" w:cs="Verdana"/>
          <w:b/>
          <w:bCs/>
          <w:i/>
          <w:sz w:val="18"/>
          <w:szCs w:val="18"/>
        </w:rPr>
        <w:lastRenderedPageBreak/>
        <w:t>2.</w:t>
      </w:r>
      <w:r w:rsidRPr="00262341">
        <w:rPr>
          <w:rFonts w:ascii="Verdana" w:hAnsi="Verdana" w:eastAsia="Verdana" w:cs="Verdana"/>
          <w:i/>
          <w:sz w:val="18"/>
          <w:szCs w:val="18"/>
        </w:rPr>
        <w:t xml:space="preserve"> </w:t>
      </w:r>
      <w:r w:rsidRPr="00262341" w:rsidR="6E0DAAEF">
        <w:rPr>
          <w:rFonts w:ascii="Verdana" w:hAnsi="Verdana" w:eastAsia="Verdana" w:cs="Verdana"/>
          <w:b/>
          <w:bCs/>
          <w:sz w:val="18"/>
          <w:szCs w:val="18"/>
        </w:rPr>
        <w:t xml:space="preserve">Essentie voorstel </w:t>
      </w:r>
    </w:p>
    <w:p w:rsidRPr="00262341" w:rsidR="00E926C6" w:rsidP="00262341" w:rsidRDefault="6E0DAAEF" w14:paraId="19D4DDB8" w14:textId="58059852">
      <w:pPr>
        <w:pStyle w:val="Spreekpunten"/>
        <w:numPr>
          <w:ilvl w:val="0"/>
          <w:numId w:val="9"/>
        </w:numPr>
        <w:rPr>
          <w:rFonts w:ascii="Verdana" w:hAnsi="Verdana"/>
          <w:i/>
          <w:iCs/>
          <w:color w:val="000000" w:themeColor="text1"/>
          <w:sz w:val="18"/>
          <w:szCs w:val="18"/>
        </w:rPr>
      </w:pPr>
      <w:r w:rsidRPr="00262341">
        <w:rPr>
          <w:rFonts w:ascii="Verdana" w:hAnsi="Verdana" w:eastAsia="Verdana" w:cs="Verdana"/>
          <w:i/>
          <w:iCs/>
          <w:sz w:val="18"/>
          <w:szCs w:val="18"/>
          <w:lang w:val="nl-NL" w:eastAsia="zh-CN"/>
        </w:rPr>
        <w:t xml:space="preserve">Inhoud voorstel </w:t>
      </w:r>
    </w:p>
    <w:p w:rsidRPr="00262341" w:rsidR="00912A22" w:rsidP="00262341" w:rsidRDefault="00912A22" w14:paraId="27765F24" w14:textId="4F65027B">
      <w:pPr>
        <w:spacing w:line="360" w:lineRule="auto"/>
        <w:rPr>
          <w:rFonts w:ascii="Verdana" w:hAnsi="Verdana" w:eastAsia="Verdana" w:cs="Verdana"/>
          <w:sz w:val="18"/>
          <w:szCs w:val="18"/>
        </w:rPr>
      </w:pPr>
      <w:r w:rsidRPr="00262341">
        <w:rPr>
          <w:rFonts w:ascii="Verdana" w:hAnsi="Verdana" w:eastAsia="Verdana" w:cs="Verdana"/>
          <w:sz w:val="18"/>
          <w:szCs w:val="18"/>
        </w:rPr>
        <w:t xml:space="preserve">Op 16 december 2025 publiceerde de Europese Commissie (hierna: de Commissie) een </w:t>
      </w:r>
      <w:r w:rsidRPr="00262341" w:rsidR="3BC6BAAD">
        <w:rPr>
          <w:rFonts w:ascii="Verdana" w:hAnsi="Verdana" w:eastAsia="Verdana" w:cs="Verdana"/>
          <w:sz w:val="18"/>
          <w:szCs w:val="18"/>
        </w:rPr>
        <w:t>voorstel</w:t>
      </w:r>
      <w:r w:rsidRPr="00262341">
        <w:rPr>
          <w:rStyle w:val="FootnoteReference"/>
          <w:rFonts w:ascii="Verdana" w:hAnsi="Verdana" w:eastAsia="Verdana" w:cs="Verdana"/>
          <w:sz w:val="18"/>
          <w:szCs w:val="18"/>
        </w:rPr>
        <w:footnoteReference w:id="2"/>
      </w:r>
      <w:r w:rsidRPr="00262341" w:rsidR="3BC6BAAD">
        <w:rPr>
          <w:rFonts w:ascii="Verdana" w:hAnsi="Verdana" w:eastAsia="Verdana" w:cs="Verdana"/>
          <w:sz w:val="18"/>
          <w:szCs w:val="18"/>
        </w:rPr>
        <w:t xml:space="preserve"> </w:t>
      </w:r>
      <w:r w:rsidRPr="00262341">
        <w:rPr>
          <w:rFonts w:ascii="Verdana" w:hAnsi="Verdana" w:eastAsia="Verdana" w:cs="Verdana"/>
          <w:sz w:val="18"/>
          <w:szCs w:val="18"/>
        </w:rPr>
        <w:t>voor het aanpassen van Verordening (EU) 2017/745 betreffende medische hulpmiddelen (hierna: MDR)</w:t>
      </w:r>
      <w:r w:rsidRPr="00262341" w:rsidR="000B4DD1">
        <w:rPr>
          <w:rStyle w:val="FootnoteReference"/>
          <w:rFonts w:ascii="Verdana" w:hAnsi="Verdana" w:eastAsia="Verdana" w:cs="Verdana"/>
          <w:sz w:val="18"/>
          <w:szCs w:val="18"/>
        </w:rPr>
        <w:footnoteReference w:id="3"/>
      </w:r>
      <w:r w:rsidRPr="00262341">
        <w:rPr>
          <w:rFonts w:ascii="Verdana" w:hAnsi="Verdana" w:eastAsia="Verdana" w:cs="Verdana"/>
          <w:sz w:val="18"/>
          <w:szCs w:val="18"/>
        </w:rPr>
        <w:t xml:space="preserve"> en Verordening (EU) 2017/746 betreffende m</w:t>
      </w:r>
      <w:r w:rsidRPr="00262341" w:rsidR="6E0DAAEF">
        <w:rPr>
          <w:rFonts w:ascii="Verdana" w:hAnsi="Verdana" w:eastAsia="Verdana" w:cs="Verdana"/>
          <w:sz w:val="18"/>
          <w:szCs w:val="18"/>
        </w:rPr>
        <w:t xml:space="preserve">edische hulpmiddelen voor in-vitrodiagnostiek </w:t>
      </w:r>
      <w:r w:rsidRPr="00262341">
        <w:rPr>
          <w:rFonts w:ascii="Verdana" w:hAnsi="Verdana" w:eastAsia="Verdana" w:cs="Verdana"/>
          <w:sz w:val="18"/>
          <w:szCs w:val="18"/>
        </w:rPr>
        <w:t>(hierna: IVDR)</w:t>
      </w:r>
      <w:r w:rsidRPr="00262341" w:rsidR="004D5221">
        <w:rPr>
          <w:rFonts w:ascii="Verdana" w:hAnsi="Verdana" w:eastAsia="Verdana" w:cs="Verdana"/>
          <w:sz w:val="18"/>
          <w:szCs w:val="18"/>
        </w:rPr>
        <w:t>.</w:t>
      </w:r>
      <w:r w:rsidRPr="00262341" w:rsidR="000B4DD1">
        <w:rPr>
          <w:rStyle w:val="FootnoteReference"/>
          <w:rFonts w:ascii="Verdana" w:hAnsi="Verdana" w:eastAsia="Verdana" w:cs="Verdana"/>
          <w:sz w:val="18"/>
          <w:szCs w:val="18"/>
        </w:rPr>
        <w:footnoteReference w:id="4"/>
      </w:r>
      <w:r w:rsidRPr="00262341">
        <w:rPr>
          <w:rFonts w:ascii="Verdana" w:hAnsi="Verdana" w:eastAsia="Verdana" w:cs="Verdana"/>
          <w:sz w:val="18"/>
          <w:szCs w:val="18"/>
        </w:rPr>
        <w:t xml:space="preserve"> Deze verordeningen, die respectievelijk sinds 26 mei 2021 en 26 mei 2022 van toepassing zijn, beogen patiënten en gebruikers een hoog niveau van gezondheidsbescherming te bieden en de interne markt voor medische hulpmiddelen goed te laten functioneren. </w:t>
      </w:r>
      <w:r w:rsidRPr="00262341" w:rsidR="2EE96695">
        <w:rPr>
          <w:rFonts w:ascii="Verdana" w:hAnsi="Verdana" w:eastAsia="Verdana" w:cs="Verdana"/>
          <w:sz w:val="18"/>
          <w:szCs w:val="18"/>
        </w:rPr>
        <w:t>Het doel van het voorstel is het stroomlijnen</w:t>
      </w:r>
      <w:r w:rsidRPr="00262341" w:rsidR="1852F846">
        <w:rPr>
          <w:rFonts w:ascii="Verdana" w:hAnsi="Verdana" w:eastAsia="Verdana" w:cs="Verdana"/>
          <w:sz w:val="18"/>
          <w:szCs w:val="18"/>
        </w:rPr>
        <w:t xml:space="preserve"> en</w:t>
      </w:r>
      <w:r w:rsidRPr="00262341" w:rsidR="3518C77A">
        <w:rPr>
          <w:rFonts w:ascii="Verdana" w:hAnsi="Verdana" w:eastAsia="Verdana" w:cs="Verdana"/>
          <w:sz w:val="18"/>
          <w:szCs w:val="18"/>
        </w:rPr>
        <w:t xml:space="preserve"> toekomstbestendig </w:t>
      </w:r>
      <w:r w:rsidRPr="00262341" w:rsidR="1852F846">
        <w:rPr>
          <w:rFonts w:ascii="Verdana" w:hAnsi="Verdana" w:eastAsia="Verdana" w:cs="Verdana"/>
          <w:sz w:val="18"/>
          <w:szCs w:val="18"/>
        </w:rPr>
        <w:t>maken van het regelgevingskader</w:t>
      </w:r>
      <w:r w:rsidRPr="00262341" w:rsidR="3518C77A">
        <w:rPr>
          <w:rFonts w:ascii="Verdana" w:hAnsi="Verdana" w:eastAsia="Verdana" w:cs="Verdana"/>
          <w:sz w:val="18"/>
          <w:szCs w:val="18"/>
        </w:rPr>
        <w:t>. Dit wordt gedaan door de toepasselijke regels te vereenvoudigen, de administratieve lasten voor fabrikanten te verminderen, en de voorspelbaarheid en kostenefficiëntie van de certificeringsprocedure door aangemelde instanties (instanties die beoordelen of medische hulpmiddelen aan wettelijke eisen voldoen voordat ze op de Europese markt worden toegelaten (hierna:</w:t>
      </w:r>
      <w:r w:rsidRPr="004B4D9A" w:rsidR="3518C77A">
        <w:rPr>
          <w:rFonts w:ascii="Verdana" w:hAnsi="Verdana" w:eastAsia="Verdana" w:cs="Verdana"/>
          <w:i/>
          <w:iCs/>
          <w:sz w:val="18"/>
          <w:szCs w:val="18"/>
        </w:rPr>
        <w:t xml:space="preserve"> </w:t>
      </w:r>
      <w:proofErr w:type="spellStart"/>
      <w:r w:rsidRPr="004B4D9A" w:rsidR="3518C77A">
        <w:rPr>
          <w:rFonts w:ascii="Verdana" w:hAnsi="Verdana" w:eastAsia="Verdana" w:cs="Verdana"/>
          <w:i/>
          <w:iCs/>
          <w:sz w:val="18"/>
          <w:szCs w:val="18"/>
        </w:rPr>
        <w:t>notified</w:t>
      </w:r>
      <w:proofErr w:type="spellEnd"/>
      <w:r w:rsidRPr="004B4D9A" w:rsidR="3518C77A">
        <w:rPr>
          <w:rFonts w:ascii="Verdana" w:hAnsi="Verdana" w:eastAsia="Verdana" w:cs="Verdana"/>
          <w:i/>
          <w:iCs/>
          <w:sz w:val="18"/>
          <w:szCs w:val="18"/>
        </w:rPr>
        <w:t xml:space="preserve"> </w:t>
      </w:r>
      <w:proofErr w:type="spellStart"/>
      <w:r w:rsidRPr="004B4D9A" w:rsidR="3518C77A">
        <w:rPr>
          <w:rFonts w:ascii="Verdana" w:hAnsi="Verdana" w:eastAsia="Verdana" w:cs="Verdana"/>
          <w:i/>
          <w:iCs/>
          <w:sz w:val="18"/>
          <w:szCs w:val="18"/>
        </w:rPr>
        <w:t>bodies</w:t>
      </w:r>
      <w:proofErr w:type="spellEnd"/>
      <w:r w:rsidRPr="00262341" w:rsidR="3518C77A">
        <w:rPr>
          <w:rFonts w:ascii="Verdana" w:hAnsi="Verdana" w:eastAsia="Verdana" w:cs="Verdana"/>
          <w:sz w:val="18"/>
          <w:szCs w:val="18"/>
        </w:rPr>
        <w:t>)) te verbeteren. Dit alles met behoud van een hoog niveau van bescherming van de volksgezondheid en patiëntveiligheid.</w:t>
      </w:r>
    </w:p>
    <w:p w:rsidRPr="00262341" w:rsidR="00912A22" w:rsidP="00262341" w:rsidRDefault="00912A22" w14:paraId="5AAD5624" w14:textId="77777777">
      <w:pPr>
        <w:spacing w:line="360" w:lineRule="auto"/>
        <w:rPr>
          <w:rFonts w:ascii="Verdana" w:hAnsi="Verdana" w:eastAsia="Verdana" w:cs="Verdana"/>
          <w:sz w:val="18"/>
          <w:szCs w:val="18"/>
        </w:rPr>
      </w:pPr>
    </w:p>
    <w:p w:rsidRPr="00262341" w:rsidR="006914A0" w:rsidP="00262341" w:rsidRDefault="6E0DAAEF" w14:paraId="1E78E587" w14:textId="22119007">
      <w:pPr>
        <w:spacing w:line="360" w:lineRule="auto"/>
        <w:rPr>
          <w:rFonts w:ascii="Verdana" w:hAnsi="Verdana" w:eastAsia="Verdana" w:cs="Verdana"/>
          <w:sz w:val="18"/>
          <w:szCs w:val="18"/>
        </w:rPr>
      </w:pPr>
      <w:r w:rsidRPr="00262341">
        <w:rPr>
          <w:rFonts w:ascii="Verdana" w:hAnsi="Verdana" w:eastAsia="Verdana" w:cs="Verdana"/>
          <w:sz w:val="18"/>
          <w:szCs w:val="18"/>
        </w:rPr>
        <w:t>Het voorstel bevat maatregelen op acht thematische gebieden. Ten eerste worden vereenvoudigings- en proportionaliteitsmaatregelen geïntroduceerd. De huidige MDR en IVDR stellen dat certificaten een maximale geldigheidsduur van vijf jaar hebben, waarna fabrikanten een volledig nieuwe certificeringsprocedure moeten doorlopen. Het voorstel schrapt d</w:t>
      </w:r>
      <w:r w:rsidRPr="00262341" w:rsidR="004A59C7">
        <w:rPr>
          <w:rFonts w:ascii="Verdana" w:hAnsi="Verdana" w:eastAsia="Verdana" w:cs="Verdana"/>
          <w:sz w:val="18"/>
          <w:szCs w:val="18"/>
        </w:rPr>
        <w:t>e</w:t>
      </w:r>
      <w:r w:rsidRPr="00262341">
        <w:rPr>
          <w:rFonts w:ascii="Verdana" w:hAnsi="Verdana" w:eastAsia="Verdana" w:cs="Verdana"/>
          <w:sz w:val="18"/>
          <w:szCs w:val="18"/>
        </w:rPr>
        <w:t xml:space="preserve"> vaste termijn (behalve in uitzonderingsgevallen) en vervangt dit door periodieke beoordelingen, waardoor het fabrikanten meer flexibiliteit biedt. </w:t>
      </w:r>
    </w:p>
    <w:p w:rsidRPr="00262341" w:rsidR="006914A0" w:rsidP="00262341" w:rsidRDefault="006914A0" w14:paraId="39BEE33D" w14:textId="7A454EDE">
      <w:pPr>
        <w:spacing w:line="360" w:lineRule="auto"/>
        <w:rPr>
          <w:rFonts w:ascii="Verdana" w:hAnsi="Verdana" w:eastAsia="Verdana" w:cs="Verdana"/>
          <w:sz w:val="18"/>
          <w:szCs w:val="18"/>
        </w:rPr>
      </w:pPr>
    </w:p>
    <w:p w:rsidRPr="00262341" w:rsidR="006914A0" w:rsidP="00262341" w:rsidRDefault="43B7FD55" w14:paraId="62AB1278" w14:textId="1C1C879E">
      <w:pPr>
        <w:spacing w:line="360" w:lineRule="auto"/>
        <w:rPr>
          <w:rFonts w:ascii="Verdana" w:hAnsi="Verdana" w:eastAsia="Verdana" w:cs="Verdana"/>
          <w:sz w:val="18"/>
          <w:szCs w:val="18"/>
        </w:rPr>
      </w:pPr>
      <w:r w:rsidRPr="00262341">
        <w:rPr>
          <w:rFonts w:ascii="Verdana" w:hAnsi="Verdana" w:eastAsia="Verdana" w:cs="Verdana"/>
          <w:sz w:val="18"/>
          <w:szCs w:val="18"/>
        </w:rPr>
        <w:t>Beproefde technologieën (</w:t>
      </w:r>
      <w:r w:rsidRPr="00262341">
        <w:rPr>
          <w:rFonts w:ascii="Verdana" w:hAnsi="Verdana" w:eastAsia="Verdana" w:cs="Verdana"/>
          <w:i/>
          <w:iCs/>
          <w:sz w:val="18"/>
          <w:szCs w:val="18"/>
        </w:rPr>
        <w:t xml:space="preserve">Well </w:t>
      </w:r>
      <w:proofErr w:type="spellStart"/>
      <w:r w:rsidRPr="00262341">
        <w:rPr>
          <w:rFonts w:ascii="Verdana" w:hAnsi="Verdana" w:eastAsia="Verdana" w:cs="Verdana"/>
          <w:i/>
          <w:iCs/>
          <w:sz w:val="18"/>
          <w:szCs w:val="18"/>
        </w:rPr>
        <w:t>Established</w:t>
      </w:r>
      <w:proofErr w:type="spellEnd"/>
      <w:r w:rsidRPr="00262341">
        <w:rPr>
          <w:rFonts w:ascii="Verdana" w:hAnsi="Verdana" w:eastAsia="Verdana" w:cs="Verdana"/>
          <w:i/>
          <w:iCs/>
          <w:sz w:val="18"/>
          <w:szCs w:val="18"/>
        </w:rPr>
        <w:t xml:space="preserve"> Technologies</w:t>
      </w:r>
      <w:r w:rsidRPr="00262341">
        <w:rPr>
          <w:rFonts w:ascii="Verdana" w:hAnsi="Verdana" w:eastAsia="Verdana" w:cs="Verdana"/>
          <w:sz w:val="18"/>
          <w:szCs w:val="18"/>
        </w:rPr>
        <w:t>: hierna WET) hoeven aan minder eisen te voldoen omdat zij</w:t>
      </w:r>
      <w:r w:rsidRPr="00262341" w:rsidR="006445B7">
        <w:rPr>
          <w:rFonts w:ascii="Verdana" w:hAnsi="Verdana" w:eastAsia="Verdana" w:cs="Verdana"/>
          <w:sz w:val="18"/>
          <w:szCs w:val="18"/>
        </w:rPr>
        <w:t>,</w:t>
      </w:r>
      <w:r w:rsidRPr="00262341">
        <w:rPr>
          <w:rFonts w:ascii="Verdana" w:hAnsi="Verdana" w:eastAsia="Verdana" w:cs="Verdana"/>
          <w:sz w:val="18"/>
          <w:szCs w:val="18"/>
        </w:rPr>
        <w:t xml:space="preserve"> onder andere</w:t>
      </w:r>
      <w:r w:rsidRPr="00262341" w:rsidR="006445B7">
        <w:rPr>
          <w:rFonts w:ascii="Verdana" w:hAnsi="Verdana" w:eastAsia="Verdana" w:cs="Verdana"/>
          <w:sz w:val="18"/>
          <w:szCs w:val="18"/>
        </w:rPr>
        <w:t>,</w:t>
      </w:r>
      <w:r w:rsidRPr="00262341">
        <w:rPr>
          <w:rFonts w:ascii="Verdana" w:hAnsi="Verdana" w:eastAsia="Verdana" w:cs="Verdana"/>
          <w:sz w:val="18"/>
          <w:szCs w:val="18"/>
        </w:rPr>
        <w:t xml:space="preserve"> al lang op de Europese markt zijn, relatief eenvoudig zijn, en in het verleden niet in verband zijn gebracht met veiligheidsproblemen. Desondanks ondergaan </w:t>
      </w:r>
      <w:r w:rsidRPr="00262341" w:rsidR="00B80085">
        <w:rPr>
          <w:rFonts w:ascii="Verdana" w:hAnsi="Verdana" w:eastAsia="Verdana" w:cs="Verdana"/>
          <w:sz w:val="18"/>
          <w:szCs w:val="18"/>
        </w:rPr>
        <w:t xml:space="preserve">veel </w:t>
      </w:r>
      <w:r w:rsidRPr="00262341">
        <w:rPr>
          <w:rFonts w:ascii="Verdana" w:hAnsi="Verdana" w:eastAsia="Verdana" w:cs="Verdana"/>
          <w:sz w:val="18"/>
          <w:szCs w:val="18"/>
        </w:rPr>
        <w:t xml:space="preserve">WET </w:t>
      </w:r>
      <w:r w:rsidRPr="00262341" w:rsidR="00B939F3">
        <w:rPr>
          <w:rFonts w:ascii="Verdana" w:hAnsi="Verdana" w:eastAsia="Verdana" w:cs="Verdana"/>
          <w:sz w:val="18"/>
          <w:szCs w:val="18"/>
        </w:rPr>
        <w:t xml:space="preserve">nu </w:t>
      </w:r>
      <w:r w:rsidRPr="00262341">
        <w:rPr>
          <w:rFonts w:ascii="Verdana" w:hAnsi="Verdana" w:eastAsia="Verdana" w:cs="Verdana"/>
          <w:sz w:val="18"/>
          <w:szCs w:val="18"/>
        </w:rPr>
        <w:t xml:space="preserve">dezelfde intensieve beoordeling </w:t>
      </w:r>
      <w:r w:rsidRPr="00262341" w:rsidR="00B80085">
        <w:rPr>
          <w:rFonts w:ascii="Verdana" w:hAnsi="Verdana" w:eastAsia="Verdana" w:cs="Verdana"/>
          <w:sz w:val="18"/>
          <w:szCs w:val="18"/>
        </w:rPr>
        <w:t xml:space="preserve">onder de MDR </w:t>
      </w:r>
      <w:r w:rsidRPr="00262341">
        <w:rPr>
          <w:rFonts w:ascii="Verdana" w:hAnsi="Verdana" w:eastAsia="Verdana" w:cs="Verdana"/>
          <w:sz w:val="18"/>
          <w:szCs w:val="18"/>
        </w:rPr>
        <w:t xml:space="preserve">bij </w:t>
      </w:r>
      <w:proofErr w:type="spellStart"/>
      <w:r w:rsidRPr="00262341">
        <w:rPr>
          <w:rFonts w:ascii="Verdana" w:hAnsi="Verdana" w:eastAsia="Verdana" w:cs="Verdana"/>
          <w:sz w:val="18"/>
          <w:szCs w:val="18"/>
        </w:rPr>
        <w:t>hercertificering</w:t>
      </w:r>
      <w:proofErr w:type="spellEnd"/>
      <w:r w:rsidRPr="00262341">
        <w:rPr>
          <w:rFonts w:ascii="Verdana" w:hAnsi="Verdana" w:eastAsia="Verdana" w:cs="Verdana"/>
          <w:sz w:val="18"/>
          <w:szCs w:val="18"/>
        </w:rPr>
        <w:t xml:space="preserve"> als een volledig nieuw </w:t>
      </w:r>
      <w:r w:rsidRPr="00262341" w:rsidR="006445B7">
        <w:rPr>
          <w:rFonts w:ascii="Verdana" w:hAnsi="Verdana" w:eastAsia="Verdana" w:cs="Verdana"/>
          <w:sz w:val="18"/>
          <w:szCs w:val="18"/>
        </w:rPr>
        <w:t>hulpmiddel</w:t>
      </w:r>
      <w:r w:rsidRPr="00262341">
        <w:rPr>
          <w:rFonts w:ascii="Verdana" w:hAnsi="Verdana" w:eastAsia="Verdana" w:cs="Verdana"/>
          <w:sz w:val="18"/>
          <w:szCs w:val="18"/>
        </w:rPr>
        <w:t xml:space="preserve"> van dezelfde risicoklasse,</w:t>
      </w:r>
      <w:r w:rsidRPr="00262341" w:rsidR="00B80085">
        <w:rPr>
          <w:rFonts w:ascii="Verdana" w:hAnsi="Verdana" w:eastAsia="Verdana" w:cs="Verdana"/>
          <w:sz w:val="18"/>
          <w:szCs w:val="18"/>
        </w:rPr>
        <w:t xml:space="preserve"> aangezien in de huidige MDR slechts een beperkt </w:t>
      </w:r>
      <w:r w:rsidRPr="00262341" w:rsidR="006445B7">
        <w:rPr>
          <w:rFonts w:ascii="Verdana" w:hAnsi="Verdana" w:eastAsia="Verdana" w:cs="Verdana"/>
          <w:sz w:val="18"/>
          <w:szCs w:val="18"/>
        </w:rPr>
        <w:t xml:space="preserve">aantal hulpmiddelen </w:t>
      </w:r>
      <w:r w:rsidRPr="00262341" w:rsidR="00B80085">
        <w:rPr>
          <w:rFonts w:ascii="Verdana" w:hAnsi="Verdana" w:eastAsia="Verdana" w:cs="Verdana"/>
          <w:sz w:val="18"/>
          <w:szCs w:val="18"/>
        </w:rPr>
        <w:t>wordt aangemerkt als WET</w:t>
      </w:r>
      <w:r w:rsidRPr="00262341">
        <w:rPr>
          <w:rFonts w:ascii="Verdana" w:hAnsi="Verdana" w:eastAsia="Verdana" w:cs="Verdana"/>
          <w:sz w:val="18"/>
          <w:szCs w:val="18"/>
        </w:rPr>
        <w:t xml:space="preserve">. Voor deze hulpmiddelen introduceert het voorstel </w:t>
      </w:r>
      <w:r w:rsidRPr="00262341" w:rsidR="00B80085">
        <w:rPr>
          <w:rFonts w:ascii="Verdana" w:hAnsi="Verdana" w:eastAsia="Verdana" w:cs="Verdana"/>
          <w:sz w:val="18"/>
          <w:szCs w:val="18"/>
        </w:rPr>
        <w:t xml:space="preserve">nu een definitie, waardoor een veel groter aantal producten in aanmerking zal komen voor </w:t>
      </w:r>
      <w:r w:rsidRPr="00262341">
        <w:rPr>
          <w:rFonts w:ascii="Verdana" w:hAnsi="Verdana" w:eastAsia="Verdana" w:cs="Verdana"/>
          <w:sz w:val="18"/>
          <w:szCs w:val="18"/>
        </w:rPr>
        <w:t xml:space="preserve">een </w:t>
      </w:r>
      <w:r w:rsidRPr="00262341" w:rsidR="00B80085">
        <w:rPr>
          <w:rFonts w:ascii="Verdana" w:hAnsi="Verdana" w:eastAsia="Verdana" w:cs="Verdana"/>
          <w:sz w:val="18"/>
          <w:szCs w:val="18"/>
        </w:rPr>
        <w:t xml:space="preserve">minder intensieve, </w:t>
      </w:r>
      <w:r w:rsidRPr="00262341">
        <w:rPr>
          <w:rFonts w:ascii="Verdana" w:hAnsi="Verdana" w:eastAsia="Verdana" w:cs="Verdana"/>
          <w:sz w:val="18"/>
          <w:szCs w:val="18"/>
        </w:rPr>
        <w:t>proportionele benadering van met name klinische evaluatie.</w:t>
      </w:r>
      <w:r w:rsidRPr="00262341" w:rsidR="00ED7DF4">
        <w:rPr>
          <w:rFonts w:ascii="Verdana" w:hAnsi="Verdana" w:eastAsia="Verdana" w:cs="Verdana"/>
          <w:sz w:val="18"/>
          <w:szCs w:val="18"/>
        </w:rPr>
        <w:t xml:space="preserve"> </w:t>
      </w:r>
      <w:r w:rsidRPr="00262341">
        <w:rPr>
          <w:rFonts w:ascii="Verdana" w:hAnsi="Verdana" w:eastAsia="Verdana" w:cs="Verdana"/>
          <w:sz w:val="18"/>
          <w:szCs w:val="18"/>
        </w:rPr>
        <w:t>Daarnaast wordt de definitie van klinische gegevens verruimd en worden de voorwaarden voor het aantonen van gelijkwaardigheid (hierna: equivalentie) versimpeld. Het gebruik van niet-klinische gegevens, zoals computersimulaties, wordt ook uitgebreid. Dit biedt fabrikanten alternatieve onderzoeksmogelijkheden, naast traditionele klinische onderzoeksmethoden. Verder worden bepaalde hulpmiddelen ingedeeld in een lagere risicoklasse, waardoor zij aan minder strikte eisen hoeven te voldoen</w:t>
      </w:r>
      <w:r w:rsidRPr="00262341" w:rsidR="000C4720">
        <w:rPr>
          <w:rFonts w:ascii="Verdana" w:hAnsi="Verdana" w:eastAsia="Verdana" w:cs="Verdana"/>
          <w:sz w:val="18"/>
          <w:szCs w:val="18"/>
        </w:rPr>
        <w:t xml:space="preserve"> en word het digitaal aanbieden van de zogeheten implantaatkaart mogelijk</w:t>
      </w:r>
      <w:r w:rsidRPr="00262341" w:rsidR="00262341">
        <w:rPr>
          <w:rFonts w:ascii="Verdana" w:hAnsi="Verdana" w:eastAsia="Verdana" w:cs="Verdana"/>
          <w:sz w:val="18"/>
          <w:szCs w:val="18"/>
        </w:rPr>
        <w:t>.</w:t>
      </w:r>
      <w:r w:rsidRPr="00262341">
        <w:rPr>
          <w:rFonts w:ascii="Verdana" w:hAnsi="Verdana" w:eastAsia="Verdana" w:cs="Verdana"/>
          <w:sz w:val="18"/>
          <w:szCs w:val="18"/>
        </w:rPr>
        <w:t xml:space="preserve"> </w:t>
      </w:r>
    </w:p>
    <w:p w:rsidRPr="00262341" w:rsidR="00912A22" w:rsidP="00262341" w:rsidRDefault="00912A22" w14:paraId="38F24855" w14:textId="77777777">
      <w:pPr>
        <w:spacing w:line="360" w:lineRule="auto"/>
        <w:rPr>
          <w:rFonts w:ascii="Verdana" w:hAnsi="Verdana" w:eastAsia="Verdana" w:cs="Verdana"/>
          <w:sz w:val="18"/>
          <w:szCs w:val="18"/>
        </w:rPr>
      </w:pPr>
    </w:p>
    <w:p w:rsidRPr="00262341" w:rsidR="00912A22" w:rsidP="00262341" w:rsidRDefault="6E0DAAEF" w14:paraId="41CDB5E0" w14:textId="0E17B3C2">
      <w:pPr>
        <w:spacing w:line="360" w:lineRule="auto"/>
        <w:rPr>
          <w:rFonts w:ascii="Verdana" w:hAnsi="Verdana" w:eastAsia="Verdana" w:cs="Verdana"/>
          <w:sz w:val="18"/>
          <w:szCs w:val="18"/>
        </w:rPr>
      </w:pPr>
      <w:r w:rsidRPr="00262341">
        <w:rPr>
          <w:rFonts w:ascii="Verdana" w:hAnsi="Verdana" w:eastAsia="Verdana" w:cs="Verdana"/>
          <w:sz w:val="18"/>
          <w:szCs w:val="18"/>
        </w:rPr>
        <w:lastRenderedPageBreak/>
        <w:t xml:space="preserve">Ten tweede richt het voorstel zich op vermindering van administratieve lasten. Momenteel moeten veiligheidsverslagen van hulpmiddelen frequent worden geactualiseerd en apart worden gevalideerd, ook als er weinig tot geen nieuwe informatie is. Daarnaast moeten incidenten nu binnen strakke termijnen gemeld worden, zelfs bij minder ernstige incidenten. Daarom koppelt het voorstel de rapportageverplichtingen aan het werkelijke risico van het medisch hulpmiddel en zal de validatie hiervan worden meegenomen in de reguliere toezichtprocessen. Voor (laag-risico) incidenten krijgen fabrikanten meer tijd om de situatie te analyseren voordat zij rapporteren, zodat er niet overbodig gemeld wordt. </w:t>
      </w:r>
    </w:p>
    <w:p w:rsidRPr="00262341" w:rsidR="00912A22" w:rsidP="00262341" w:rsidRDefault="00912A22" w14:paraId="0BC739C8" w14:textId="77777777">
      <w:pPr>
        <w:spacing w:line="360" w:lineRule="auto"/>
        <w:rPr>
          <w:rFonts w:ascii="Verdana" w:hAnsi="Verdana" w:eastAsia="Verdana" w:cs="Verdana"/>
          <w:sz w:val="18"/>
          <w:szCs w:val="18"/>
        </w:rPr>
      </w:pPr>
    </w:p>
    <w:p w:rsidRPr="00262341" w:rsidR="00281D0C" w:rsidP="00262341" w:rsidRDefault="00912A22" w14:paraId="627109BB" w14:textId="77E7FF7B">
      <w:pPr>
        <w:spacing w:line="360" w:lineRule="auto"/>
        <w:rPr>
          <w:rFonts w:ascii="Verdana" w:hAnsi="Verdana" w:eastAsia="Verdana" w:cs="Verdana"/>
          <w:sz w:val="18"/>
          <w:szCs w:val="18"/>
        </w:rPr>
      </w:pPr>
      <w:r w:rsidRPr="00262341">
        <w:rPr>
          <w:rFonts w:ascii="Verdana" w:hAnsi="Verdana" w:eastAsia="Verdana" w:cs="Verdana"/>
          <w:sz w:val="18"/>
          <w:szCs w:val="18"/>
        </w:rPr>
        <w:t>Ten derde s</w:t>
      </w:r>
      <w:r w:rsidRPr="00262341" w:rsidR="6E0DAAEF">
        <w:rPr>
          <w:rFonts w:ascii="Verdana" w:hAnsi="Verdana" w:eastAsia="Verdana" w:cs="Verdana"/>
          <w:sz w:val="18"/>
          <w:szCs w:val="18"/>
        </w:rPr>
        <w:t>telt de Commissie</w:t>
      </w:r>
      <w:r w:rsidRPr="00262341">
        <w:rPr>
          <w:rFonts w:ascii="Verdana" w:hAnsi="Verdana" w:eastAsia="Verdana" w:cs="Verdana"/>
          <w:sz w:val="18"/>
          <w:szCs w:val="18"/>
        </w:rPr>
        <w:t xml:space="preserve"> maatregelen voor ter bevordering van innovatie en beschikbaarheid van medische hulpmiddelen.</w:t>
      </w:r>
      <w:r w:rsidRPr="00262341" w:rsidR="00B05C8B">
        <w:rPr>
          <w:rFonts w:ascii="Verdana" w:hAnsi="Verdana" w:eastAsia="Verdana" w:cs="Verdana"/>
          <w:sz w:val="18"/>
          <w:szCs w:val="18"/>
        </w:rPr>
        <w:t xml:space="preserve"> </w:t>
      </w:r>
      <w:r w:rsidRPr="00262341">
        <w:rPr>
          <w:rFonts w:ascii="Verdana" w:hAnsi="Verdana" w:eastAsia="Verdana" w:cs="Verdana"/>
          <w:sz w:val="18"/>
          <w:szCs w:val="18"/>
        </w:rPr>
        <w:t>Voor twee specifieke categorieën</w:t>
      </w:r>
      <w:r w:rsidRPr="00262341" w:rsidR="00281D0C">
        <w:rPr>
          <w:rFonts w:ascii="Verdana" w:hAnsi="Verdana" w:eastAsia="Verdana" w:cs="Verdana"/>
          <w:sz w:val="18"/>
          <w:szCs w:val="18"/>
        </w:rPr>
        <w:t xml:space="preserve"> hulpmiddelen, namelijk doorbraaktechnologieën en weeshulpmiddelen, </w:t>
      </w:r>
      <w:r w:rsidRPr="00262341">
        <w:rPr>
          <w:rFonts w:ascii="Verdana" w:hAnsi="Verdana" w:eastAsia="Verdana" w:cs="Verdana"/>
          <w:sz w:val="18"/>
          <w:szCs w:val="18"/>
        </w:rPr>
        <w:t xml:space="preserve">levert het systeem om verschillende redenen </w:t>
      </w:r>
      <w:r w:rsidRPr="00262341" w:rsidR="00281D0C">
        <w:rPr>
          <w:rFonts w:ascii="Verdana" w:hAnsi="Verdana" w:eastAsia="Verdana" w:cs="Verdana"/>
          <w:sz w:val="18"/>
          <w:szCs w:val="18"/>
        </w:rPr>
        <w:t>uitdagingen op</w:t>
      </w:r>
      <w:r w:rsidRPr="00262341">
        <w:rPr>
          <w:rFonts w:ascii="Verdana" w:hAnsi="Verdana" w:eastAsia="Verdana" w:cs="Verdana"/>
          <w:sz w:val="18"/>
          <w:szCs w:val="18"/>
        </w:rPr>
        <w:t xml:space="preserve">. </w:t>
      </w:r>
      <w:r w:rsidRPr="00262341" w:rsidR="005238CA">
        <w:rPr>
          <w:rFonts w:ascii="Verdana" w:hAnsi="Verdana" w:eastAsia="Verdana" w:cs="Verdana"/>
          <w:sz w:val="18"/>
          <w:szCs w:val="18"/>
        </w:rPr>
        <w:t>Voor d</w:t>
      </w:r>
      <w:r w:rsidRPr="00262341">
        <w:rPr>
          <w:rFonts w:ascii="Verdana" w:hAnsi="Verdana" w:eastAsia="Verdana" w:cs="Verdana"/>
          <w:sz w:val="18"/>
          <w:szCs w:val="18"/>
        </w:rPr>
        <w:t>oorbraaktechnologieën</w:t>
      </w:r>
      <w:r w:rsidRPr="00262341" w:rsidR="00726DD4">
        <w:rPr>
          <w:rFonts w:ascii="Verdana" w:hAnsi="Verdana" w:eastAsia="Verdana" w:cs="Verdana"/>
          <w:sz w:val="18"/>
          <w:szCs w:val="18"/>
        </w:rPr>
        <w:t xml:space="preserve"> </w:t>
      </w:r>
      <w:r w:rsidRPr="00262341" w:rsidR="00281D0C">
        <w:rPr>
          <w:rFonts w:ascii="Verdana" w:hAnsi="Verdana" w:eastAsia="Verdana" w:cs="Verdana"/>
          <w:sz w:val="18"/>
          <w:szCs w:val="18"/>
        </w:rPr>
        <w:t>ligt de uitdaging in</w:t>
      </w:r>
      <w:r w:rsidRPr="00262341" w:rsidR="00EF770D">
        <w:rPr>
          <w:rFonts w:ascii="Verdana" w:hAnsi="Verdana" w:eastAsia="Verdana" w:cs="Verdana"/>
          <w:sz w:val="18"/>
          <w:szCs w:val="18"/>
        </w:rPr>
        <w:t xml:space="preserve"> het feit dat </w:t>
      </w:r>
      <w:r w:rsidRPr="00262341" w:rsidR="0032216B">
        <w:rPr>
          <w:rFonts w:ascii="Verdana" w:hAnsi="Verdana" w:eastAsia="Verdana" w:cs="Verdana"/>
          <w:sz w:val="18"/>
          <w:szCs w:val="18"/>
        </w:rPr>
        <w:t xml:space="preserve">het product nieuw is en het daardoor langer duurt om de vereiste veiligheidsinformatie te verzamelen, terwijl </w:t>
      </w:r>
      <w:r w:rsidRPr="00262341" w:rsidR="00EF770D">
        <w:rPr>
          <w:rFonts w:ascii="Verdana" w:hAnsi="Verdana" w:eastAsia="Verdana" w:cs="Verdana"/>
          <w:sz w:val="18"/>
          <w:szCs w:val="18"/>
        </w:rPr>
        <w:t xml:space="preserve">deze medische hulpmiddelen </w:t>
      </w:r>
      <w:r w:rsidRPr="00262341" w:rsidR="00D139C1">
        <w:rPr>
          <w:rFonts w:ascii="Verdana" w:hAnsi="Verdana" w:eastAsia="Verdana" w:cs="Verdana"/>
          <w:sz w:val="18"/>
          <w:szCs w:val="18"/>
        </w:rPr>
        <w:t xml:space="preserve">juist </w:t>
      </w:r>
      <w:r w:rsidRPr="00262341" w:rsidR="00EF770D">
        <w:rPr>
          <w:rFonts w:ascii="Verdana" w:hAnsi="Verdana" w:eastAsia="Verdana" w:cs="Verdana"/>
          <w:sz w:val="18"/>
          <w:szCs w:val="18"/>
        </w:rPr>
        <w:t xml:space="preserve">snel beschikbaar </w:t>
      </w:r>
      <w:r w:rsidRPr="00262341" w:rsidR="00D139C1">
        <w:rPr>
          <w:rFonts w:ascii="Verdana" w:hAnsi="Verdana" w:eastAsia="Verdana" w:cs="Verdana"/>
          <w:sz w:val="18"/>
          <w:szCs w:val="18"/>
        </w:rPr>
        <w:t>moeten</w:t>
      </w:r>
      <w:r w:rsidRPr="00262341" w:rsidR="00EF770D">
        <w:rPr>
          <w:rFonts w:ascii="Verdana" w:hAnsi="Verdana" w:eastAsia="Verdana" w:cs="Verdana"/>
          <w:sz w:val="18"/>
          <w:szCs w:val="18"/>
        </w:rPr>
        <w:t xml:space="preserve"> zijn voor patiënten. </w:t>
      </w:r>
      <w:r w:rsidRPr="00262341" w:rsidR="00D139C1">
        <w:rPr>
          <w:rFonts w:ascii="Verdana" w:hAnsi="Verdana" w:eastAsia="Verdana" w:cs="Verdana"/>
          <w:sz w:val="18"/>
          <w:szCs w:val="18"/>
        </w:rPr>
        <w:t xml:space="preserve">Door veiligheidschecks in de tijd te verschuiven, kunnen de grote voordelen van deze hulpmiddelen eerder beschikbaar komen. </w:t>
      </w:r>
      <w:r w:rsidRPr="00262341" w:rsidR="00F57F2D">
        <w:rPr>
          <w:rFonts w:ascii="Verdana" w:hAnsi="Verdana" w:eastAsia="Verdana" w:cs="Verdana"/>
          <w:sz w:val="18"/>
          <w:szCs w:val="18"/>
        </w:rPr>
        <w:t xml:space="preserve">De </w:t>
      </w:r>
      <w:r w:rsidRPr="00262341" w:rsidR="004E538B">
        <w:rPr>
          <w:rFonts w:ascii="Verdana" w:hAnsi="Verdana" w:eastAsia="Verdana" w:cs="Verdana"/>
          <w:sz w:val="18"/>
          <w:szCs w:val="18"/>
        </w:rPr>
        <w:t>C</w:t>
      </w:r>
      <w:r w:rsidRPr="00262341" w:rsidR="00F57F2D">
        <w:rPr>
          <w:rFonts w:ascii="Verdana" w:hAnsi="Verdana" w:eastAsia="Verdana" w:cs="Verdana"/>
          <w:sz w:val="18"/>
          <w:szCs w:val="18"/>
        </w:rPr>
        <w:t>ommissie introduceert daarom een route met intensievere begeleiding</w:t>
      </w:r>
      <w:r w:rsidRPr="00262341" w:rsidR="00B05C8B">
        <w:rPr>
          <w:rFonts w:ascii="Verdana" w:hAnsi="Verdana" w:eastAsia="Verdana" w:cs="Verdana"/>
          <w:sz w:val="18"/>
          <w:szCs w:val="18"/>
        </w:rPr>
        <w:t xml:space="preserve">, </w:t>
      </w:r>
      <w:r w:rsidRPr="00262341" w:rsidR="00F57F2D">
        <w:rPr>
          <w:rFonts w:ascii="Verdana" w:hAnsi="Verdana" w:eastAsia="Verdana" w:cs="Verdana"/>
          <w:sz w:val="18"/>
          <w:szCs w:val="18"/>
        </w:rPr>
        <w:t>voorrang bij beoordeling</w:t>
      </w:r>
      <w:r w:rsidRPr="00262341" w:rsidR="00B05C8B">
        <w:rPr>
          <w:rFonts w:ascii="Verdana" w:hAnsi="Verdana" w:eastAsia="Verdana" w:cs="Verdana"/>
          <w:sz w:val="18"/>
          <w:szCs w:val="18"/>
        </w:rPr>
        <w:t xml:space="preserve"> en</w:t>
      </w:r>
      <w:r w:rsidRPr="00262341" w:rsidR="00D935F7">
        <w:rPr>
          <w:rFonts w:ascii="Verdana" w:hAnsi="Verdana" w:eastAsia="Verdana" w:cs="Verdana"/>
          <w:sz w:val="18"/>
          <w:szCs w:val="18"/>
        </w:rPr>
        <w:t xml:space="preserve"> </w:t>
      </w:r>
      <w:r w:rsidRPr="00262341" w:rsidR="218320BE">
        <w:rPr>
          <w:rFonts w:ascii="Verdana" w:hAnsi="Verdana" w:eastAsia="Verdana" w:cs="Verdana"/>
          <w:sz w:val="18"/>
          <w:szCs w:val="18"/>
        </w:rPr>
        <w:t>d</w:t>
      </w:r>
      <w:r w:rsidRPr="00262341" w:rsidR="34AF9D91">
        <w:rPr>
          <w:rFonts w:ascii="Verdana" w:hAnsi="Verdana" w:eastAsia="Verdana" w:cs="Verdana"/>
          <w:sz w:val="18"/>
          <w:szCs w:val="18"/>
        </w:rPr>
        <w:t>oorlopende evaluaties (</w:t>
      </w:r>
      <w:r w:rsidRPr="00262341" w:rsidR="34AF9D91">
        <w:rPr>
          <w:rFonts w:ascii="Verdana" w:hAnsi="Verdana" w:eastAsia="Verdana" w:cs="Verdana"/>
          <w:i/>
          <w:iCs/>
          <w:sz w:val="18"/>
          <w:szCs w:val="18"/>
        </w:rPr>
        <w:t>rolling reviews</w:t>
      </w:r>
      <w:r w:rsidRPr="00262341" w:rsidR="34AF9D91">
        <w:rPr>
          <w:rFonts w:ascii="Verdana" w:hAnsi="Verdana" w:eastAsia="Verdana" w:cs="Verdana"/>
          <w:sz w:val="18"/>
          <w:szCs w:val="18"/>
        </w:rPr>
        <w:t xml:space="preserve">), </w:t>
      </w:r>
      <w:r w:rsidRPr="00262341" w:rsidR="00D935F7">
        <w:rPr>
          <w:rFonts w:ascii="Verdana" w:hAnsi="Verdana" w:eastAsia="Verdana" w:cs="Verdana"/>
          <w:sz w:val="18"/>
          <w:szCs w:val="18"/>
        </w:rPr>
        <w:t>waarbij certificering</w:t>
      </w:r>
      <w:r w:rsidRPr="00262341" w:rsidR="00D139C1">
        <w:rPr>
          <w:rFonts w:ascii="Verdana" w:hAnsi="Verdana" w:eastAsia="Verdana" w:cs="Verdana"/>
          <w:sz w:val="18"/>
          <w:szCs w:val="18"/>
        </w:rPr>
        <w:t>s</w:t>
      </w:r>
      <w:r w:rsidRPr="00262341" w:rsidR="00D935F7">
        <w:rPr>
          <w:rFonts w:ascii="Verdana" w:hAnsi="Verdana" w:eastAsia="Verdana" w:cs="Verdana"/>
          <w:sz w:val="18"/>
          <w:szCs w:val="18"/>
        </w:rPr>
        <w:t xml:space="preserve">procedures al tijdens het klinisch onderzoek </w:t>
      </w:r>
      <w:r w:rsidRPr="00262341" w:rsidR="0032216B">
        <w:rPr>
          <w:rFonts w:ascii="Verdana" w:hAnsi="Verdana" w:eastAsia="Verdana" w:cs="Verdana"/>
          <w:sz w:val="18"/>
          <w:szCs w:val="18"/>
        </w:rPr>
        <w:t>kunnen starten</w:t>
      </w:r>
      <w:r w:rsidRPr="00262341" w:rsidR="00F57F2D">
        <w:rPr>
          <w:rFonts w:ascii="Verdana" w:hAnsi="Verdana" w:eastAsia="Verdana" w:cs="Verdana"/>
          <w:sz w:val="18"/>
          <w:szCs w:val="18"/>
        </w:rPr>
        <w:t xml:space="preserve">. Voor </w:t>
      </w:r>
      <w:r w:rsidRPr="00262341">
        <w:rPr>
          <w:rFonts w:ascii="Verdana" w:hAnsi="Verdana" w:eastAsia="Verdana" w:cs="Verdana"/>
          <w:sz w:val="18"/>
          <w:szCs w:val="18"/>
        </w:rPr>
        <w:t>weeshulpmiddelen</w:t>
      </w:r>
      <w:r w:rsidRPr="00262341" w:rsidR="000B4DD1">
        <w:rPr>
          <w:rStyle w:val="FootnoteReference"/>
          <w:rFonts w:ascii="Verdana" w:hAnsi="Verdana" w:eastAsia="Verdana" w:cs="Verdana"/>
          <w:sz w:val="18"/>
          <w:szCs w:val="18"/>
        </w:rPr>
        <w:footnoteReference w:id="5"/>
      </w:r>
      <w:r w:rsidRPr="00262341">
        <w:rPr>
          <w:rFonts w:ascii="Verdana" w:hAnsi="Verdana" w:eastAsia="Verdana" w:cs="Verdana"/>
          <w:sz w:val="18"/>
          <w:szCs w:val="18"/>
        </w:rPr>
        <w:t xml:space="preserve"> </w:t>
      </w:r>
      <w:r w:rsidRPr="00262341" w:rsidR="00F57F2D">
        <w:rPr>
          <w:rFonts w:ascii="Verdana" w:hAnsi="Verdana" w:eastAsia="Verdana" w:cs="Verdana"/>
          <w:sz w:val="18"/>
          <w:szCs w:val="18"/>
        </w:rPr>
        <w:t xml:space="preserve">is de ontwikkeling commercieel minder aantrekkelijk door </w:t>
      </w:r>
      <w:r w:rsidRPr="00262341" w:rsidR="0BB81D5C">
        <w:rPr>
          <w:rFonts w:ascii="Verdana" w:hAnsi="Verdana" w:eastAsia="Verdana" w:cs="Verdana"/>
          <w:sz w:val="18"/>
          <w:szCs w:val="18"/>
        </w:rPr>
        <w:t>de kleine patiëntengroep</w:t>
      </w:r>
      <w:r w:rsidRPr="00262341" w:rsidR="00F57F2D">
        <w:rPr>
          <w:rFonts w:ascii="Verdana" w:hAnsi="Verdana" w:eastAsia="Verdana" w:cs="Verdana"/>
          <w:sz w:val="18"/>
          <w:szCs w:val="18"/>
        </w:rPr>
        <w:t xml:space="preserve">. De voorgestelde tariefverlagingen </w:t>
      </w:r>
      <w:r w:rsidRPr="00262341" w:rsidR="00B939F3">
        <w:rPr>
          <w:rFonts w:ascii="Verdana" w:hAnsi="Verdana" w:eastAsia="Verdana" w:cs="Verdana"/>
          <w:sz w:val="18"/>
          <w:szCs w:val="18"/>
        </w:rPr>
        <w:t>tot</w:t>
      </w:r>
      <w:r w:rsidRPr="00262341" w:rsidR="00F57F2D">
        <w:rPr>
          <w:rFonts w:ascii="Verdana" w:hAnsi="Verdana" w:eastAsia="Verdana" w:cs="Verdana"/>
          <w:sz w:val="18"/>
          <w:szCs w:val="18"/>
        </w:rPr>
        <w:t xml:space="preserve"> 50%, voorrang bij beoordeling en</w:t>
      </w:r>
      <w:r w:rsidRPr="00262341" w:rsidR="0A4EBC9B">
        <w:rPr>
          <w:rFonts w:ascii="Verdana" w:hAnsi="Verdana" w:eastAsia="Verdana" w:cs="Verdana"/>
          <w:sz w:val="18"/>
          <w:szCs w:val="18"/>
        </w:rPr>
        <w:t xml:space="preserve"> rolling reviews,</w:t>
      </w:r>
      <w:r w:rsidRPr="00262341" w:rsidR="00903EF2">
        <w:rPr>
          <w:rFonts w:ascii="Verdana" w:hAnsi="Verdana" w:eastAsia="Verdana" w:cs="Verdana"/>
          <w:sz w:val="18"/>
          <w:szCs w:val="18"/>
        </w:rPr>
        <w:t xml:space="preserve"> proberen </w:t>
      </w:r>
      <w:r w:rsidRPr="00262341" w:rsidR="00EF770D">
        <w:rPr>
          <w:rFonts w:ascii="Verdana" w:hAnsi="Verdana" w:eastAsia="Verdana" w:cs="Verdana"/>
          <w:sz w:val="18"/>
          <w:szCs w:val="18"/>
        </w:rPr>
        <w:t xml:space="preserve">eraan bij te dragen dat ook deze hulpmiddelen </w:t>
      </w:r>
      <w:r w:rsidRPr="00262341" w:rsidR="00D139C1">
        <w:rPr>
          <w:rFonts w:ascii="Verdana" w:hAnsi="Verdana" w:eastAsia="Verdana" w:cs="Verdana"/>
          <w:sz w:val="18"/>
          <w:szCs w:val="18"/>
        </w:rPr>
        <w:t>ge</w:t>
      </w:r>
      <w:r w:rsidRPr="00262341" w:rsidR="00EF770D">
        <w:rPr>
          <w:rFonts w:ascii="Verdana" w:hAnsi="Verdana" w:eastAsia="Verdana" w:cs="Verdana"/>
          <w:sz w:val="18"/>
          <w:szCs w:val="18"/>
        </w:rPr>
        <w:t xml:space="preserve">makkelijker op de markt </w:t>
      </w:r>
      <w:r w:rsidRPr="00262341" w:rsidR="00ED7DF4">
        <w:rPr>
          <w:rFonts w:ascii="Verdana" w:hAnsi="Verdana" w:eastAsia="Verdana" w:cs="Verdana"/>
          <w:sz w:val="18"/>
          <w:szCs w:val="18"/>
        </w:rPr>
        <w:t xml:space="preserve">kunnen </w:t>
      </w:r>
      <w:r w:rsidRPr="00262341" w:rsidR="00EF770D">
        <w:rPr>
          <w:rFonts w:ascii="Verdana" w:hAnsi="Verdana" w:eastAsia="Verdana" w:cs="Verdana"/>
          <w:sz w:val="18"/>
          <w:szCs w:val="18"/>
        </w:rPr>
        <w:t xml:space="preserve">komen. </w:t>
      </w:r>
    </w:p>
    <w:p w:rsidRPr="00262341" w:rsidR="00281D0C" w:rsidP="00262341" w:rsidRDefault="00281D0C" w14:paraId="765759C9" w14:textId="77777777">
      <w:pPr>
        <w:spacing w:line="360" w:lineRule="auto"/>
        <w:rPr>
          <w:rFonts w:ascii="Verdana" w:hAnsi="Verdana" w:eastAsia="Verdana" w:cs="Verdana"/>
          <w:sz w:val="18"/>
          <w:szCs w:val="18"/>
        </w:rPr>
      </w:pPr>
    </w:p>
    <w:p w:rsidRPr="00262341" w:rsidR="00912A22" w:rsidP="00262341" w:rsidRDefault="6E0DAAEF" w14:paraId="5AD78E21" w14:textId="673C16F0">
      <w:pPr>
        <w:spacing w:line="360" w:lineRule="auto"/>
        <w:rPr>
          <w:rFonts w:ascii="Verdana" w:hAnsi="Verdana" w:eastAsia="Verdana" w:cs="Verdana"/>
          <w:sz w:val="18"/>
          <w:szCs w:val="18"/>
        </w:rPr>
      </w:pPr>
      <w:r w:rsidRPr="00262341">
        <w:rPr>
          <w:rFonts w:ascii="Verdana" w:hAnsi="Verdana" w:eastAsia="Verdana" w:cs="Verdana"/>
          <w:sz w:val="18"/>
          <w:szCs w:val="18"/>
        </w:rPr>
        <w:t xml:space="preserve">Daarnaast ziet de Commissie dat ziekenhuizen steeds vaker zelf hulpmiddelen ontwikkelen als er geen CE-gecertificeerd alternatief op de markt is, de zogeheten in-huis vervaardigde hulpmiddelen. Het huidige systeem staat dit slechts zeer beperkt toe en voorkomt uitwisseling van hulpmiddelen tussen zorginstellingen. Door hier meer ruimte voor te creëren wil de Commissie deze vorm van innovatie stimuleren. Zo kunnen zorginstellingen hun expertise delen zonder dat zij </w:t>
      </w:r>
      <w:r w:rsidRPr="00262341" w:rsidR="00D139C1">
        <w:rPr>
          <w:rFonts w:ascii="Verdana" w:hAnsi="Verdana" w:eastAsia="Verdana" w:cs="Verdana"/>
          <w:sz w:val="18"/>
          <w:szCs w:val="18"/>
        </w:rPr>
        <w:t xml:space="preserve">hoeven </w:t>
      </w:r>
      <w:r w:rsidRPr="00262341">
        <w:rPr>
          <w:rFonts w:ascii="Verdana" w:hAnsi="Verdana" w:eastAsia="Verdana" w:cs="Verdana"/>
          <w:sz w:val="18"/>
          <w:szCs w:val="18"/>
        </w:rPr>
        <w:t xml:space="preserve">over </w:t>
      </w:r>
      <w:r w:rsidRPr="00262341" w:rsidR="00D139C1">
        <w:rPr>
          <w:rFonts w:ascii="Verdana" w:hAnsi="Verdana" w:eastAsia="Verdana" w:cs="Verdana"/>
          <w:sz w:val="18"/>
          <w:szCs w:val="18"/>
        </w:rPr>
        <w:t xml:space="preserve">te </w:t>
      </w:r>
      <w:r w:rsidRPr="00262341">
        <w:rPr>
          <w:rFonts w:ascii="Verdana" w:hAnsi="Verdana" w:eastAsia="Verdana" w:cs="Verdana"/>
          <w:sz w:val="18"/>
          <w:szCs w:val="18"/>
        </w:rPr>
        <w:t>gaan op volwaardige commerciële productie</w:t>
      </w:r>
      <w:r w:rsidRPr="00262341" w:rsidR="00D139C1">
        <w:rPr>
          <w:rFonts w:ascii="Verdana" w:hAnsi="Verdana" w:eastAsia="Verdana" w:cs="Verdana"/>
          <w:sz w:val="18"/>
          <w:szCs w:val="18"/>
        </w:rPr>
        <w:t>,</w:t>
      </w:r>
      <w:r w:rsidRPr="00262341">
        <w:rPr>
          <w:rFonts w:ascii="Verdana" w:hAnsi="Verdana" w:eastAsia="Verdana" w:cs="Verdana"/>
          <w:sz w:val="18"/>
          <w:szCs w:val="18"/>
        </w:rPr>
        <w:t xml:space="preserve"> waardoor volledige certificering nodig is. Ook besteedt de Commissie aandacht aan het versoepelen van regels bij de voorbereiding op en tijdens publieke gezondheidscrises.</w:t>
      </w:r>
    </w:p>
    <w:p w:rsidRPr="00262341" w:rsidR="00155736" w:rsidP="00262341" w:rsidRDefault="00155736" w14:paraId="426379C9" w14:textId="77777777">
      <w:pPr>
        <w:spacing w:line="360" w:lineRule="auto"/>
        <w:rPr>
          <w:rFonts w:ascii="Verdana" w:hAnsi="Verdana" w:eastAsia="Verdana" w:cs="Verdana"/>
          <w:sz w:val="18"/>
          <w:szCs w:val="18"/>
        </w:rPr>
      </w:pPr>
    </w:p>
    <w:p w:rsidR="00574F02" w:rsidP="00262341" w:rsidRDefault="00912A22" w14:paraId="39B57243" w14:textId="77777777">
      <w:pPr>
        <w:spacing w:line="360" w:lineRule="auto"/>
        <w:rPr>
          <w:rFonts w:ascii="Verdana" w:hAnsi="Verdana" w:eastAsia="Verdana" w:cs="Verdana"/>
          <w:sz w:val="18"/>
          <w:szCs w:val="18"/>
        </w:rPr>
      </w:pPr>
      <w:r w:rsidRPr="00262341">
        <w:rPr>
          <w:rFonts w:ascii="Verdana" w:hAnsi="Verdana" w:eastAsia="Verdana" w:cs="Verdana"/>
          <w:sz w:val="18"/>
          <w:szCs w:val="18"/>
        </w:rPr>
        <w:t xml:space="preserve">Ten vierde beoogt het voorstel de voorspelbaarheid en kostenefficiëntie van certificering te verbeteren. </w:t>
      </w:r>
      <w:r w:rsidRPr="00262341" w:rsidR="00726DD4">
        <w:rPr>
          <w:rFonts w:ascii="Verdana" w:hAnsi="Verdana" w:eastAsia="Verdana" w:cs="Verdana"/>
          <w:sz w:val="18"/>
          <w:szCs w:val="18"/>
        </w:rPr>
        <w:t xml:space="preserve">Fabrikanten </w:t>
      </w:r>
      <w:r w:rsidRPr="00262341">
        <w:rPr>
          <w:rFonts w:ascii="Verdana" w:hAnsi="Verdana" w:eastAsia="Verdana" w:cs="Verdana"/>
          <w:sz w:val="18"/>
          <w:szCs w:val="18"/>
        </w:rPr>
        <w:t>weten</w:t>
      </w:r>
      <w:r w:rsidRPr="00262341" w:rsidR="00726DD4">
        <w:rPr>
          <w:rFonts w:ascii="Verdana" w:hAnsi="Verdana" w:eastAsia="Verdana" w:cs="Verdana"/>
          <w:sz w:val="18"/>
          <w:szCs w:val="18"/>
        </w:rPr>
        <w:t xml:space="preserve"> momenteel</w:t>
      </w:r>
      <w:r w:rsidRPr="00262341">
        <w:rPr>
          <w:rFonts w:ascii="Verdana" w:hAnsi="Verdana" w:eastAsia="Verdana" w:cs="Verdana"/>
          <w:sz w:val="18"/>
          <w:szCs w:val="18"/>
        </w:rPr>
        <w:t xml:space="preserve"> niet </w:t>
      </w:r>
      <w:r w:rsidRPr="00262341" w:rsidR="00726DD4">
        <w:rPr>
          <w:rFonts w:ascii="Verdana" w:hAnsi="Verdana" w:eastAsia="Verdana" w:cs="Verdana"/>
          <w:sz w:val="18"/>
          <w:szCs w:val="18"/>
        </w:rPr>
        <w:t xml:space="preserve">vooraf </w:t>
      </w:r>
      <w:r w:rsidRPr="00262341">
        <w:rPr>
          <w:rFonts w:ascii="Verdana" w:hAnsi="Verdana" w:eastAsia="Verdana" w:cs="Verdana"/>
          <w:sz w:val="18"/>
          <w:szCs w:val="18"/>
        </w:rPr>
        <w:t xml:space="preserve">wat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precies van hen verwachten, hoe</w:t>
      </w:r>
      <w:r w:rsidRPr="00262341" w:rsidR="003D503C">
        <w:rPr>
          <w:rFonts w:ascii="Verdana" w:hAnsi="Verdana" w:eastAsia="Verdana" w:cs="Verdana"/>
          <w:sz w:val="18"/>
          <w:szCs w:val="18"/>
        </w:rPr>
        <w:t xml:space="preserve"> </w:t>
      </w:r>
      <w:r w:rsidRPr="00262341">
        <w:rPr>
          <w:rFonts w:ascii="Verdana" w:hAnsi="Verdana" w:eastAsia="Verdana" w:cs="Verdana"/>
          <w:sz w:val="18"/>
          <w:szCs w:val="18"/>
        </w:rPr>
        <w:t xml:space="preserve">lang procedures zullen duren en wat de kosten </w:t>
      </w:r>
      <w:r w:rsidRPr="00262341" w:rsidR="003D503C">
        <w:rPr>
          <w:rFonts w:ascii="Verdana" w:hAnsi="Verdana" w:eastAsia="Verdana" w:cs="Verdana"/>
          <w:sz w:val="18"/>
          <w:szCs w:val="18"/>
        </w:rPr>
        <w:t>zullen zijn</w:t>
      </w:r>
      <w:r w:rsidRPr="00262341">
        <w:rPr>
          <w:rFonts w:ascii="Verdana" w:hAnsi="Verdana" w:eastAsia="Verdana" w:cs="Verdana"/>
          <w:sz w:val="18"/>
          <w:szCs w:val="18"/>
        </w:rPr>
        <w:t xml:space="preserve">. Dit maakt het plannen van productontwikkeling een uitdaging. De Commissie pakt dit aan door meer structuur en transparantie voor te stellen in de interactie tussen fabrikanten 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Door </w:t>
      </w:r>
      <w:r w:rsidRPr="00262341" w:rsidR="00B92840">
        <w:rPr>
          <w:rFonts w:ascii="Verdana" w:hAnsi="Verdana" w:eastAsia="Verdana" w:cs="Verdana"/>
          <w:sz w:val="18"/>
          <w:szCs w:val="18"/>
        </w:rPr>
        <w:t xml:space="preserve">een </w:t>
      </w:r>
      <w:r w:rsidRPr="00262341">
        <w:rPr>
          <w:rFonts w:ascii="Verdana" w:hAnsi="Verdana" w:eastAsia="Verdana" w:cs="Verdana"/>
          <w:sz w:val="18"/>
          <w:szCs w:val="18"/>
        </w:rPr>
        <w:t>vroegtijdige dialoog</w:t>
      </w:r>
      <w:r w:rsidRPr="00262341" w:rsidR="00B92840">
        <w:rPr>
          <w:rFonts w:ascii="Verdana" w:hAnsi="Verdana" w:eastAsia="Verdana" w:cs="Verdana"/>
          <w:sz w:val="18"/>
          <w:szCs w:val="18"/>
        </w:rPr>
        <w:t xml:space="preserve">, </w:t>
      </w:r>
      <w:r w:rsidRPr="00262341" w:rsidR="003D503C">
        <w:rPr>
          <w:rFonts w:ascii="Verdana" w:hAnsi="Verdana" w:eastAsia="Verdana" w:cs="Verdana"/>
          <w:sz w:val="18"/>
          <w:szCs w:val="18"/>
        </w:rPr>
        <w:t xml:space="preserve">de </w:t>
      </w:r>
      <w:r w:rsidRPr="00262341" w:rsidR="00B92840">
        <w:rPr>
          <w:rFonts w:ascii="Verdana" w:hAnsi="Verdana" w:eastAsia="Verdana" w:cs="Verdana"/>
          <w:sz w:val="18"/>
          <w:szCs w:val="18"/>
        </w:rPr>
        <w:t>zogeheten “</w:t>
      </w:r>
      <w:proofErr w:type="spellStart"/>
      <w:r w:rsidRPr="00262341" w:rsidR="00B92840">
        <w:rPr>
          <w:rFonts w:ascii="Verdana" w:hAnsi="Verdana" w:eastAsia="Verdana" w:cs="Verdana"/>
          <w:i/>
          <w:iCs/>
          <w:sz w:val="18"/>
          <w:szCs w:val="18"/>
        </w:rPr>
        <w:t>structured</w:t>
      </w:r>
      <w:proofErr w:type="spellEnd"/>
      <w:r w:rsidRPr="00262341" w:rsidR="00B92840">
        <w:rPr>
          <w:rFonts w:ascii="Verdana" w:hAnsi="Verdana" w:eastAsia="Verdana" w:cs="Verdana"/>
          <w:i/>
          <w:iCs/>
          <w:sz w:val="18"/>
          <w:szCs w:val="18"/>
        </w:rPr>
        <w:t xml:space="preserve"> </w:t>
      </w:r>
      <w:proofErr w:type="spellStart"/>
      <w:r w:rsidRPr="00262341" w:rsidR="00B92840">
        <w:rPr>
          <w:rFonts w:ascii="Verdana" w:hAnsi="Verdana" w:eastAsia="Verdana" w:cs="Verdana"/>
          <w:i/>
          <w:iCs/>
          <w:sz w:val="18"/>
          <w:szCs w:val="18"/>
        </w:rPr>
        <w:t>dialogue</w:t>
      </w:r>
      <w:proofErr w:type="spellEnd"/>
      <w:r w:rsidRPr="00262341" w:rsidR="00B92840">
        <w:rPr>
          <w:rFonts w:ascii="Verdana" w:hAnsi="Verdana" w:eastAsia="Verdana" w:cs="Verdana"/>
          <w:sz w:val="18"/>
          <w:szCs w:val="18"/>
        </w:rPr>
        <w:t>”,</w:t>
      </w:r>
      <w:r w:rsidRPr="00262341">
        <w:rPr>
          <w:rFonts w:ascii="Verdana" w:hAnsi="Verdana" w:eastAsia="Verdana" w:cs="Verdana"/>
          <w:sz w:val="18"/>
          <w:szCs w:val="18"/>
        </w:rPr>
        <w:t xml:space="preserve"> te formaliseren, kunnen fabrikanten al vroeg in het proces helderheid krijgen over</w:t>
      </w:r>
      <w:r w:rsidRPr="00262341" w:rsidDel="00B92840">
        <w:rPr>
          <w:rFonts w:ascii="Verdana" w:hAnsi="Verdana" w:eastAsia="Verdana" w:cs="Verdana"/>
          <w:sz w:val="18"/>
          <w:szCs w:val="18"/>
        </w:rPr>
        <w:t xml:space="preserve"> </w:t>
      </w:r>
      <w:r w:rsidRPr="00262341" w:rsidR="00B92840">
        <w:rPr>
          <w:rFonts w:ascii="Verdana" w:hAnsi="Verdana" w:eastAsia="Verdana" w:cs="Verdana"/>
          <w:sz w:val="18"/>
          <w:szCs w:val="18"/>
        </w:rPr>
        <w:t>de relevante eisen en bijbehorende verwachtingen</w:t>
      </w:r>
      <w:r w:rsidRPr="00262341" w:rsidR="5A0A4E66">
        <w:rPr>
          <w:rFonts w:ascii="Verdana" w:hAnsi="Verdana" w:eastAsia="Verdana" w:cs="Verdana"/>
          <w:sz w:val="18"/>
          <w:szCs w:val="18"/>
        </w:rPr>
        <w:t xml:space="preserve">. </w:t>
      </w:r>
    </w:p>
    <w:p w:rsidRPr="00262341" w:rsidR="00912A22" w:rsidP="00262341" w:rsidRDefault="00912A22" w14:paraId="51C2B8BD" w14:textId="0829768B">
      <w:pPr>
        <w:spacing w:line="360" w:lineRule="auto"/>
        <w:rPr>
          <w:rFonts w:ascii="Verdana" w:hAnsi="Verdana" w:eastAsia="Verdana" w:cs="Verdana"/>
          <w:sz w:val="18"/>
          <w:szCs w:val="18"/>
        </w:rPr>
      </w:pPr>
      <w:r w:rsidRPr="00262341">
        <w:rPr>
          <w:rFonts w:ascii="Verdana" w:hAnsi="Verdana" w:eastAsia="Verdana" w:cs="Verdana"/>
          <w:sz w:val="18"/>
          <w:szCs w:val="18"/>
        </w:rPr>
        <w:lastRenderedPageBreak/>
        <w:t xml:space="preserve">Voor medische hulpmiddelen met </w:t>
      </w:r>
      <w:r w:rsidRPr="00262341" w:rsidR="00B92840">
        <w:rPr>
          <w:rFonts w:ascii="Verdana" w:hAnsi="Verdana" w:eastAsia="Verdana" w:cs="Verdana"/>
          <w:sz w:val="18"/>
          <w:szCs w:val="18"/>
        </w:rPr>
        <w:t xml:space="preserve">een </w:t>
      </w:r>
      <w:r w:rsidRPr="00262341">
        <w:rPr>
          <w:rFonts w:ascii="Verdana" w:hAnsi="Verdana" w:eastAsia="Verdana" w:cs="Verdana"/>
          <w:sz w:val="18"/>
          <w:szCs w:val="18"/>
        </w:rPr>
        <w:t xml:space="preserve">lager risico wordt de betrokkenheid van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verminderd. Ook </w:t>
      </w:r>
      <w:r w:rsidRPr="00262341" w:rsidR="00EF770D">
        <w:rPr>
          <w:rFonts w:ascii="Verdana" w:hAnsi="Verdana" w:eastAsia="Verdana" w:cs="Verdana"/>
          <w:sz w:val="18"/>
          <w:szCs w:val="18"/>
        </w:rPr>
        <w:t>stelt de Commissie voor om</w:t>
      </w:r>
      <w:r w:rsidRPr="00262341" w:rsidR="00EF770D">
        <w:rPr>
          <w:rFonts w:ascii="Verdana" w:hAnsi="Verdana"/>
          <w:sz w:val="18"/>
          <w:szCs w:val="18"/>
        </w:rPr>
        <w:t xml:space="preserve"> au</w:t>
      </w:r>
      <w:r w:rsidRPr="00262341">
        <w:rPr>
          <w:rFonts w:ascii="Verdana" w:hAnsi="Verdana" w:eastAsia="Verdana" w:cs="Verdana"/>
          <w:sz w:val="18"/>
          <w:szCs w:val="18"/>
        </w:rPr>
        <w:t xml:space="preserve">dits op afstand mogelijk </w:t>
      </w:r>
      <w:r w:rsidRPr="00262341" w:rsidR="00EF770D">
        <w:rPr>
          <w:rFonts w:ascii="Verdana" w:hAnsi="Verdana" w:eastAsia="Verdana" w:cs="Verdana"/>
          <w:sz w:val="18"/>
          <w:szCs w:val="18"/>
        </w:rPr>
        <w:t xml:space="preserve">te maken </w:t>
      </w:r>
      <w:r w:rsidRPr="00262341">
        <w:rPr>
          <w:rFonts w:ascii="Verdana" w:hAnsi="Verdana" w:eastAsia="Verdana" w:cs="Verdana"/>
          <w:sz w:val="18"/>
          <w:szCs w:val="18"/>
        </w:rPr>
        <w:t>voor</w:t>
      </w:r>
      <w:r w:rsidRPr="00262341" w:rsidR="00EF770D">
        <w:rPr>
          <w:rFonts w:ascii="Verdana" w:hAnsi="Verdana" w:eastAsia="Verdana" w:cs="Verdana"/>
          <w:sz w:val="18"/>
          <w:szCs w:val="18"/>
        </w:rPr>
        <w:t xml:space="preserve"> </w:t>
      </w:r>
      <w:proofErr w:type="spellStart"/>
      <w:r w:rsidRPr="00262341" w:rsidR="00EF770D">
        <w:rPr>
          <w:rFonts w:ascii="Verdana" w:hAnsi="Verdana" w:eastAsia="Verdana" w:cs="Verdana"/>
          <w:i/>
          <w:sz w:val="18"/>
          <w:szCs w:val="18"/>
        </w:rPr>
        <w:t>notified</w:t>
      </w:r>
      <w:proofErr w:type="spellEnd"/>
      <w:r w:rsidRPr="00262341" w:rsidR="00EF770D">
        <w:rPr>
          <w:rFonts w:ascii="Verdana" w:hAnsi="Verdana" w:eastAsia="Verdana" w:cs="Verdana"/>
          <w:i/>
          <w:sz w:val="18"/>
          <w:szCs w:val="18"/>
        </w:rPr>
        <w:t xml:space="preserve"> </w:t>
      </w:r>
      <w:proofErr w:type="spellStart"/>
      <w:r w:rsidRPr="00262341" w:rsidR="00EF770D">
        <w:rPr>
          <w:rFonts w:ascii="Verdana" w:hAnsi="Verdana" w:eastAsia="Verdana" w:cs="Verdana"/>
          <w:i/>
          <w:sz w:val="18"/>
          <w:szCs w:val="18"/>
        </w:rPr>
        <w:t>bodies</w:t>
      </w:r>
      <w:proofErr w:type="spellEnd"/>
      <w:r w:rsidRPr="00262341">
        <w:rPr>
          <w:rFonts w:ascii="Verdana" w:hAnsi="Verdana" w:eastAsia="Verdana" w:cs="Verdana"/>
          <w:sz w:val="18"/>
          <w:szCs w:val="18"/>
        </w:rPr>
        <w:t xml:space="preserve">, waar audits ter plaatse geen toegevoegde waarde </w:t>
      </w:r>
      <w:r w:rsidRPr="00262341" w:rsidR="003D503C">
        <w:rPr>
          <w:rFonts w:ascii="Verdana" w:hAnsi="Verdana" w:eastAsia="Verdana" w:cs="Verdana"/>
          <w:sz w:val="18"/>
          <w:szCs w:val="18"/>
        </w:rPr>
        <w:t>bieden</w:t>
      </w:r>
      <w:r w:rsidRPr="00262341">
        <w:rPr>
          <w:rFonts w:ascii="Verdana" w:hAnsi="Verdana" w:eastAsia="Verdana" w:cs="Verdana"/>
          <w:sz w:val="18"/>
          <w:szCs w:val="18"/>
        </w:rPr>
        <w:t>, zoals bij softwarebedrijven. Deze voorgestelde maatregelen bespa</w:t>
      </w:r>
      <w:r w:rsidRPr="00262341" w:rsidR="00B92840">
        <w:rPr>
          <w:rFonts w:ascii="Verdana" w:hAnsi="Verdana" w:eastAsia="Verdana" w:cs="Verdana"/>
          <w:sz w:val="18"/>
          <w:szCs w:val="18"/>
        </w:rPr>
        <w:t>ren</w:t>
      </w:r>
      <w:r w:rsidRPr="00262341">
        <w:rPr>
          <w:rFonts w:ascii="Verdana" w:hAnsi="Verdana" w:eastAsia="Verdana" w:cs="Verdana"/>
          <w:sz w:val="18"/>
          <w:szCs w:val="18"/>
        </w:rPr>
        <w:t xml:space="preserve"> zowel fabrikanten als </w:t>
      </w:r>
      <w:proofErr w:type="spellStart"/>
      <w:r w:rsidRPr="00262341" w:rsidR="00B92840">
        <w:rPr>
          <w:rFonts w:ascii="Verdana" w:hAnsi="Verdana" w:eastAsia="Verdana" w:cs="Verdana"/>
          <w:i/>
          <w:sz w:val="18"/>
          <w:szCs w:val="18"/>
        </w:rPr>
        <w:t>notified</w:t>
      </w:r>
      <w:proofErr w:type="spellEnd"/>
      <w:r w:rsidRPr="00262341" w:rsidR="00B92840">
        <w:rPr>
          <w:rFonts w:ascii="Verdana" w:hAnsi="Verdana" w:eastAsia="Verdana" w:cs="Verdana"/>
          <w:i/>
          <w:sz w:val="18"/>
          <w:szCs w:val="18"/>
        </w:rPr>
        <w:t xml:space="preserve"> </w:t>
      </w:r>
      <w:proofErr w:type="spellStart"/>
      <w:r w:rsidRPr="00262341" w:rsidR="00B92840">
        <w:rPr>
          <w:rFonts w:ascii="Verdana" w:hAnsi="Verdana" w:eastAsia="Verdana" w:cs="Verdana"/>
          <w:i/>
          <w:sz w:val="18"/>
          <w:szCs w:val="18"/>
        </w:rPr>
        <w:t>bodies</w:t>
      </w:r>
      <w:proofErr w:type="spellEnd"/>
      <w:r w:rsidRPr="00262341" w:rsidR="00B92840">
        <w:rPr>
          <w:rFonts w:ascii="Verdana" w:hAnsi="Verdana" w:eastAsia="Verdana" w:cs="Verdana"/>
          <w:sz w:val="18"/>
          <w:szCs w:val="18"/>
        </w:rPr>
        <w:t xml:space="preserve"> </w:t>
      </w:r>
      <w:r w:rsidRPr="00262341">
        <w:rPr>
          <w:rFonts w:ascii="Verdana" w:hAnsi="Verdana" w:eastAsia="Verdana" w:cs="Verdana"/>
          <w:sz w:val="18"/>
          <w:szCs w:val="18"/>
        </w:rPr>
        <w:t>kosten en tijd</w:t>
      </w:r>
      <w:r w:rsidRPr="00262341" w:rsidR="003D503C">
        <w:rPr>
          <w:rFonts w:ascii="Verdana" w:hAnsi="Verdana" w:eastAsia="Verdana" w:cs="Verdana"/>
          <w:sz w:val="18"/>
          <w:szCs w:val="18"/>
        </w:rPr>
        <w:t>,</w:t>
      </w:r>
      <w:r w:rsidRPr="00262341">
        <w:rPr>
          <w:rFonts w:ascii="Verdana" w:hAnsi="Verdana" w:eastAsia="Verdana" w:cs="Verdana"/>
          <w:sz w:val="18"/>
          <w:szCs w:val="18"/>
        </w:rPr>
        <w:t xml:space="preserve"> zonder dat dit ten koste gaat van de kwaliteit van </w:t>
      </w:r>
      <w:r w:rsidRPr="00262341" w:rsidR="003D503C">
        <w:rPr>
          <w:rFonts w:ascii="Verdana" w:hAnsi="Verdana" w:eastAsia="Verdana" w:cs="Verdana"/>
          <w:sz w:val="18"/>
          <w:szCs w:val="18"/>
        </w:rPr>
        <w:t xml:space="preserve">de </w:t>
      </w:r>
      <w:r w:rsidRPr="00262341">
        <w:rPr>
          <w:rFonts w:ascii="Verdana" w:hAnsi="Verdana" w:eastAsia="Verdana" w:cs="Verdana"/>
          <w:sz w:val="18"/>
          <w:szCs w:val="18"/>
        </w:rPr>
        <w:t xml:space="preserve">beoordeling. </w:t>
      </w:r>
    </w:p>
    <w:p w:rsidRPr="00262341" w:rsidR="00912A22" w:rsidP="00262341" w:rsidRDefault="00912A22" w14:paraId="3635FA4F" w14:textId="77777777">
      <w:pPr>
        <w:spacing w:line="360" w:lineRule="auto"/>
        <w:rPr>
          <w:rFonts w:ascii="Verdana" w:hAnsi="Verdana" w:eastAsia="Verdana" w:cs="Verdana"/>
          <w:sz w:val="18"/>
          <w:szCs w:val="18"/>
        </w:rPr>
      </w:pPr>
    </w:p>
    <w:p w:rsidRPr="00262341" w:rsidR="00912A22" w:rsidP="00262341" w:rsidRDefault="00912A22" w14:paraId="4FD085C2" w14:textId="0FA157FE">
      <w:pPr>
        <w:spacing w:line="360" w:lineRule="auto"/>
        <w:rPr>
          <w:rFonts w:ascii="Verdana" w:hAnsi="Verdana" w:eastAsia="Verdana" w:cs="Verdana"/>
          <w:sz w:val="18"/>
          <w:szCs w:val="18"/>
        </w:rPr>
      </w:pPr>
      <w:r w:rsidRPr="00262341">
        <w:rPr>
          <w:rFonts w:ascii="Verdana" w:hAnsi="Verdana" w:eastAsia="Verdana" w:cs="Verdana"/>
          <w:sz w:val="18"/>
          <w:szCs w:val="18"/>
        </w:rPr>
        <w:t>Ten vijfde word</w:t>
      </w:r>
      <w:r w:rsidRPr="00262341" w:rsidR="00A4167C">
        <w:rPr>
          <w:rFonts w:ascii="Verdana" w:hAnsi="Verdana" w:eastAsia="Verdana" w:cs="Verdana"/>
          <w:sz w:val="18"/>
          <w:szCs w:val="18"/>
        </w:rPr>
        <w:t>t</w:t>
      </w:r>
      <w:r w:rsidRPr="00262341">
        <w:rPr>
          <w:rFonts w:ascii="Verdana" w:hAnsi="Verdana" w:eastAsia="Verdana" w:cs="Verdana"/>
          <w:sz w:val="18"/>
          <w:szCs w:val="18"/>
        </w:rPr>
        <w:t xml:space="preserve"> de coördinatie binnen het gedecentraliseerde Europese stelsel versterkt. Het komt regelmatig voor dat onduidelijk is of een medisch hulpmiddel moet worden beschouwd als medisch hulpmiddel, geneesmiddel of een andere productcategorie. De huidige procedure voor het bepalen van deze regelgevingsstatus wordt vereenvoudigd met meer betrokkenheid van </w:t>
      </w:r>
      <w:r w:rsidRPr="00262341" w:rsidR="00A4167C">
        <w:rPr>
          <w:rFonts w:ascii="Verdana" w:hAnsi="Verdana" w:eastAsia="Verdana" w:cs="Verdana"/>
          <w:sz w:val="18"/>
          <w:szCs w:val="18"/>
        </w:rPr>
        <w:t>expertpanels</w:t>
      </w:r>
      <w:r w:rsidRPr="00262341" w:rsidR="004D5221">
        <w:rPr>
          <w:rFonts w:ascii="Verdana" w:hAnsi="Verdana" w:eastAsia="Verdana" w:cs="Verdana"/>
          <w:sz w:val="18"/>
          <w:szCs w:val="18"/>
        </w:rPr>
        <w:t>.</w:t>
      </w:r>
      <w:r w:rsidRPr="00262341" w:rsidR="000B4DD1">
        <w:rPr>
          <w:rStyle w:val="FootnoteReference"/>
          <w:rFonts w:ascii="Verdana" w:hAnsi="Verdana" w:eastAsia="Verdana" w:cs="Verdana"/>
          <w:sz w:val="18"/>
          <w:szCs w:val="18"/>
        </w:rPr>
        <w:footnoteReference w:id="6"/>
      </w:r>
      <w:r w:rsidRPr="00262341">
        <w:rPr>
          <w:rFonts w:ascii="Verdana" w:hAnsi="Verdana" w:eastAsia="Verdana" w:cs="Verdana"/>
          <w:sz w:val="18"/>
          <w:szCs w:val="18"/>
        </w:rPr>
        <w:t xml:space="preserve"> Voor de aanwijzing en monitoring van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breidt het voorstel de rol van gezamenlijke beoordelingsteams </w:t>
      </w:r>
      <w:r w:rsidRPr="00262341" w:rsidR="000C4720">
        <w:rPr>
          <w:rFonts w:ascii="Verdana" w:hAnsi="Verdana" w:eastAsia="Verdana" w:cs="Verdana"/>
          <w:sz w:val="18"/>
          <w:szCs w:val="18"/>
        </w:rPr>
        <w:t xml:space="preserve">(teams bestaande uit experts uit lidstaten en de Commissie, </w:t>
      </w:r>
      <w:r w:rsidRPr="00262341" w:rsidR="000774FF">
        <w:rPr>
          <w:rFonts w:ascii="Verdana" w:hAnsi="Verdana" w:eastAsia="Verdana" w:cs="Verdana"/>
          <w:sz w:val="18"/>
          <w:szCs w:val="18"/>
        </w:rPr>
        <w:t xml:space="preserve">ook wel </w:t>
      </w:r>
      <w:r w:rsidRPr="00262341" w:rsidR="000C4720">
        <w:rPr>
          <w:rFonts w:ascii="Verdana" w:hAnsi="Verdana" w:eastAsia="Verdana" w:cs="Verdana"/>
          <w:i/>
          <w:iCs/>
          <w:sz w:val="18"/>
          <w:szCs w:val="18"/>
        </w:rPr>
        <w:t>joint assessment teams</w:t>
      </w:r>
      <w:r w:rsidRPr="00262341" w:rsidR="000774FF">
        <w:rPr>
          <w:rFonts w:ascii="Verdana" w:hAnsi="Verdana" w:eastAsia="Verdana" w:cs="Verdana"/>
          <w:sz w:val="18"/>
          <w:szCs w:val="18"/>
        </w:rPr>
        <w:t xml:space="preserve"> genoemd,</w:t>
      </w:r>
      <w:r w:rsidRPr="00262341" w:rsidR="000C4720">
        <w:rPr>
          <w:rFonts w:ascii="Verdana" w:hAnsi="Verdana" w:eastAsia="Verdana" w:cs="Verdana"/>
          <w:sz w:val="18"/>
          <w:szCs w:val="18"/>
        </w:rPr>
        <w:t xml:space="preserve"> hierna: JAT) </w:t>
      </w:r>
      <w:r w:rsidRPr="00262341">
        <w:rPr>
          <w:rFonts w:ascii="Verdana" w:hAnsi="Verdana" w:eastAsia="Verdana" w:cs="Verdana"/>
          <w:sz w:val="18"/>
          <w:szCs w:val="18"/>
        </w:rPr>
        <w:t xml:space="preserve">uit </w:t>
      </w:r>
      <w:r w:rsidRPr="00262341" w:rsidR="0055288A">
        <w:rPr>
          <w:rFonts w:ascii="Verdana" w:hAnsi="Verdana" w:eastAsia="Verdana" w:cs="Verdana"/>
          <w:sz w:val="18"/>
          <w:szCs w:val="18"/>
        </w:rPr>
        <w:t>om</w:t>
      </w:r>
      <w:r w:rsidRPr="00262341">
        <w:rPr>
          <w:rFonts w:ascii="Verdana" w:hAnsi="Verdana" w:eastAsia="Verdana" w:cs="Verdana"/>
          <w:sz w:val="18"/>
          <w:szCs w:val="18"/>
        </w:rPr>
        <w:t xml:space="preserve"> de </w:t>
      </w:r>
      <w:r w:rsidRPr="00262341" w:rsidR="00D42A02">
        <w:rPr>
          <w:rFonts w:ascii="Verdana" w:hAnsi="Verdana" w:eastAsia="Verdana" w:cs="Verdana"/>
          <w:sz w:val="18"/>
          <w:szCs w:val="18"/>
        </w:rPr>
        <w:t>harmonisatie</w:t>
      </w:r>
      <w:r w:rsidRPr="00262341" w:rsidR="00EF770D">
        <w:rPr>
          <w:rFonts w:ascii="Verdana" w:hAnsi="Verdana" w:eastAsia="Verdana" w:cs="Verdana"/>
          <w:sz w:val="18"/>
          <w:szCs w:val="18"/>
        </w:rPr>
        <w:t xml:space="preserve"> tussen lidstaten</w:t>
      </w:r>
      <w:r w:rsidRPr="00262341" w:rsidR="0055288A">
        <w:rPr>
          <w:rFonts w:ascii="Verdana" w:hAnsi="Verdana" w:eastAsia="Verdana" w:cs="Verdana"/>
          <w:sz w:val="18"/>
          <w:szCs w:val="18"/>
        </w:rPr>
        <w:t xml:space="preserve"> te bevorderen</w:t>
      </w:r>
      <w:r w:rsidRPr="00262341">
        <w:rPr>
          <w:rFonts w:ascii="Verdana" w:hAnsi="Verdana" w:eastAsia="Verdana" w:cs="Verdana"/>
          <w:sz w:val="18"/>
          <w:szCs w:val="18"/>
        </w:rPr>
        <w:t>. De autoriteit die verantwoordelijk is voor een</w:t>
      </w:r>
      <w:r w:rsidRPr="00262341" w:rsidR="000755FF">
        <w:rPr>
          <w:rFonts w:ascii="Verdana" w:hAnsi="Verdana" w:eastAsia="Verdana" w:cs="Verdana"/>
          <w:sz w:val="18"/>
          <w:szCs w:val="18"/>
        </w:rPr>
        <w:t xml:space="preserv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krijgt </w:t>
      </w:r>
      <w:r w:rsidRPr="00262341" w:rsidR="00D42A02">
        <w:rPr>
          <w:rFonts w:ascii="Verdana" w:hAnsi="Verdana" w:eastAsia="Verdana" w:cs="Verdana"/>
          <w:sz w:val="18"/>
          <w:szCs w:val="18"/>
        </w:rPr>
        <w:t xml:space="preserve">daarnaast </w:t>
      </w:r>
      <w:r w:rsidRPr="00262341">
        <w:rPr>
          <w:rFonts w:ascii="Verdana" w:hAnsi="Verdana" w:eastAsia="Verdana" w:cs="Verdana"/>
          <w:sz w:val="18"/>
          <w:szCs w:val="18"/>
        </w:rPr>
        <w:t xml:space="preserve">een ombudsmanrol bij geschillen tussen die </w:t>
      </w:r>
      <w:proofErr w:type="spellStart"/>
      <w:r w:rsidRPr="00262341" w:rsidR="00B939F3">
        <w:rPr>
          <w:rFonts w:ascii="Verdana" w:hAnsi="Verdana" w:eastAsia="Verdana" w:cs="Verdana"/>
          <w:i/>
          <w:sz w:val="18"/>
          <w:szCs w:val="18"/>
        </w:rPr>
        <w:t>notified</w:t>
      </w:r>
      <w:proofErr w:type="spellEnd"/>
      <w:r w:rsidRPr="00262341" w:rsidR="00B939F3">
        <w:rPr>
          <w:rFonts w:ascii="Verdana" w:hAnsi="Verdana" w:eastAsia="Verdana" w:cs="Verdana"/>
          <w:i/>
          <w:sz w:val="18"/>
          <w:szCs w:val="18"/>
        </w:rPr>
        <w:t xml:space="preserve"> body</w:t>
      </w:r>
      <w:r w:rsidRPr="00262341" w:rsidR="00B939F3">
        <w:rPr>
          <w:rFonts w:ascii="Verdana" w:hAnsi="Verdana" w:eastAsia="Verdana" w:cs="Verdana"/>
          <w:sz w:val="18"/>
          <w:szCs w:val="18"/>
        </w:rPr>
        <w:t xml:space="preserve"> </w:t>
      </w:r>
      <w:r w:rsidRPr="00262341">
        <w:rPr>
          <w:rFonts w:ascii="Verdana" w:hAnsi="Verdana" w:eastAsia="Verdana" w:cs="Verdana"/>
          <w:sz w:val="18"/>
          <w:szCs w:val="18"/>
        </w:rPr>
        <w:t xml:space="preserve">en fabrikanten. </w:t>
      </w:r>
      <w:r w:rsidRPr="00262341" w:rsidR="00D42A02">
        <w:rPr>
          <w:rFonts w:ascii="Verdana" w:hAnsi="Verdana" w:eastAsia="Verdana" w:cs="Verdana"/>
          <w:sz w:val="18"/>
          <w:szCs w:val="18"/>
        </w:rPr>
        <w:t>Ook stelt de Commissie voor h</w:t>
      </w:r>
      <w:r w:rsidRPr="00262341">
        <w:rPr>
          <w:rFonts w:ascii="Verdana" w:hAnsi="Verdana" w:eastAsia="Verdana" w:cs="Verdana"/>
          <w:sz w:val="18"/>
          <w:szCs w:val="18"/>
        </w:rPr>
        <w:t>et Europees Geneesmiddelenbureau</w:t>
      </w:r>
      <w:r w:rsidRPr="00262341" w:rsidR="00A4167C">
        <w:rPr>
          <w:rFonts w:ascii="Verdana" w:hAnsi="Verdana" w:eastAsia="Verdana" w:cs="Verdana"/>
          <w:sz w:val="18"/>
          <w:szCs w:val="18"/>
        </w:rPr>
        <w:t xml:space="preserve"> (hierna: EMA) </w:t>
      </w:r>
      <w:r w:rsidRPr="00262341">
        <w:rPr>
          <w:rFonts w:ascii="Verdana" w:hAnsi="Verdana" w:eastAsia="Verdana" w:cs="Verdana"/>
          <w:sz w:val="18"/>
          <w:szCs w:val="18"/>
        </w:rPr>
        <w:t xml:space="preserve">een formeel mandaat te geven </w:t>
      </w:r>
      <w:r w:rsidRPr="00262341" w:rsidR="0055288A">
        <w:rPr>
          <w:rFonts w:ascii="Verdana" w:hAnsi="Verdana" w:eastAsia="Verdana" w:cs="Verdana"/>
          <w:sz w:val="18"/>
          <w:szCs w:val="18"/>
        </w:rPr>
        <w:t xml:space="preserve">ter </w:t>
      </w:r>
      <w:r w:rsidRPr="00262341">
        <w:rPr>
          <w:rFonts w:ascii="Verdana" w:hAnsi="Verdana" w:eastAsia="Verdana" w:cs="Verdana"/>
          <w:sz w:val="18"/>
          <w:szCs w:val="18"/>
        </w:rPr>
        <w:t>ondersteuning van de coördinatie tussen nationale autoriteiten</w:t>
      </w:r>
      <w:r w:rsidRPr="00262341" w:rsidR="0055288A">
        <w:rPr>
          <w:rFonts w:ascii="Verdana" w:hAnsi="Verdana" w:eastAsia="Verdana" w:cs="Verdana"/>
          <w:sz w:val="18"/>
          <w:szCs w:val="18"/>
        </w:rPr>
        <w:t>,</w:t>
      </w:r>
      <w:r w:rsidRPr="00262341" w:rsidR="00D42A02">
        <w:rPr>
          <w:rFonts w:ascii="Verdana" w:hAnsi="Verdana" w:eastAsia="Verdana" w:cs="Verdana"/>
          <w:sz w:val="18"/>
          <w:szCs w:val="18"/>
        </w:rPr>
        <w:t xml:space="preserve"> en</w:t>
      </w:r>
      <w:r w:rsidRPr="00262341">
        <w:rPr>
          <w:rFonts w:ascii="Verdana" w:hAnsi="Verdana" w:eastAsia="Verdana" w:cs="Verdana"/>
          <w:sz w:val="18"/>
          <w:szCs w:val="18"/>
        </w:rPr>
        <w:t xml:space="preserve"> </w:t>
      </w:r>
      <w:r w:rsidRPr="00262341" w:rsidR="00D42A02">
        <w:rPr>
          <w:rFonts w:ascii="Verdana" w:hAnsi="Verdana" w:eastAsia="Verdana" w:cs="Verdana"/>
          <w:sz w:val="18"/>
          <w:szCs w:val="18"/>
        </w:rPr>
        <w:t>wordt</w:t>
      </w:r>
      <w:r w:rsidRPr="00262341">
        <w:rPr>
          <w:rFonts w:ascii="Verdana" w:hAnsi="Verdana" w:eastAsia="Verdana" w:cs="Verdana"/>
          <w:sz w:val="18"/>
          <w:szCs w:val="18"/>
        </w:rPr>
        <w:t xml:space="preserve"> de rol van </w:t>
      </w:r>
      <w:r w:rsidRPr="00262341" w:rsidR="00B410D3">
        <w:rPr>
          <w:rFonts w:ascii="Verdana" w:hAnsi="Verdana" w:eastAsia="Verdana" w:cs="Verdana"/>
          <w:sz w:val="18"/>
          <w:szCs w:val="18"/>
        </w:rPr>
        <w:t>het</w:t>
      </w:r>
      <w:r w:rsidRPr="00262341">
        <w:rPr>
          <w:rFonts w:ascii="Verdana" w:hAnsi="Verdana" w:eastAsia="Verdana" w:cs="Verdana"/>
          <w:sz w:val="18"/>
          <w:szCs w:val="18"/>
        </w:rPr>
        <w:t xml:space="preserve"> EMA uitgebreid.</w:t>
      </w:r>
    </w:p>
    <w:p w:rsidRPr="00262341" w:rsidR="00912A22" w:rsidP="00262341" w:rsidRDefault="00912A22" w14:paraId="0DA8543F" w14:textId="77777777">
      <w:pPr>
        <w:spacing w:line="360" w:lineRule="auto"/>
        <w:rPr>
          <w:rFonts w:ascii="Verdana" w:hAnsi="Verdana" w:eastAsia="Verdana" w:cs="Verdana"/>
          <w:sz w:val="18"/>
          <w:szCs w:val="18"/>
        </w:rPr>
      </w:pPr>
    </w:p>
    <w:p w:rsidRPr="00262341" w:rsidR="00912A22" w:rsidP="00262341" w:rsidRDefault="6E0DAAEF" w14:paraId="0DB4B687" w14:textId="2B20BC0C">
      <w:pPr>
        <w:spacing w:line="360" w:lineRule="auto"/>
        <w:rPr>
          <w:rFonts w:ascii="Verdana" w:hAnsi="Verdana" w:eastAsia="Verdana" w:cs="Verdana"/>
          <w:sz w:val="18"/>
          <w:szCs w:val="18"/>
        </w:rPr>
      </w:pPr>
      <w:r w:rsidRPr="00262341">
        <w:rPr>
          <w:rFonts w:ascii="Verdana" w:hAnsi="Verdana" w:eastAsia="Verdana" w:cs="Verdana"/>
          <w:sz w:val="18"/>
          <w:szCs w:val="18"/>
        </w:rPr>
        <w:t xml:space="preserve">Ten zesde zet het voorstel in op digitalisering. Momenteel leidt beperkte digitalisering van processen tot inefficiëntie: documenten moeten meerdere keren worden ingediend, informatie raakt zoek tussen verschillende systemen, en wetgevers hebben geen actueel overzicht van wat er op de markt beschikbaar is. De Europese databank voor medische hulpmiddelen (hierna: </w:t>
      </w:r>
      <w:r w:rsidRPr="00262341">
        <w:rPr>
          <w:rFonts w:ascii="Verdana" w:hAnsi="Verdana" w:eastAsia="Verdana" w:cs="Verdana"/>
          <w:iCs/>
          <w:sz w:val="18"/>
          <w:szCs w:val="18"/>
        </w:rPr>
        <w:t>EUDAMED</w:t>
      </w:r>
      <w:r w:rsidRPr="00262341">
        <w:rPr>
          <w:rFonts w:ascii="Verdana" w:hAnsi="Verdana" w:eastAsia="Verdana" w:cs="Verdana"/>
          <w:sz w:val="18"/>
          <w:szCs w:val="18"/>
        </w:rPr>
        <w:t xml:space="preserve">), die voor dit doeleinde is opgezet, is nog niet volledig functioneel. De Commissie beoogt daarom enkele inefficiënties in het systeem weg te nemen. </w:t>
      </w:r>
      <w:r w:rsidRPr="00262341" w:rsidR="0055288A">
        <w:rPr>
          <w:rFonts w:ascii="Verdana" w:hAnsi="Verdana" w:eastAsia="Verdana" w:cs="Verdana"/>
          <w:sz w:val="18"/>
          <w:szCs w:val="18"/>
        </w:rPr>
        <w:t>EU-conformiteitsverklaringen</w:t>
      </w:r>
      <w:r w:rsidRPr="00262341">
        <w:rPr>
          <w:rFonts w:ascii="Verdana" w:hAnsi="Verdana" w:eastAsia="Verdana" w:cs="Verdana"/>
          <w:sz w:val="18"/>
          <w:szCs w:val="18"/>
        </w:rPr>
        <w:t xml:space="preserve"> en bepaalde etiketinformatie mogen digitaal beschikbaar </w:t>
      </w:r>
      <w:r w:rsidRPr="00262341" w:rsidR="0055288A">
        <w:rPr>
          <w:rFonts w:ascii="Verdana" w:hAnsi="Verdana" w:eastAsia="Verdana" w:cs="Verdana"/>
          <w:sz w:val="18"/>
          <w:szCs w:val="18"/>
        </w:rPr>
        <w:t xml:space="preserve">worden </w:t>
      </w:r>
      <w:r w:rsidRPr="00262341">
        <w:rPr>
          <w:rFonts w:ascii="Verdana" w:hAnsi="Verdana" w:eastAsia="Verdana" w:cs="Verdana"/>
          <w:sz w:val="18"/>
          <w:szCs w:val="18"/>
        </w:rPr>
        <w:t>gesteld op basis van nog vast te stellen regels, waar nu fysieke beschikbaarheid vaak verplicht is. Ook stelt de Commissie voor dat indiening en opstelling van informatie bij onder andere autoriteiten elektronisch moet</w:t>
      </w:r>
      <w:r w:rsidRPr="00262341" w:rsidR="0055288A">
        <w:rPr>
          <w:rFonts w:ascii="Verdana" w:hAnsi="Verdana" w:eastAsia="Verdana" w:cs="Verdana"/>
          <w:sz w:val="18"/>
          <w:szCs w:val="18"/>
        </w:rPr>
        <w:t>en</w:t>
      </w:r>
      <w:r w:rsidRPr="00262341">
        <w:rPr>
          <w:rFonts w:ascii="Verdana" w:hAnsi="Verdana" w:eastAsia="Verdana" w:cs="Verdana"/>
          <w:sz w:val="18"/>
          <w:szCs w:val="18"/>
        </w:rPr>
        <w:t xml:space="preserve"> gebeuren. Voor online verkoop van hulpmiddelen is het voorstel essentiële informatie en toegang tot de gebruiksaanwijzing te versterken op het moment van aankoop. Het voorstel introduceert een nieuwe verplichting zodat fabrikanten </w:t>
      </w:r>
      <w:r w:rsidRPr="00262341" w:rsidR="0055288A">
        <w:rPr>
          <w:rFonts w:ascii="Verdana" w:hAnsi="Verdana" w:eastAsia="Verdana" w:cs="Verdana"/>
          <w:sz w:val="18"/>
          <w:szCs w:val="18"/>
        </w:rPr>
        <w:t xml:space="preserve">voortaan ook </w:t>
      </w:r>
      <w:r w:rsidRPr="00262341">
        <w:rPr>
          <w:rFonts w:ascii="Verdana" w:hAnsi="Verdana" w:eastAsia="Verdana" w:cs="Verdana"/>
          <w:sz w:val="18"/>
          <w:szCs w:val="18"/>
        </w:rPr>
        <w:t xml:space="preserve">cybersecurity-incidenten moeten melden in EUDAMED, </w:t>
      </w:r>
      <w:r w:rsidRPr="00262341" w:rsidR="0055288A">
        <w:rPr>
          <w:rFonts w:ascii="Verdana" w:hAnsi="Verdana" w:eastAsia="Verdana" w:cs="Verdana"/>
          <w:sz w:val="18"/>
          <w:szCs w:val="18"/>
        </w:rPr>
        <w:t xml:space="preserve">omdat </w:t>
      </w:r>
      <w:r w:rsidRPr="00262341">
        <w:rPr>
          <w:rFonts w:ascii="Verdana" w:hAnsi="Verdana" w:eastAsia="Verdana" w:cs="Verdana"/>
          <w:sz w:val="18"/>
          <w:szCs w:val="18"/>
        </w:rPr>
        <w:t xml:space="preserve">medische hulpmiddelen steeds vaker software bevatten. </w:t>
      </w:r>
    </w:p>
    <w:p w:rsidRPr="00262341" w:rsidR="00912A22" w:rsidP="00262341" w:rsidRDefault="00912A22" w14:paraId="68CB1103" w14:textId="77777777">
      <w:pPr>
        <w:spacing w:line="360" w:lineRule="auto"/>
        <w:rPr>
          <w:rFonts w:ascii="Verdana" w:hAnsi="Verdana" w:eastAsia="Verdana" w:cs="Verdana"/>
          <w:sz w:val="18"/>
          <w:szCs w:val="18"/>
        </w:rPr>
      </w:pPr>
    </w:p>
    <w:p w:rsidR="00574F02" w:rsidP="00262341" w:rsidRDefault="43B7FD55" w14:paraId="286D4873" w14:textId="77777777">
      <w:pPr>
        <w:spacing w:line="360" w:lineRule="auto"/>
        <w:rPr>
          <w:rFonts w:ascii="Verdana" w:hAnsi="Verdana" w:eastAsia="Verdana" w:cs="Verdana"/>
          <w:sz w:val="18"/>
          <w:szCs w:val="18"/>
        </w:rPr>
      </w:pPr>
      <w:r w:rsidRPr="00262341">
        <w:rPr>
          <w:rFonts w:ascii="Verdana" w:hAnsi="Verdana" w:eastAsia="Verdana" w:cs="Verdana"/>
          <w:sz w:val="18"/>
          <w:szCs w:val="18"/>
        </w:rPr>
        <w:t>Ten zevende bevordert het voorstel internationale samenwerking. Veel medische hulpmiddelen worden wereldwijd verkocht</w:t>
      </w:r>
      <w:r w:rsidRPr="00262341" w:rsidR="0055288A">
        <w:rPr>
          <w:rFonts w:ascii="Verdana" w:hAnsi="Verdana" w:eastAsia="Verdana" w:cs="Verdana"/>
          <w:sz w:val="18"/>
          <w:szCs w:val="18"/>
        </w:rPr>
        <w:t>. F</w:t>
      </w:r>
      <w:r w:rsidRPr="00262341">
        <w:rPr>
          <w:rFonts w:ascii="Verdana" w:hAnsi="Verdana" w:eastAsia="Verdana" w:cs="Verdana"/>
          <w:sz w:val="18"/>
          <w:szCs w:val="18"/>
        </w:rPr>
        <w:t xml:space="preserve">abrikanten moeten </w:t>
      </w:r>
      <w:r w:rsidRPr="00262341" w:rsidR="0055288A">
        <w:rPr>
          <w:rFonts w:ascii="Verdana" w:hAnsi="Verdana" w:eastAsia="Verdana" w:cs="Verdana"/>
          <w:sz w:val="18"/>
          <w:szCs w:val="18"/>
        </w:rPr>
        <w:t xml:space="preserve">daarom </w:t>
      </w:r>
      <w:r w:rsidRPr="00262341">
        <w:rPr>
          <w:rFonts w:ascii="Verdana" w:hAnsi="Verdana" w:eastAsia="Verdana" w:cs="Verdana"/>
          <w:sz w:val="18"/>
          <w:szCs w:val="18"/>
        </w:rPr>
        <w:t xml:space="preserve">voldoen aan eisen </w:t>
      </w:r>
      <w:r w:rsidRPr="00262341" w:rsidR="0055288A">
        <w:rPr>
          <w:rFonts w:ascii="Verdana" w:hAnsi="Verdana" w:eastAsia="Verdana" w:cs="Verdana"/>
          <w:sz w:val="18"/>
          <w:szCs w:val="18"/>
        </w:rPr>
        <w:t xml:space="preserve">van </w:t>
      </w:r>
      <w:r w:rsidRPr="00262341">
        <w:rPr>
          <w:rFonts w:ascii="Verdana" w:hAnsi="Verdana" w:eastAsia="Verdana" w:cs="Verdana"/>
          <w:sz w:val="18"/>
          <w:szCs w:val="18"/>
        </w:rPr>
        <w:t>verschillende landen</w:t>
      </w:r>
      <w:r w:rsidRPr="00262341" w:rsidR="0055288A">
        <w:rPr>
          <w:rFonts w:ascii="Verdana" w:hAnsi="Verdana" w:eastAsia="Verdana" w:cs="Verdana"/>
          <w:sz w:val="18"/>
          <w:szCs w:val="18"/>
        </w:rPr>
        <w:t>,</w:t>
      </w:r>
      <w:r w:rsidRPr="00262341">
        <w:rPr>
          <w:rFonts w:ascii="Verdana" w:hAnsi="Verdana" w:eastAsia="Verdana" w:cs="Verdana"/>
          <w:sz w:val="18"/>
          <w:szCs w:val="18"/>
        </w:rPr>
        <w:t xml:space="preserve"> en dezelfde fabriek </w:t>
      </w:r>
      <w:r w:rsidRPr="00262341" w:rsidR="0055288A">
        <w:rPr>
          <w:rFonts w:ascii="Verdana" w:hAnsi="Verdana" w:eastAsia="Verdana" w:cs="Verdana"/>
          <w:sz w:val="18"/>
          <w:szCs w:val="18"/>
        </w:rPr>
        <w:t xml:space="preserve">wordt vaak </w:t>
      </w:r>
      <w:r w:rsidRPr="00262341">
        <w:rPr>
          <w:rFonts w:ascii="Verdana" w:hAnsi="Verdana" w:eastAsia="Verdana" w:cs="Verdana"/>
          <w:sz w:val="18"/>
          <w:szCs w:val="18"/>
        </w:rPr>
        <w:t xml:space="preserve">geïnspecteerd door verschillende autoriteiten die </w:t>
      </w:r>
      <w:r w:rsidRPr="00262341" w:rsidR="0055288A">
        <w:rPr>
          <w:rFonts w:ascii="Verdana" w:hAnsi="Verdana" w:eastAsia="Verdana" w:cs="Verdana"/>
          <w:sz w:val="18"/>
          <w:szCs w:val="18"/>
        </w:rPr>
        <w:t>elk op hun eigen manier</w:t>
      </w:r>
      <w:r w:rsidRPr="00262341" w:rsidR="00883C64">
        <w:rPr>
          <w:rFonts w:ascii="Verdana" w:hAnsi="Verdana" w:eastAsia="Verdana" w:cs="Verdana"/>
          <w:sz w:val="18"/>
          <w:szCs w:val="18"/>
        </w:rPr>
        <w:t xml:space="preserve"> </w:t>
      </w:r>
      <w:r w:rsidRPr="00262341">
        <w:rPr>
          <w:rFonts w:ascii="Verdana" w:hAnsi="Verdana" w:eastAsia="Verdana" w:cs="Verdana"/>
          <w:sz w:val="18"/>
          <w:szCs w:val="18"/>
        </w:rPr>
        <w:t xml:space="preserve">toezicht houden. Dit leidt tot onnodige duplicatie van documentatie, audits en kosten. Door actiever deel te nemen aan internationale initiatieven en de mogelijkheid te creëren om regelgevingsbeslissingen van vertrouwde derde landen te erkennen, beoogt de Commissie duplicatie te verminderen. </w:t>
      </w:r>
    </w:p>
    <w:p w:rsidRPr="00262341" w:rsidR="00912A22" w:rsidDel="23947165" w:rsidP="00262341" w:rsidRDefault="43B7FD55" w14:paraId="41828583" w14:textId="00ED3DEC">
      <w:pPr>
        <w:spacing w:line="360" w:lineRule="auto"/>
        <w:rPr>
          <w:rFonts w:ascii="Verdana" w:hAnsi="Verdana" w:eastAsia="Verdana" w:cs="Verdana"/>
          <w:sz w:val="18"/>
          <w:szCs w:val="18"/>
        </w:rPr>
      </w:pPr>
      <w:r w:rsidRPr="00262341">
        <w:rPr>
          <w:rFonts w:ascii="Verdana" w:hAnsi="Verdana" w:eastAsia="Verdana" w:cs="Verdana"/>
          <w:sz w:val="18"/>
          <w:szCs w:val="18"/>
        </w:rPr>
        <w:lastRenderedPageBreak/>
        <w:t xml:space="preserve">De Commissie en </w:t>
      </w:r>
      <w:r w:rsidRPr="00262341" w:rsidR="0055288A">
        <w:rPr>
          <w:rFonts w:ascii="Verdana" w:hAnsi="Verdana" w:eastAsia="Verdana" w:cs="Verdana"/>
          <w:sz w:val="18"/>
          <w:szCs w:val="18"/>
        </w:rPr>
        <w:t xml:space="preserve">de </w:t>
      </w:r>
      <w:r w:rsidRPr="00262341">
        <w:rPr>
          <w:rFonts w:ascii="Verdana" w:hAnsi="Verdana" w:eastAsia="Verdana" w:cs="Verdana"/>
          <w:sz w:val="18"/>
          <w:szCs w:val="18"/>
        </w:rPr>
        <w:t xml:space="preserve">lidstaten worden aangemoedigd deel te nemen aan mondiale regelgevingsconvergentie via het </w:t>
      </w:r>
      <w:r w:rsidRPr="00262341">
        <w:rPr>
          <w:rFonts w:ascii="Verdana" w:hAnsi="Verdana" w:eastAsia="Verdana" w:cs="Verdana"/>
          <w:i/>
          <w:iCs/>
          <w:sz w:val="18"/>
          <w:szCs w:val="18"/>
        </w:rPr>
        <w:t xml:space="preserve">International </w:t>
      </w:r>
      <w:proofErr w:type="spellStart"/>
      <w:r w:rsidRPr="00262341">
        <w:rPr>
          <w:rFonts w:ascii="Verdana" w:hAnsi="Verdana" w:eastAsia="Verdana" w:cs="Verdana"/>
          <w:i/>
          <w:iCs/>
          <w:sz w:val="18"/>
          <w:szCs w:val="18"/>
        </w:rPr>
        <w:t>Medical</w:t>
      </w:r>
      <w:proofErr w:type="spellEnd"/>
      <w:r w:rsidRPr="00262341">
        <w:rPr>
          <w:rFonts w:ascii="Verdana" w:hAnsi="Verdana" w:eastAsia="Verdana" w:cs="Verdana"/>
          <w:i/>
          <w:iCs/>
          <w:sz w:val="18"/>
          <w:szCs w:val="18"/>
        </w:rPr>
        <w:t xml:space="preserve"> Device Regulators Forum</w:t>
      </w:r>
      <w:r w:rsidRPr="00262341">
        <w:rPr>
          <w:rFonts w:ascii="Verdana" w:hAnsi="Verdana" w:eastAsia="Verdana" w:cs="Verdana"/>
          <w:sz w:val="18"/>
          <w:szCs w:val="18"/>
        </w:rPr>
        <w:t xml:space="preserve"> (IMDRF) en het </w:t>
      </w:r>
      <w:proofErr w:type="spellStart"/>
      <w:r w:rsidRPr="00262341">
        <w:rPr>
          <w:rFonts w:ascii="Verdana" w:hAnsi="Verdana" w:eastAsia="Verdana" w:cs="Verdana"/>
          <w:i/>
          <w:iCs/>
          <w:sz w:val="18"/>
          <w:szCs w:val="18"/>
        </w:rPr>
        <w:t>Medical</w:t>
      </w:r>
      <w:proofErr w:type="spellEnd"/>
      <w:r w:rsidRPr="00262341">
        <w:rPr>
          <w:rFonts w:ascii="Verdana" w:hAnsi="Verdana" w:eastAsia="Verdana" w:cs="Verdana"/>
          <w:i/>
          <w:iCs/>
          <w:sz w:val="18"/>
          <w:szCs w:val="18"/>
        </w:rPr>
        <w:t xml:space="preserve"> Device Single Audit Programme</w:t>
      </w:r>
      <w:r w:rsidRPr="00262341">
        <w:rPr>
          <w:rFonts w:ascii="Verdana" w:hAnsi="Verdana" w:eastAsia="Verdana" w:cs="Verdana"/>
          <w:sz w:val="18"/>
          <w:szCs w:val="18"/>
        </w:rPr>
        <w:t xml:space="preserve"> (MDSAP)</w:t>
      </w:r>
      <w:r w:rsidRPr="00262341" w:rsidR="0055288A">
        <w:rPr>
          <w:rFonts w:ascii="Verdana" w:hAnsi="Verdana" w:eastAsia="Verdana" w:cs="Verdana"/>
          <w:sz w:val="18"/>
          <w:szCs w:val="18"/>
        </w:rPr>
        <w:t>,</w:t>
      </w:r>
      <w:r w:rsidRPr="00262341">
        <w:rPr>
          <w:rFonts w:ascii="Verdana" w:hAnsi="Verdana" w:eastAsia="Verdana" w:cs="Verdana"/>
          <w:sz w:val="18"/>
          <w:szCs w:val="18"/>
        </w:rPr>
        <w:t xml:space="preserve"> dat zich richt op </w:t>
      </w:r>
      <w:r w:rsidRPr="00262341" w:rsidR="000513D7">
        <w:rPr>
          <w:rFonts w:ascii="Verdana" w:hAnsi="Verdana" w:eastAsia="Verdana" w:cs="Verdana"/>
          <w:sz w:val="18"/>
          <w:szCs w:val="18"/>
        </w:rPr>
        <w:t xml:space="preserve">de </w:t>
      </w:r>
      <w:r w:rsidRPr="00262341">
        <w:rPr>
          <w:rFonts w:ascii="Verdana" w:hAnsi="Verdana" w:eastAsia="Verdana" w:cs="Verdana"/>
          <w:sz w:val="18"/>
          <w:szCs w:val="18"/>
        </w:rPr>
        <w:t>harmonisatie van audits.</w:t>
      </w:r>
    </w:p>
    <w:p w:rsidRPr="00262341" w:rsidR="195F6D27" w:rsidP="00262341" w:rsidRDefault="195F6D27" w14:paraId="22E3440A" w14:textId="673525DD">
      <w:pPr>
        <w:spacing w:line="360" w:lineRule="auto"/>
        <w:rPr>
          <w:rFonts w:ascii="Verdana" w:hAnsi="Verdana" w:eastAsia="Verdana" w:cs="Verdana"/>
          <w:sz w:val="18"/>
          <w:szCs w:val="18"/>
        </w:rPr>
      </w:pPr>
    </w:p>
    <w:p w:rsidRPr="00262341" w:rsidR="00912A22" w:rsidP="00262341" w:rsidRDefault="6F0DCD31" w14:paraId="45D2FC3C" w14:textId="232FE5EF">
      <w:pPr>
        <w:spacing w:line="360" w:lineRule="auto"/>
        <w:rPr>
          <w:rFonts w:ascii="Verdana" w:hAnsi="Verdana" w:eastAsia="Verdana" w:cs="Verdana"/>
          <w:sz w:val="18"/>
          <w:szCs w:val="18"/>
        </w:rPr>
      </w:pPr>
      <w:r w:rsidRPr="00262341">
        <w:rPr>
          <w:rFonts w:ascii="Verdana" w:hAnsi="Verdana" w:eastAsia="Verdana" w:cs="Verdana"/>
          <w:sz w:val="18"/>
          <w:szCs w:val="18"/>
        </w:rPr>
        <w:t xml:space="preserve">Ten achtste beoogt het voorstel betere samenhang </w:t>
      </w:r>
      <w:r w:rsidRPr="00262341" w:rsidR="000513D7">
        <w:rPr>
          <w:rFonts w:ascii="Verdana" w:hAnsi="Verdana" w:eastAsia="Verdana" w:cs="Verdana"/>
          <w:sz w:val="18"/>
          <w:szCs w:val="18"/>
        </w:rPr>
        <w:t xml:space="preserve">te creëren </w:t>
      </w:r>
      <w:r w:rsidRPr="00262341">
        <w:rPr>
          <w:rFonts w:ascii="Verdana" w:hAnsi="Verdana" w:eastAsia="Verdana" w:cs="Verdana"/>
          <w:sz w:val="18"/>
          <w:szCs w:val="18"/>
        </w:rPr>
        <w:t>tussen de MDR</w:t>
      </w:r>
      <w:r w:rsidRPr="00262341" w:rsidR="000513D7">
        <w:rPr>
          <w:rFonts w:ascii="Verdana" w:hAnsi="Verdana" w:eastAsia="Verdana" w:cs="Verdana"/>
          <w:sz w:val="18"/>
          <w:szCs w:val="18"/>
        </w:rPr>
        <w:t>/</w:t>
      </w:r>
      <w:r w:rsidRPr="00262341">
        <w:rPr>
          <w:rFonts w:ascii="Verdana" w:hAnsi="Verdana" w:eastAsia="Verdana" w:cs="Verdana"/>
          <w:sz w:val="18"/>
          <w:szCs w:val="18"/>
        </w:rPr>
        <w:t xml:space="preserve">IVDR en andere EU-wetgeving die van toepassing kan zijn op medische hulpmiddelen, de zogenoemde horizontale wetgeving. Het voorstel zet zich met name in op de afstemming met </w:t>
      </w:r>
      <w:r w:rsidRPr="00262341" w:rsidR="00FF5459">
        <w:rPr>
          <w:rFonts w:ascii="Verdana" w:hAnsi="Verdana" w:eastAsia="Verdana" w:cs="Verdana"/>
          <w:sz w:val="18"/>
          <w:szCs w:val="18"/>
        </w:rPr>
        <w:t xml:space="preserve">de </w:t>
      </w:r>
      <w:r w:rsidRPr="00262341" w:rsidR="00883C64">
        <w:rPr>
          <w:rFonts w:ascii="Verdana" w:hAnsi="Verdana" w:eastAsia="Verdana" w:cs="Verdana"/>
          <w:sz w:val="18"/>
          <w:szCs w:val="18"/>
        </w:rPr>
        <w:t>v</w:t>
      </w:r>
      <w:r w:rsidRPr="00262341">
        <w:rPr>
          <w:rFonts w:ascii="Verdana" w:hAnsi="Verdana" w:eastAsia="Verdana" w:cs="Verdana"/>
          <w:sz w:val="18"/>
          <w:szCs w:val="18"/>
        </w:rPr>
        <w:t>erordening betreffende klinische proeven met geneesmiddelen voor menselijk gebruik</w:t>
      </w:r>
      <w:r w:rsidRPr="00262341" w:rsidR="000C1705">
        <w:rPr>
          <w:rStyle w:val="FootnoteReference"/>
          <w:rFonts w:ascii="Verdana" w:hAnsi="Verdana" w:eastAsia="Verdana" w:cs="Verdana"/>
          <w:sz w:val="18"/>
          <w:szCs w:val="18"/>
        </w:rPr>
        <w:footnoteReference w:id="7"/>
      </w:r>
      <w:r w:rsidRPr="00262341">
        <w:rPr>
          <w:rFonts w:ascii="Verdana" w:hAnsi="Verdana" w:eastAsia="Verdana" w:cs="Verdana"/>
          <w:sz w:val="18"/>
          <w:szCs w:val="18"/>
        </w:rPr>
        <w:t xml:space="preserve"> </w:t>
      </w:r>
    </w:p>
    <w:p w:rsidRPr="00262341" w:rsidR="22B32697" w:rsidP="00262341" w:rsidRDefault="6F0DCD31" w14:paraId="04810DE6" w14:textId="07861671">
      <w:pPr>
        <w:spacing w:line="360" w:lineRule="auto"/>
        <w:rPr>
          <w:rFonts w:ascii="Verdana" w:hAnsi="Verdana" w:eastAsia="Verdana" w:cs="Verdana"/>
          <w:sz w:val="18"/>
          <w:szCs w:val="18"/>
        </w:rPr>
      </w:pPr>
      <w:r w:rsidRPr="00262341">
        <w:rPr>
          <w:rFonts w:ascii="Verdana" w:hAnsi="Verdana" w:eastAsia="Verdana" w:cs="Verdana"/>
          <w:sz w:val="18"/>
          <w:szCs w:val="18"/>
        </w:rPr>
        <w:t>(</w:t>
      </w:r>
      <w:proofErr w:type="spellStart"/>
      <w:r w:rsidRPr="00262341">
        <w:rPr>
          <w:rFonts w:ascii="Verdana" w:hAnsi="Verdana" w:eastAsia="Verdana" w:cs="Verdana"/>
          <w:i/>
          <w:iCs/>
          <w:sz w:val="18"/>
          <w:szCs w:val="18"/>
        </w:rPr>
        <w:t>Clinical</w:t>
      </w:r>
      <w:proofErr w:type="spellEnd"/>
      <w:r w:rsidRPr="00262341">
        <w:rPr>
          <w:rFonts w:ascii="Verdana" w:hAnsi="Verdana" w:eastAsia="Verdana" w:cs="Verdana"/>
          <w:i/>
          <w:iCs/>
          <w:sz w:val="18"/>
          <w:szCs w:val="18"/>
        </w:rPr>
        <w:t xml:space="preserve"> Trials Regulation</w:t>
      </w:r>
      <w:r w:rsidRPr="00262341">
        <w:rPr>
          <w:rFonts w:ascii="Verdana" w:hAnsi="Verdana" w:eastAsia="Verdana" w:cs="Verdana"/>
          <w:sz w:val="18"/>
          <w:szCs w:val="18"/>
        </w:rPr>
        <w:t xml:space="preserve">, hierna: CTR), </w:t>
      </w:r>
      <w:r w:rsidRPr="00262341" w:rsidR="00FF5459">
        <w:rPr>
          <w:rFonts w:ascii="Verdana" w:hAnsi="Verdana" w:eastAsia="Verdana" w:cs="Verdana"/>
          <w:sz w:val="18"/>
          <w:szCs w:val="18"/>
        </w:rPr>
        <w:t xml:space="preserve">de </w:t>
      </w:r>
      <w:r w:rsidRPr="00262341" w:rsidR="00883C64">
        <w:rPr>
          <w:rFonts w:ascii="Verdana" w:hAnsi="Verdana" w:eastAsia="Verdana" w:cs="Verdana"/>
          <w:sz w:val="18"/>
          <w:szCs w:val="18"/>
        </w:rPr>
        <w:t>v</w:t>
      </w:r>
      <w:r w:rsidRPr="00262341" w:rsidR="3DBF0363">
        <w:rPr>
          <w:rFonts w:ascii="Verdana" w:hAnsi="Verdana" w:eastAsia="Verdana" w:cs="Verdana"/>
          <w:sz w:val="18"/>
          <w:szCs w:val="18"/>
        </w:rPr>
        <w:t>erordening betreffende horizontale cyberbeveiligingsvereisten voor producten met digitale elementen</w:t>
      </w:r>
      <w:r w:rsidRPr="00262341" w:rsidR="000C1705">
        <w:rPr>
          <w:rStyle w:val="FootnoteReference"/>
          <w:rFonts w:ascii="Verdana" w:hAnsi="Verdana" w:eastAsia="Verdana" w:cs="Verdana"/>
          <w:sz w:val="18"/>
          <w:szCs w:val="18"/>
        </w:rPr>
        <w:footnoteReference w:id="8"/>
      </w:r>
      <w:r w:rsidRPr="00262341" w:rsidR="0351E467">
        <w:rPr>
          <w:rFonts w:ascii="Verdana" w:hAnsi="Verdana" w:eastAsia="Verdana" w:cs="Verdana"/>
          <w:sz w:val="18"/>
          <w:szCs w:val="18"/>
        </w:rPr>
        <w:t xml:space="preserve"> </w:t>
      </w:r>
      <w:r w:rsidRPr="00262341">
        <w:rPr>
          <w:rFonts w:ascii="Verdana" w:hAnsi="Verdana" w:eastAsia="Verdana" w:cs="Verdana"/>
          <w:sz w:val="18"/>
          <w:szCs w:val="18"/>
        </w:rPr>
        <w:t>en de AI-verordening</w:t>
      </w:r>
      <w:r w:rsidRPr="00262341" w:rsidR="000C1705">
        <w:rPr>
          <w:rStyle w:val="FootnoteReference"/>
          <w:rFonts w:ascii="Verdana" w:hAnsi="Verdana" w:eastAsia="Verdana" w:cs="Verdana"/>
          <w:sz w:val="18"/>
          <w:szCs w:val="18"/>
        </w:rPr>
        <w:footnoteReference w:id="9"/>
      </w:r>
      <w:r w:rsidRPr="00262341">
        <w:rPr>
          <w:rFonts w:ascii="Verdana" w:hAnsi="Verdana" w:eastAsia="Verdana" w:cs="Verdana"/>
          <w:sz w:val="18"/>
          <w:szCs w:val="18"/>
        </w:rPr>
        <w:t xml:space="preserve">. Medische hulpmiddelen vallen steeds vaker onder meer EU-wetgeving tegelijk. In de praktijk leidt dit tot cumulatie van eisen, waardoor een fabrikant die </w:t>
      </w:r>
      <w:r w:rsidRPr="00262341" w:rsidR="000513D7">
        <w:rPr>
          <w:rFonts w:ascii="Verdana" w:hAnsi="Verdana" w:eastAsia="Verdana" w:cs="Verdana"/>
          <w:sz w:val="18"/>
          <w:szCs w:val="18"/>
        </w:rPr>
        <w:t xml:space="preserve">bijvoorbeeld </w:t>
      </w:r>
      <w:r w:rsidRPr="00262341" w:rsidR="0032216B">
        <w:rPr>
          <w:rFonts w:ascii="Verdana" w:hAnsi="Verdana" w:eastAsia="Verdana" w:cs="Verdana"/>
          <w:sz w:val="18"/>
          <w:szCs w:val="18"/>
        </w:rPr>
        <w:t xml:space="preserve">een </w:t>
      </w:r>
      <w:r w:rsidRPr="00262341">
        <w:rPr>
          <w:rFonts w:ascii="Verdana" w:hAnsi="Verdana" w:eastAsia="Verdana" w:cs="Verdana"/>
          <w:sz w:val="18"/>
          <w:szCs w:val="18"/>
        </w:rPr>
        <w:t xml:space="preserve">AI-gedreven diagnostisch hulpmiddel ontwikkelt, moet navigeren binnen een stelsel van naast elkaar </w:t>
      </w:r>
      <w:r w:rsidRPr="00262341" w:rsidR="00C3B6BF">
        <w:rPr>
          <w:rFonts w:ascii="Verdana" w:hAnsi="Verdana" w:eastAsia="Verdana" w:cs="Verdana"/>
          <w:sz w:val="18"/>
          <w:szCs w:val="18"/>
        </w:rPr>
        <w:t>geldende</w:t>
      </w:r>
      <w:r w:rsidRPr="00262341">
        <w:rPr>
          <w:rFonts w:ascii="Verdana" w:hAnsi="Verdana" w:eastAsia="Verdana" w:cs="Verdana"/>
          <w:sz w:val="18"/>
          <w:szCs w:val="18"/>
        </w:rPr>
        <w:t xml:space="preserve"> regels</w:t>
      </w:r>
      <w:r w:rsidRPr="00262341" w:rsidR="0032216B">
        <w:rPr>
          <w:rFonts w:ascii="Verdana" w:hAnsi="Verdana" w:eastAsia="Verdana" w:cs="Verdana"/>
          <w:sz w:val="18"/>
          <w:szCs w:val="18"/>
        </w:rPr>
        <w:t xml:space="preserve"> voor onder andere AI, data en </w:t>
      </w:r>
      <w:proofErr w:type="spellStart"/>
      <w:r w:rsidRPr="00262341" w:rsidR="0032216B">
        <w:rPr>
          <w:rFonts w:ascii="Verdana" w:hAnsi="Verdana" w:eastAsia="Verdana" w:cs="Verdana"/>
          <w:sz w:val="18"/>
          <w:szCs w:val="18"/>
        </w:rPr>
        <w:t>IVD</w:t>
      </w:r>
      <w:r w:rsidRPr="00262341" w:rsidR="000513D7">
        <w:rPr>
          <w:rFonts w:ascii="Verdana" w:hAnsi="Verdana" w:eastAsia="Verdana" w:cs="Verdana"/>
          <w:sz w:val="18"/>
          <w:szCs w:val="18"/>
        </w:rPr>
        <w:t>’</w:t>
      </w:r>
      <w:r w:rsidRPr="00262341" w:rsidR="0032216B">
        <w:rPr>
          <w:rFonts w:ascii="Verdana" w:hAnsi="Verdana" w:eastAsia="Verdana" w:cs="Verdana"/>
          <w:sz w:val="18"/>
          <w:szCs w:val="18"/>
        </w:rPr>
        <w:t>s</w:t>
      </w:r>
      <w:proofErr w:type="spellEnd"/>
      <w:r w:rsidRPr="00262341">
        <w:rPr>
          <w:rFonts w:ascii="Verdana" w:hAnsi="Verdana" w:eastAsia="Verdana" w:cs="Verdana"/>
          <w:sz w:val="18"/>
          <w:szCs w:val="18"/>
        </w:rPr>
        <w:t xml:space="preserve">. </w:t>
      </w:r>
    </w:p>
    <w:p w:rsidRPr="00262341" w:rsidR="0D49272E" w:rsidP="00262341" w:rsidRDefault="0D49272E" w14:paraId="29D44CE3" w14:textId="6976B2F6">
      <w:pPr>
        <w:spacing w:line="360" w:lineRule="auto"/>
        <w:rPr>
          <w:rFonts w:ascii="Verdana" w:hAnsi="Verdana" w:eastAsia="Verdana" w:cs="Verdana"/>
          <w:sz w:val="18"/>
          <w:szCs w:val="18"/>
        </w:rPr>
      </w:pPr>
    </w:p>
    <w:p w:rsidRPr="00262341" w:rsidR="00CB7FF8" w:rsidP="00262341" w:rsidRDefault="6E0DAAEF" w14:paraId="32DDF169" w14:textId="77777777">
      <w:pPr>
        <w:pStyle w:val="Spreekpunten"/>
        <w:numPr>
          <w:ilvl w:val="0"/>
          <w:numId w:val="9"/>
        </w:numPr>
        <w:rPr>
          <w:rFonts w:ascii="Verdana" w:hAnsi="Verdana"/>
          <w:i/>
          <w:iCs/>
          <w:color w:val="000000" w:themeColor="text1"/>
          <w:sz w:val="18"/>
          <w:szCs w:val="18"/>
          <w:lang w:val="nl-NL" w:eastAsia="zh-CN"/>
        </w:rPr>
      </w:pPr>
      <w:r w:rsidRPr="00262341">
        <w:rPr>
          <w:rFonts w:ascii="Verdana" w:hAnsi="Verdana" w:eastAsia="Verdana" w:cs="Verdana"/>
          <w:i/>
          <w:iCs/>
          <w:sz w:val="18"/>
          <w:szCs w:val="18"/>
          <w:lang w:val="nl-NL" w:eastAsia="zh-CN"/>
        </w:rPr>
        <w:t>Impact assessment Commissie</w:t>
      </w:r>
    </w:p>
    <w:p w:rsidRPr="00262341" w:rsidR="00CF2B39" w:rsidP="00262341" w:rsidRDefault="6E0DAAEF" w14:paraId="403C94AF" w14:textId="000CECD6">
      <w:pPr>
        <w:spacing w:line="360" w:lineRule="auto"/>
        <w:jc w:val="both"/>
        <w:rPr>
          <w:rFonts w:ascii="Verdana" w:hAnsi="Verdana" w:eastAsia="Verdana" w:cs="Verdana"/>
          <w:sz w:val="18"/>
          <w:szCs w:val="18"/>
        </w:rPr>
      </w:pPr>
      <w:r w:rsidRPr="00262341">
        <w:rPr>
          <w:rFonts w:ascii="Verdana" w:hAnsi="Verdana" w:eastAsia="Verdana" w:cs="Verdana"/>
          <w:sz w:val="18"/>
          <w:szCs w:val="18"/>
        </w:rPr>
        <w:t xml:space="preserve">Er is geen impact assessment uitgevoerd door de Commissie voor dit voorstel. Het kabinet hecht er waarde aan dat Commissievoorstellen gepaard gaan met een degelijke impact assessment. Dit mag ook </w:t>
      </w:r>
      <w:r w:rsidRPr="00262341" w:rsidR="000513D7">
        <w:rPr>
          <w:rFonts w:ascii="Verdana" w:hAnsi="Verdana" w:eastAsia="Verdana" w:cs="Verdana"/>
          <w:sz w:val="18"/>
          <w:szCs w:val="18"/>
        </w:rPr>
        <w:t xml:space="preserve">worden </w:t>
      </w:r>
      <w:r w:rsidRPr="00262341">
        <w:rPr>
          <w:rFonts w:ascii="Verdana" w:hAnsi="Verdana" w:eastAsia="Verdana" w:cs="Verdana"/>
          <w:sz w:val="18"/>
          <w:szCs w:val="18"/>
        </w:rPr>
        <w:t>verwacht vanuit de betere regelgeving-agenda van de Commissie</w:t>
      </w:r>
      <w:r w:rsidRPr="00262341">
        <w:rPr>
          <w:rFonts w:ascii="Verdana" w:hAnsi="Verdana" w:eastAsia="Verdana" w:cs="Verdana"/>
          <w:i/>
          <w:sz w:val="18"/>
          <w:szCs w:val="18"/>
        </w:rPr>
        <w:t xml:space="preserve">. </w:t>
      </w:r>
      <w:r w:rsidRPr="00262341" w:rsidR="00CF2B39">
        <w:rPr>
          <w:rFonts w:ascii="Verdana" w:hAnsi="Verdana" w:eastAsia="Verdana" w:cs="Verdana"/>
          <w:sz w:val="18"/>
          <w:szCs w:val="18"/>
        </w:rPr>
        <w:t>Als de Commissie geen impact assessment presenteert of als deze onvoldoende informatie oplevert om de voorstellen goed te kunnen beoordelen, zal het kabinet zelf het nodige doen om zich een beeld te vormen van de effecten van het voorstel, zodat die kunnen worden meegewogen in het definitief oordeel van het kabinet. Hierbij zullen belanghebbenden worden betrokken, eventueel via een MKB-toets.</w:t>
      </w:r>
    </w:p>
    <w:p w:rsidRPr="00262341" w:rsidR="00070E0F" w:rsidP="00262341" w:rsidRDefault="00070E0F" w14:paraId="150441A1" w14:textId="6F20E0DA">
      <w:pPr>
        <w:spacing w:line="360" w:lineRule="auto"/>
        <w:jc w:val="both"/>
        <w:rPr>
          <w:rFonts w:ascii="Verdana" w:hAnsi="Verdana" w:eastAsia="Verdana" w:cs="Verdana"/>
          <w:sz w:val="18"/>
          <w:szCs w:val="18"/>
        </w:rPr>
      </w:pPr>
    </w:p>
    <w:p w:rsidR="00262341" w:rsidP="00262341" w:rsidRDefault="43B7FD55" w14:paraId="55700B15" w14:textId="055655A0">
      <w:pPr>
        <w:spacing w:line="360" w:lineRule="auto"/>
        <w:jc w:val="both"/>
        <w:rPr>
          <w:rFonts w:ascii="Verdana" w:hAnsi="Verdana" w:eastAsia="Verdana" w:cs="Verdana"/>
          <w:sz w:val="18"/>
          <w:szCs w:val="18"/>
        </w:rPr>
      </w:pPr>
      <w:r w:rsidRPr="00262341">
        <w:rPr>
          <w:rFonts w:ascii="Verdana" w:hAnsi="Verdana" w:eastAsia="Verdana" w:cs="Verdana"/>
          <w:sz w:val="18"/>
          <w:szCs w:val="18"/>
        </w:rPr>
        <w:t xml:space="preserve">Gezien de voorgaande gerichte evaluatie, </w:t>
      </w:r>
      <w:r w:rsidRPr="00262341" w:rsidR="00605A2A">
        <w:rPr>
          <w:rFonts w:ascii="Verdana" w:hAnsi="Verdana" w:eastAsia="Verdana" w:cs="Verdana"/>
          <w:sz w:val="18"/>
          <w:szCs w:val="18"/>
        </w:rPr>
        <w:t xml:space="preserve">de </w:t>
      </w:r>
      <w:r w:rsidRPr="00262341">
        <w:rPr>
          <w:rFonts w:ascii="Verdana" w:hAnsi="Verdana" w:eastAsia="Verdana" w:cs="Verdana"/>
          <w:sz w:val="18"/>
          <w:szCs w:val="18"/>
        </w:rPr>
        <w:t xml:space="preserve">tijdsdruk en efficiëntie acht de Commissie een impact assessment niet nodig of passend. In plaats daarvan wordt het voorstel vergezeld door een werkdocument van de Commissie, waarin de voorgestelde maatregelen worden toegelicht </w:t>
      </w:r>
      <w:r w:rsidRPr="00262341" w:rsidR="00605A2A">
        <w:rPr>
          <w:rFonts w:ascii="Verdana" w:hAnsi="Verdana" w:eastAsia="Verdana" w:cs="Verdana"/>
          <w:sz w:val="18"/>
          <w:szCs w:val="18"/>
        </w:rPr>
        <w:t xml:space="preserve">aan de hand van </w:t>
      </w:r>
      <w:r w:rsidRPr="00262341">
        <w:rPr>
          <w:rFonts w:ascii="Verdana" w:hAnsi="Verdana" w:eastAsia="Verdana" w:cs="Verdana"/>
          <w:sz w:val="18"/>
          <w:szCs w:val="18"/>
        </w:rPr>
        <w:t xml:space="preserve">de uitkomsten </w:t>
      </w:r>
      <w:r w:rsidRPr="00262341" w:rsidR="00605A2A">
        <w:rPr>
          <w:rFonts w:ascii="Verdana" w:hAnsi="Verdana" w:eastAsia="Verdana" w:cs="Verdana"/>
          <w:sz w:val="18"/>
          <w:szCs w:val="18"/>
        </w:rPr>
        <w:t xml:space="preserve">van </w:t>
      </w:r>
      <w:r w:rsidRPr="00262341">
        <w:rPr>
          <w:rFonts w:ascii="Verdana" w:hAnsi="Verdana" w:eastAsia="Verdana" w:cs="Verdana"/>
          <w:sz w:val="18"/>
          <w:szCs w:val="18"/>
        </w:rPr>
        <w:t xml:space="preserve">de evaluatie en een analyse hiervan, en </w:t>
      </w:r>
      <w:r w:rsidRPr="00262341" w:rsidR="00605A2A">
        <w:rPr>
          <w:rFonts w:ascii="Verdana" w:hAnsi="Verdana" w:eastAsia="Verdana" w:cs="Verdana"/>
          <w:sz w:val="18"/>
          <w:szCs w:val="18"/>
        </w:rPr>
        <w:t xml:space="preserve">door </w:t>
      </w:r>
      <w:r w:rsidRPr="00262341">
        <w:rPr>
          <w:rFonts w:ascii="Verdana" w:hAnsi="Verdana" w:eastAsia="Verdana" w:cs="Verdana"/>
          <w:sz w:val="18"/>
          <w:szCs w:val="18"/>
        </w:rPr>
        <w:t xml:space="preserve">een document over mogelijke kostenbesparing. De werkdocumenten bevatten dus </w:t>
      </w:r>
      <w:r w:rsidRPr="00262341" w:rsidR="00605A2A">
        <w:rPr>
          <w:rFonts w:ascii="Verdana" w:hAnsi="Verdana" w:eastAsia="Verdana" w:cs="Verdana"/>
          <w:sz w:val="18"/>
          <w:szCs w:val="18"/>
        </w:rPr>
        <w:t xml:space="preserve">uitsluitend </w:t>
      </w:r>
      <w:r w:rsidRPr="00262341">
        <w:rPr>
          <w:rFonts w:ascii="Verdana" w:hAnsi="Verdana" w:eastAsia="Verdana" w:cs="Verdana"/>
          <w:sz w:val="18"/>
          <w:szCs w:val="18"/>
        </w:rPr>
        <w:t>de uitkomsten van de evaluatie en een kostenbesparingsraming</w:t>
      </w:r>
      <w:r w:rsidRPr="00262341" w:rsidR="00605A2A">
        <w:rPr>
          <w:rFonts w:ascii="Verdana" w:hAnsi="Verdana" w:eastAsia="Verdana" w:cs="Verdana"/>
          <w:sz w:val="18"/>
          <w:szCs w:val="18"/>
        </w:rPr>
        <w:t>,</w:t>
      </w:r>
      <w:r w:rsidRPr="00262341">
        <w:rPr>
          <w:rFonts w:ascii="Verdana" w:hAnsi="Verdana" w:eastAsia="Verdana" w:cs="Verdana"/>
          <w:sz w:val="18"/>
          <w:szCs w:val="18"/>
        </w:rPr>
        <w:t xml:space="preserve"> en geen assessment van de </w:t>
      </w:r>
      <w:proofErr w:type="spellStart"/>
      <w:r w:rsidRPr="00262341">
        <w:rPr>
          <w:rFonts w:ascii="Verdana" w:hAnsi="Verdana" w:eastAsia="Verdana" w:cs="Verdana"/>
          <w:sz w:val="18"/>
          <w:szCs w:val="18"/>
        </w:rPr>
        <w:t>regulatoire</w:t>
      </w:r>
      <w:proofErr w:type="spellEnd"/>
      <w:r w:rsidRPr="00262341">
        <w:rPr>
          <w:rFonts w:ascii="Verdana" w:hAnsi="Verdana" w:eastAsia="Verdana" w:cs="Verdana"/>
          <w:sz w:val="18"/>
          <w:szCs w:val="18"/>
        </w:rPr>
        <w:t xml:space="preserve"> of veiligheidsimpact van de voorgestelde vereenvoudigingsmaatregelen. De effecten en mogelijke consequenties van opeenstapeling van maatregelen tot vereenvoudiging zijn om deze reden niet te beoordelen door het kabinet. </w:t>
      </w:r>
    </w:p>
    <w:p w:rsidRPr="00262341" w:rsidR="00574F02" w:rsidP="00262341" w:rsidRDefault="00574F02" w14:paraId="0C1DC201" w14:textId="77777777">
      <w:pPr>
        <w:spacing w:line="360" w:lineRule="auto"/>
        <w:jc w:val="both"/>
        <w:rPr>
          <w:rFonts w:ascii="Verdana" w:hAnsi="Verdana" w:eastAsia="Verdana" w:cs="Verdana"/>
          <w:sz w:val="18"/>
          <w:szCs w:val="18"/>
        </w:rPr>
      </w:pPr>
    </w:p>
    <w:p w:rsidRPr="00262341" w:rsidR="00CB7FF8" w:rsidP="00262341" w:rsidRDefault="00CB7FF8" w14:paraId="078319D9" w14:textId="77777777">
      <w:pPr>
        <w:spacing w:line="360" w:lineRule="auto"/>
        <w:rPr>
          <w:rFonts w:ascii="Verdana" w:hAnsi="Verdana" w:eastAsia="Verdana" w:cs="Verdana"/>
          <w:b/>
          <w:bCs/>
          <w:sz w:val="18"/>
          <w:szCs w:val="18"/>
        </w:rPr>
      </w:pPr>
    </w:p>
    <w:p w:rsidRPr="00262341" w:rsidR="00CB7FF8" w:rsidP="00262341" w:rsidRDefault="6E0DAAEF" w14:paraId="4B833EFF" w14:textId="48882DDC">
      <w:pPr>
        <w:pStyle w:val="ListParagraph"/>
        <w:numPr>
          <w:ilvl w:val="0"/>
          <w:numId w:val="40"/>
        </w:numPr>
        <w:spacing w:line="360" w:lineRule="auto"/>
        <w:rPr>
          <w:rFonts w:ascii="Verdana" w:hAnsi="Verdana"/>
          <w:b/>
          <w:bCs/>
          <w:color w:val="000000" w:themeColor="text1"/>
          <w:sz w:val="18"/>
          <w:szCs w:val="18"/>
        </w:rPr>
      </w:pPr>
      <w:r w:rsidRPr="00262341">
        <w:rPr>
          <w:rFonts w:ascii="Verdana" w:hAnsi="Verdana" w:eastAsia="Verdana" w:cs="Verdana"/>
          <w:b/>
          <w:bCs/>
          <w:sz w:val="18"/>
          <w:szCs w:val="18"/>
        </w:rPr>
        <w:lastRenderedPageBreak/>
        <w:t xml:space="preserve">Nederlandse positie ten aanzien van het voorstel </w:t>
      </w:r>
    </w:p>
    <w:p w:rsidRPr="00262341" w:rsidR="00F74E07" w:rsidP="00262341" w:rsidRDefault="6E0DAAEF" w14:paraId="71A5B76C" w14:textId="53DA0735">
      <w:pPr>
        <w:numPr>
          <w:ilvl w:val="0"/>
          <w:numId w:val="10"/>
        </w:numPr>
        <w:spacing w:line="360" w:lineRule="auto"/>
        <w:rPr>
          <w:rFonts w:ascii="Verdana" w:hAnsi="Verdana"/>
          <w:i/>
          <w:iCs/>
          <w:color w:val="000000" w:themeColor="text1"/>
          <w:sz w:val="18"/>
          <w:szCs w:val="18"/>
        </w:rPr>
      </w:pPr>
      <w:r w:rsidRPr="00262341">
        <w:rPr>
          <w:rFonts w:ascii="Verdana" w:hAnsi="Verdana" w:eastAsia="Verdana" w:cs="Verdana"/>
          <w:i/>
          <w:iCs/>
          <w:sz w:val="18"/>
          <w:szCs w:val="18"/>
        </w:rPr>
        <w:t xml:space="preserve">Essentie Nederlands beleid </w:t>
      </w:r>
    </w:p>
    <w:p w:rsidRPr="00262341" w:rsidR="00F74E07" w:rsidP="00262341" w:rsidRDefault="00C50333" w14:paraId="428657CF" w14:textId="14877DCD">
      <w:pPr>
        <w:spacing w:line="360" w:lineRule="auto"/>
        <w:rPr>
          <w:rFonts w:ascii="Verdana" w:hAnsi="Verdana" w:eastAsia="Verdana" w:cs="Verdana"/>
          <w:i/>
          <w:iCs/>
          <w:color w:val="000000" w:themeColor="text1"/>
          <w:sz w:val="18"/>
          <w:szCs w:val="18"/>
          <w:highlight w:val="yellow"/>
        </w:rPr>
      </w:pPr>
      <w:r w:rsidRPr="00262341">
        <w:rPr>
          <w:rFonts w:ascii="Verdana" w:hAnsi="Verdana" w:eastAsia="Verdana" w:cs="Verdana"/>
          <w:sz w:val="18"/>
          <w:szCs w:val="18"/>
        </w:rPr>
        <w:t>Het kabinet acht de v</w:t>
      </w:r>
      <w:r w:rsidRPr="00262341" w:rsidR="6E0DAAEF">
        <w:rPr>
          <w:rFonts w:ascii="Verdana" w:hAnsi="Verdana" w:eastAsia="Verdana" w:cs="Verdana"/>
          <w:sz w:val="18"/>
          <w:szCs w:val="18"/>
        </w:rPr>
        <w:t xml:space="preserve">eiligheid van medische hulpmiddelen van groot belang, met name voor medische hulpmiddelen die in de hogere risicoklassen vallen en dus aan de strengste eisen moeten voldoen, zoals implantaten. Tegelijkertijd is in de afgelopen jaren duidelijk geworden dat in de Europese </w:t>
      </w:r>
      <w:r w:rsidRPr="00262341" w:rsidR="22B32697">
        <w:rPr>
          <w:rFonts w:ascii="Verdana" w:hAnsi="Verdana" w:eastAsia="Verdana" w:cs="Verdana"/>
          <w:sz w:val="18"/>
          <w:szCs w:val="18"/>
        </w:rPr>
        <w:t>wetgeving</w:t>
      </w:r>
      <w:r w:rsidRPr="00262341" w:rsidR="6E0DAAEF">
        <w:rPr>
          <w:rFonts w:ascii="Verdana" w:hAnsi="Verdana" w:eastAsia="Verdana" w:cs="Verdana"/>
          <w:sz w:val="18"/>
          <w:szCs w:val="18"/>
        </w:rPr>
        <w:t xml:space="preserve"> voor medische hulpmiddelen de balans tussen veiligheid, beschikbaarheid en innovatie onder druk is komen te staan. De MDR en de IVDR </w:t>
      </w:r>
      <w:r w:rsidRPr="00262341" w:rsidR="00605A2A">
        <w:rPr>
          <w:rFonts w:ascii="Verdana" w:hAnsi="Verdana" w:eastAsia="Verdana" w:cs="Verdana"/>
          <w:sz w:val="18"/>
          <w:szCs w:val="18"/>
        </w:rPr>
        <w:t xml:space="preserve">stellen </w:t>
      </w:r>
      <w:r w:rsidRPr="00262341" w:rsidR="6E0DAAEF">
        <w:rPr>
          <w:rFonts w:ascii="Verdana" w:hAnsi="Verdana" w:eastAsia="Verdana" w:cs="Verdana"/>
          <w:sz w:val="18"/>
          <w:szCs w:val="18"/>
        </w:rPr>
        <w:t>strengere eisen aan de veiligheid, effectiviteit en certificering van medische hulpmiddelen</w:t>
      </w:r>
      <w:r w:rsidRPr="00262341" w:rsidR="00605A2A">
        <w:rPr>
          <w:rFonts w:ascii="Verdana" w:hAnsi="Verdana" w:eastAsia="Verdana" w:cs="Verdana"/>
          <w:sz w:val="18"/>
          <w:szCs w:val="18"/>
        </w:rPr>
        <w:t>,</w:t>
      </w:r>
      <w:r w:rsidRPr="00262341" w:rsidR="6E0DAAEF">
        <w:rPr>
          <w:rFonts w:ascii="Verdana" w:hAnsi="Verdana" w:eastAsia="Verdana" w:cs="Verdana"/>
          <w:sz w:val="18"/>
          <w:szCs w:val="18"/>
        </w:rPr>
        <w:t xml:space="preserve"> </w:t>
      </w:r>
      <w:r w:rsidRPr="00262341" w:rsidR="00605A2A">
        <w:rPr>
          <w:rFonts w:ascii="Verdana" w:hAnsi="Verdana" w:eastAsia="Verdana" w:cs="Verdana"/>
          <w:sz w:val="18"/>
          <w:szCs w:val="18"/>
        </w:rPr>
        <w:t xml:space="preserve">terwijl </w:t>
      </w:r>
      <w:r w:rsidRPr="00262341" w:rsidR="6E0DAAEF">
        <w:rPr>
          <w:rFonts w:ascii="Verdana" w:hAnsi="Verdana" w:eastAsia="Verdana" w:cs="Verdana"/>
          <w:sz w:val="18"/>
          <w:szCs w:val="18"/>
        </w:rPr>
        <w:t xml:space="preserve">de bredere overweging dat beschikbaarheid en innovatie een belangrijk onderdeel zijn van patiëntveiligheid en </w:t>
      </w:r>
      <w:r w:rsidRPr="00262341" w:rsidR="00C3B6BF">
        <w:rPr>
          <w:rFonts w:ascii="Verdana" w:hAnsi="Verdana" w:eastAsia="Verdana" w:cs="Verdana"/>
          <w:sz w:val="18"/>
          <w:szCs w:val="18"/>
        </w:rPr>
        <w:t>goede zorg</w:t>
      </w:r>
      <w:r w:rsidRPr="00262341" w:rsidR="6E0DAAEF">
        <w:rPr>
          <w:rFonts w:ascii="Verdana" w:hAnsi="Verdana" w:eastAsia="Verdana" w:cs="Verdana"/>
          <w:sz w:val="18"/>
          <w:szCs w:val="18"/>
        </w:rPr>
        <w:t xml:space="preserve"> onvoldoende </w:t>
      </w:r>
      <w:r w:rsidRPr="00262341" w:rsidR="00605A2A">
        <w:rPr>
          <w:rFonts w:ascii="Verdana" w:hAnsi="Verdana" w:eastAsia="Verdana" w:cs="Verdana"/>
          <w:sz w:val="18"/>
          <w:szCs w:val="18"/>
        </w:rPr>
        <w:t xml:space="preserve">is </w:t>
      </w:r>
      <w:r w:rsidRPr="00262341" w:rsidR="6E0DAAEF">
        <w:rPr>
          <w:rFonts w:ascii="Verdana" w:hAnsi="Verdana" w:eastAsia="Verdana" w:cs="Verdana"/>
          <w:sz w:val="18"/>
          <w:szCs w:val="18"/>
        </w:rPr>
        <w:t xml:space="preserve">geborgd. </w:t>
      </w:r>
      <w:r w:rsidRPr="00262341" w:rsidR="22B32697">
        <w:rPr>
          <w:rFonts w:ascii="Verdana" w:hAnsi="Verdana" w:eastAsia="Verdana" w:cs="Verdana"/>
          <w:sz w:val="18"/>
          <w:szCs w:val="18"/>
        </w:rPr>
        <w:t>Het stellen van hogere</w:t>
      </w:r>
      <w:r w:rsidRPr="00262341" w:rsidR="6E0DAAEF">
        <w:rPr>
          <w:rFonts w:ascii="Verdana" w:hAnsi="Verdana" w:eastAsia="Verdana" w:cs="Verdana"/>
          <w:sz w:val="18"/>
          <w:szCs w:val="18"/>
        </w:rPr>
        <w:t xml:space="preserve"> eisen aan medische hulpmiddelen </w:t>
      </w:r>
      <w:r w:rsidRPr="00262341" w:rsidR="22B32697">
        <w:rPr>
          <w:rFonts w:ascii="Verdana" w:hAnsi="Verdana" w:eastAsia="Verdana" w:cs="Verdana"/>
          <w:sz w:val="18"/>
          <w:szCs w:val="18"/>
        </w:rPr>
        <w:t>is</w:t>
      </w:r>
      <w:r w:rsidRPr="00262341" w:rsidR="6E0DAAEF">
        <w:rPr>
          <w:rFonts w:ascii="Verdana" w:hAnsi="Verdana" w:eastAsia="Verdana" w:cs="Verdana"/>
          <w:sz w:val="18"/>
          <w:szCs w:val="18"/>
        </w:rPr>
        <w:t xml:space="preserve"> niet het enige dat bijdraagt aan patiëntveiligheid.</w:t>
      </w:r>
      <w:r w:rsidRPr="00262341" w:rsidR="003810A9">
        <w:rPr>
          <w:rFonts w:ascii="Verdana" w:hAnsi="Verdana" w:eastAsia="Verdana" w:cs="Verdana"/>
          <w:sz w:val="18"/>
          <w:szCs w:val="18"/>
        </w:rPr>
        <w:t xml:space="preserve"> </w:t>
      </w:r>
      <w:r w:rsidRPr="00262341" w:rsidR="6E0DAAEF">
        <w:rPr>
          <w:rFonts w:ascii="Verdana" w:hAnsi="Verdana" w:eastAsia="Verdana" w:cs="Verdana"/>
          <w:sz w:val="18"/>
          <w:szCs w:val="18"/>
        </w:rPr>
        <w:t xml:space="preserve">Patiënten zijn </w:t>
      </w:r>
      <w:r w:rsidRPr="00262341" w:rsidR="00605A2A">
        <w:rPr>
          <w:rFonts w:ascii="Verdana" w:hAnsi="Verdana" w:eastAsia="Verdana" w:cs="Verdana"/>
          <w:sz w:val="18"/>
          <w:szCs w:val="18"/>
        </w:rPr>
        <w:t xml:space="preserve">namelijk ook </w:t>
      </w:r>
      <w:r w:rsidRPr="00262341" w:rsidR="6E0DAAEF">
        <w:rPr>
          <w:rFonts w:ascii="Verdana" w:hAnsi="Verdana" w:eastAsia="Verdana" w:cs="Verdana"/>
          <w:sz w:val="18"/>
          <w:szCs w:val="18"/>
        </w:rPr>
        <w:t xml:space="preserve">niet veilig als medische hulpmiddelen niet beschikbaar zijn in de </w:t>
      </w:r>
      <w:r w:rsidRPr="00262341" w:rsidR="00945F95">
        <w:rPr>
          <w:rFonts w:ascii="Verdana" w:hAnsi="Verdana" w:eastAsia="Verdana" w:cs="Verdana"/>
          <w:sz w:val="18"/>
          <w:szCs w:val="18"/>
        </w:rPr>
        <w:t>EU</w:t>
      </w:r>
      <w:r w:rsidRPr="00262341" w:rsidR="6E0DAAEF">
        <w:rPr>
          <w:rFonts w:ascii="Verdana" w:hAnsi="Verdana" w:eastAsia="Verdana" w:cs="Verdana"/>
          <w:sz w:val="18"/>
          <w:szCs w:val="18"/>
        </w:rPr>
        <w:t xml:space="preserve">. Daarnaast zijn patiënten soms ook afhankelijk van innovatie voor hun veiligheid en gezondheid. Het kabinet </w:t>
      </w:r>
      <w:r w:rsidRPr="00262341" w:rsidR="00C3B6BF">
        <w:rPr>
          <w:rFonts w:ascii="Verdana" w:hAnsi="Verdana" w:eastAsia="Verdana" w:cs="Verdana"/>
          <w:sz w:val="18"/>
          <w:szCs w:val="18"/>
        </w:rPr>
        <w:t>vindt</w:t>
      </w:r>
      <w:r w:rsidRPr="00262341" w:rsidR="6E0DAAEF">
        <w:rPr>
          <w:rFonts w:ascii="Verdana" w:hAnsi="Verdana" w:eastAsia="Verdana" w:cs="Verdana"/>
          <w:sz w:val="18"/>
          <w:szCs w:val="18"/>
        </w:rPr>
        <w:t xml:space="preserve"> om deze reden</w:t>
      </w:r>
      <w:r w:rsidRPr="00262341" w:rsidR="00605A2A">
        <w:rPr>
          <w:rFonts w:ascii="Verdana" w:hAnsi="Verdana" w:eastAsia="Verdana" w:cs="Verdana"/>
          <w:sz w:val="18"/>
          <w:szCs w:val="18"/>
        </w:rPr>
        <w:t>en</w:t>
      </w:r>
      <w:r w:rsidRPr="00262341" w:rsidR="6E0DAAEF">
        <w:rPr>
          <w:rFonts w:ascii="Verdana" w:hAnsi="Verdana" w:eastAsia="Verdana" w:cs="Verdana"/>
          <w:sz w:val="18"/>
          <w:szCs w:val="18"/>
        </w:rPr>
        <w:t xml:space="preserve"> dat er gezocht moet worden naar een betere balans tussen veiligheid, beschikbaarheid en innovatie in de wetgeving. </w:t>
      </w:r>
    </w:p>
    <w:p w:rsidRPr="00262341" w:rsidR="00F74E07" w:rsidP="00262341" w:rsidRDefault="71A5B76C" w14:paraId="7E6B04DA" w14:textId="24FF4551">
      <w:pPr>
        <w:spacing w:line="360" w:lineRule="auto"/>
        <w:rPr>
          <w:rFonts w:ascii="Verdana" w:hAnsi="Verdana" w:eastAsia="Verdana" w:cs="Verdana"/>
          <w:i/>
          <w:color w:val="000000" w:themeColor="text1"/>
          <w:sz w:val="18"/>
          <w:szCs w:val="18"/>
          <w:highlight w:val="yellow"/>
        </w:rPr>
      </w:pPr>
      <w:r w:rsidRPr="00262341">
        <w:rPr>
          <w:rFonts w:ascii="Verdana" w:hAnsi="Verdana" w:eastAsia="Verdana" w:cs="Verdana"/>
          <w:sz w:val="18"/>
          <w:szCs w:val="18"/>
        </w:rPr>
        <w:t xml:space="preserve"> </w:t>
      </w:r>
    </w:p>
    <w:p w:rsidRPr="00262341" w:rsidR="00A83D39" w:rsidP="00262341" w:rsidRDefault="43B7FD55" w14:paraId="66A0C911" w14:textId="3DCBD0CA">
      <w:pPr>
        <w:spacing w:line="360" w:lineRule="auto"/>
        <w:rPr>
          <w:rFonts w:ascii="Verdana" w:hAnsi="Verdana" w:eastAsia="Verdana" w:cs="Verdana"/>
          <w:i/>
          <w:iCs/>
          <w:color w:val="000000" w:themeColor="text1"/>
          <w:sz w:val="18"/>
          <w:szCs w:val="18"/>
        </w:rPr>
      </w:pPr>
      <w:r w:rsidRPr="00262341">
        <w:rPr>
          <w:rFonts w:ascii="Verdana" w:hAnsi="Verdana" w:eastAsia="Verdana" w:cs="Verdana"/>
          <w:sz w:val="18"/>
          <w:szCs w:val="18"/>
        </w:rPr>
        <w:t xml:space="preserve">De zorg, industrie en </w:t>
      </w:r>
      <w:proofErr w:type="spellStart"/>
      <w:r w:rsidRPr="00262341">
        <w:rPr>
          <w:rFonts w:ascii="Verdana" w:hAnsi="Verdana" w:eastAsia="Verdana" w:cs="Verdana"/>
          <w:sz w:val="18"/>
          <w:szCs w:val="18"/>
        </w:rPr>
        <w:t>notified</w:t>
      </w:r>
      <w:proofErr w:type="spellEnd"/>
      <w:r w:rsidRPr="00262341">
        <w:rPr>
          <w:rFonts w:ascii="Verdana" w:hAnsi="Verdana" w:eastAsia="Verdana" w:cs="Verdana"/>
          <w:sz w:val="18"/>
          <w:szCs w:val="18"/>
        </w:rPr>
        <w:t xml:space="preserve"> </w:t>
      </w:r>
      <w:proofErr w:type="spellStart"/>
      <w:r w:rsidRPr="00262341">
        <w:rPr>
          <w:rFonts w:ascii="Verdana" w:hAnsi="Verdana" w:eastAsia="Verdana" w:cs="Verdana"/>
          <w:sz w:val="18"/>
          <w:szCs w:val="18"/>
        </w:rPr>
        <w:t>bodies</w:t>
      </w:r>
      <w:proofErr w:type="spellEnd"/>
      <w:r w:rsidRPr="00262341">
        <w:rPr>
          <w:rFonts w:ascii="Verdana" w:hAnsi="Verdana" w:eastAsia="Verdana" w:cs="Verdana"/>
          <w:sz w:val="18"/>
          <w:szCs w:val="18"/>
        </w:rPr>
        <w:t xml:space="preserve"> moeten kunnen bouwen op de verordeningen en deze </w:t>
      </w:r>
      <w:r w:rsidRPr="00262341" w:rsidR="00C3B6BF">
        <w:rPr>
          <w:rFonts w:ascii="Verdana" w:hAnsi="Verdana" w:eastAsia="Verdana" w:cs="Verdana"/>
          <w:sz w:val="18"/>
          <w:szCs w:val="18"/>
        </w:rPr>
        <w:t>moeten</w:t>
      </w:r>
      <w:r w:rsidRPr="00262341">
        <w:rPr>
          <w:rFonts w:ascii="Verdana" w:hAnsi="Verdana" w:eastAsia="Verdana" w:cs="Verdana"/>
          <w:sz w:val="18"/>
          <w:szCs w:val="18"/>
        </w:rPr>
        <w:t xml:space="preserve"> haalbaar en werkbaar zijn voor alle partijen. Investering</w:t>
      </w:r>
      <w:r w:rsidRPr="00262341" w:rsidR="00605A2A">
        <w:rPr>
          <w:rFonts w:ascii="Verdana" w:hAnsi="Verdana" w:eastAsia="Verdana" w:cs="Verdana"/>
          <w:sz w:val="18"/>
          <w:szCs w:val="18"/>
        </w:rPr>
        <w:t>en</w:t>
      </w:r>
      <w:r w:rsidRPr="00262341">
        <w:rPr>
          <w:rFonts w:ascii="Verdana" w:hAnsi="Verdana" w:eastAsia="Verdana" w:cs="Verdana"/>
          <w:sz w:val="18"/>
          <w:szCs w:val="18"/>
        </w:rPr>
        <w:t xml:space="preserve"> in naleving van wetten </w:t>
      </w:r>
      <w:r w:rsidRPr="00262341" w:rsidR="00605A2A">
        <w:rPr>
          <w:rFonts w:ascii="Verdana" w:hAnsi="Verdana" w:eastAsia="Verdana" w:cs="Verdana"/>
          <w:sz w:val="18"/>
          <w:szCs w:val="18"/>
        </w:rPr>
        <w:t xml:space="preserve">dienen </w:t>
      </w:r>
      <w:r w:rsidRPr="00262341" w:rsidR="00C3B6BF">
        <w:rPr>
          <w:rFonts w:ascii="Verdana" w:hAnsi="Verdana" w:eastAsia="Verdana" w:cs="Verdana"/>
          <w:sz w:val="18"/>
          <w:szCs w:val="18"/>
        </w:rPr>
        <w:t>beloond</w:t>
      </w:r>
      <w:r w:rsidRPr="00262341">
        <w:rPr>
          <w:rFonts w:ascii="Verdana" w:hAnsi="Verdana" w:eastAsia="Verdana" w:cs="Verdana"/>
          <w:sz w:val="18"/>
          <w:szCs w:val="18"/>
        </w:rPr>
        <w:t xml:space="preserve"> te worden. Het valt niet te rechtvaardigen dat de ene fabrikant zich </w:t>
      </w:r>
      <w:r w:rsidRPr="00262341" w:rsidR="00605A2A">
        <w:rPr>
          <w:rFonts w:ascii="Verdana" w:hAnsi="Verdana" w:eastAsia="Verdana" w:cs="Verdana"/>
          <w:sz w:val="18"/>
          <w:szCs w:val="18"/>
        </w:rPr>
        <w:t xml:space="preserve">inspant </w:t>
      </w:r>
      <w:r w:rsidRPr="00262341">
        <w:rPr>
          <w:rFonts w:ascii="Verdana" w:hAnsi="Verdana" w:eastAsia="Verdana" w:cs="Verdana"/>
          <w:sz w:val="18"/>
          <w:szCs w:val="18"/>
        </w:rPr>
        <w:t>voor naleving</w:t>
      </w:r>
      <w:r w:rsidRPr="00262341" w:rsidR="00605A2A">
        <w:rPr>
          <w:rFonts w:ascii="Verdana" w:hAnsi="Verdana" w:eastAsia="Verdana" w:cs="Verdana"/>
          <w:sz w:val="18"/>
          <w:szCs w:val="18"/>
        </w:rPr>
        <w:t>,</w:t>
      </w:r>
      <w:r w:rsidRPr="00262341">
        <w:rPr>
          <w:rFonts w:ascii="Verdana" w:hAnsi="Verdana" w:eastAsia="Verdana" w:cs="Verdana"/>
          <w:sz w:val="18"/>
          <w:szCs w:val="18"/>
        </w:rPr>
        <w:t xml:space="preserve"> terwijl degenen die afwachten </w:t>
      </w:r>
      <w:r w:rsidRPr="00262341" w:rsidR="00605A2A">
        <w:rPr>
          <w:rFonts w:ascii="Verdana" w:hAnsi="Verdana" w:eastAsia="Verdana" w:cs="Verdana"/>
          <w:sz w:val="18"/>
          <w:szCs w:val="18"/>
        </w:rPr>
        <w:t xml:space="preserve">worden </w:t>
      </w:r>
      <w:r w:rsidRPr="00262341">
        <w:rPr>
          <w:rFonts w:ascii="Verdana" w:hAnsi="Verdana" w:eastAsia="Verdana" w:cs="Verdana"/>
          <w:sz w:val="18"/>
          <w:szCs w:val="18"/>
        </w:rPr>
        <w:t xml:space="preserve">beloond met lange overgangstermijnen en minder strenge eisen. </w:t>
      </w:r>
    </w:p>
    <w:p w:rsidRPr="00262341" w:rsidR="00F74E07" w:rsidP="00262341" w:rsidRDefault="71A5B76C" w14:paraId="67B7AC47" w14:textId="13D4D29F">
      <w:pPr>
        <w:spacing w:line="360" w:lineRule="auto"/>
        <w:rPr>
          <w:rFonts w:ascii="Verdana" w:hAnsi="Verdana" w:eastAsia="Verdana" w:cs="Verdana"/>
          <w:i/>
          <w:color w:val="000000" w:themeColor="text1"/>
          <w:sz w:val="18"/>
          <w:szCs w:val="18"/>
          <w:highlight w:val="yellow"/>
        </w:rPr>
      </w:pPr>
      <w:r w:rsidRPr="00262341">
        <w:rPr>
          <w:rFonts w:ascii="Verdana" w:hAnsi="Verdana" w:eastAsia="Verdana" w:cs="Verdana"/>
          <w:sz w:val="18"/>
          <w:szCs w:val="18"/>
        </w:rPr>
        <w:t xml:space="preserve"> </w:t>
      </w:r>
    </w:p>
    <w:p w:rsidRPr="00262341" w:rsidR="000E4DF7" w:rsidP="00262341" w:rsidRDefault="6E0DAAEF" w14:paraId="10FD3604" w14:textId="4D6BF659">
      <w:pPr>
        <w:spacing w:line="360" w:lineRule="auto"/>
        <w:rPr>
          <w:rFonts w:ascii="Verdana" w:hAnsi="Verdana" w:eastAsia="Verdana" w:cs="Verdana"/>
          <w:sz w:val="18"/>
          <w:szCs w:val="18"/>
        </w:rPr>
      </w:pPr>
      <w:r w:rsidRPr="00262341">
        <w:rPr>
          <w:rFonts w:ascii="Verdana" w:hAnsi="Verdana" w:eastAsia="Verdana" w:cs="Verdana"/>
          <w:sz w:val="18"/>
          <w:szCs w:val="18"/>
        </w:rPr>
        <w:t xml:space="preserve">Daarbij is het kabinet van mening dat opstapeling van </w:t>
      </w:r>
      <w:r w:rsidRPr="00262341" w:rsidR="6F0DCD31">
        <w:rPr>
          <w:rFonts w:ascii="Verdana" w:hAnsi="Verdana" w:eastAsia="Verdana" w:cs="Verdana"/>
          <w:sz w:val="18"/>
          <w:szCs w:val="18"/>
        </w:rPr>
        <w:t xml:space="preserve">Europese </w:t>
      </w:r>
      <w:r w:rsidRPr="00262341">
        <w:rPr>
          <w:rFonts w:ascii="Verdana" w:hAnsi="Verdana" w:eastAsia="Verdana" w:cs="Verdana"/>
          <w:sz w:val="18"/>
          <w:szCs w:val="18"/>
        </w:rPr>
        <w:t xml:space="preserve">wetgeving één van de grootste uitdagingen voor markttoelating vormt. Fabrikanten </w:t>
      </w:r>
      <w:r w:rsidRPr="00262341" w:rsidR="00605A2A">
        <w:rPr>
          <w:rFonts w:ascii="Verdana" w:hAnsi="Verdana" w:eastAsia="Verdana" w:cs="Verdana"/>
          <w:sz w:val="18"/>
          <w:szCs w:val="18"/>
        </w:rPr>
        <w:t xml:space="preserve">moeten </w:t>
      </w:r>
      <w:r w:rsidRPr="00262341">
        <w:rPr>
          <w:rFonts w:ascii="Verdana" w:hAnsi="Verdana" w:eastAsia="Verdana" w:cs="Verdana"/>
          <w:sz w:val="18"/>
          <w:szCs w:val="18"/>
        </w:rPr>
        <w:t xml:space="preserve">niet alleen </w:t>
      </w:r>
      <w:r w:rsidRPr="00262341" w:rsidR="00605A2A">
        <w:rPr>
          <w:rFonts w:ascii="Verdana" w:hAnsi="Verdana" w:eastAsia="Verdana" w:cs="Verdana"/>
          <w:sz w:val="18"/>
          <w:szCs w:val="18"/>
        </w:rPr>
        <w:t xml:space="preserve">voldoen </w:t>
      </w:r>
      <w:r w:rsidRPr="00262341">
        <w:rPr>
          <w:rFonts w:ascii="Verdana" w:hAnsi="Verdana" w:eastAsia="Verdana" w:cs="Verdana"/>
          <w:sz w:val="18"/>
          <w:szCs w:val="18"/>
        </w:rPr>
        <w:t>aan de MDR en IVDR</w:t>
      </w:r>
      <w:r w:rsidRPr="00262341" w:rsidR="00C3B6BF">
        <w:rPr>
          <w:rFonts w:ascii="Verdana" w:hAnsi="Verdana" w:eastAsia="Verdana" w:cs="Verdana"/>
          <w:sz w:val="18"/>
          <w:szCs w:val="18"/>
        </w:rPr>
        <w:t>,</w:t>
      </w:r>
      <w:r w:rsidRPr="00262341">
        <w:rPr>
          <w:rFonts w:ascii="Verdana" w:hAnsi="Verdana" w:eastAsia="Verdana" w:cs="Verdana"/>
          <w:sz w:val="18"/>
          <w:szCs w:val="18"/>
        </w:rPr>
        <w:t xml:space="preserve"> maar, afhankelijk van het medische hulpmiddel, ook aan veel andere </w:t>
      </w:r>
      <w:r w:rsidRPr="00262341" w:rsidR="6F0DCD31">
        <w:rPr>
          <w:rFonts w:ascii="Verdana" w:hAnsi="Verdana" w:eastAsia="Verdana" w:cs="Verdana"/>
          <w:sz w:val="18"/>
          <w:szCs w:val="18"/>
        </w:rPr>
        <w:t>Europese</w:t>
      </w:r>
      <w:r w:rsidRPr="00262341">
        <w:rPr>
          <w:rFonts w:ascii="Verdana" w:hAnsi="Verdana" w:eastAsia="Verdana" w:cs="Verdana"/>
          <w:sz w:val="18"/>
          <w:szCs w:val="18"/>
        </w:rPr>
        <w:t xml:space="preserve"> wetgeving (</w:t>
      </w:r>
      <w:r w:rsidRPr="00262341" w:rsidR="6F0DCD31">
        <w:rPr>
          <w:rFonts w:ascii="Verdana" w:hAnsi="Verdana" w:eastAsia="Verdana" w:cs="Verdana"/>
          <w:sz w:val="18"/>
          <w:szCs w:val="18"/>
        </w:rPr>
        <w:t xml:space="preserve">zoals de </w:t>
      </w:r>
      <w:r w:rsidRPr="00262341" w:rsidR="00C3B6BF">
        <w:rPr>
          <w:rFonts w:ascii="Verdana" w:hAnsi="Verdana" w:eastAsia="Verdana" w:cs="Verdana"/>
          <w:i/>
          <w:iCs/>
          <w:sz w:val="18"/>
          <w:szCs w:val="18"/>
        </w:rPr>
        <w:t>European Health Data Space</w:t>
      </w:r>
      <w:r w:rsidRPr="00262341" w:rsidR="00C3B6BF">
        <w:rPr>
          <w:rFonts w:ascii="Verdana" w:hAnsi="Verdana" w:eastAsia="Verdana" w:cs="Verdana"/>
          <w:sz w:val="18"/>
          <w:szCs w:val="18"/>
        </w:rPr>
        <w:t>, de</w:t>
      </w:r>
      <w:r w:rsidRPr="00262341">
        <w:rPr>
          <w:rFonts w:ascii="Verdana" w:hAnsi="Verdana" w:eastAsia="Verdana" w:cs="Verdana"/>
          <w:sz w:val="18"/>
          <w:szCs w:val="18"/>
        </w:rPr>
        <w:t xml:space="preserve"> </w:t>
      </w:r>
      <w:r w:rsidRPr="00262341" w:rsidR="6F0DCD31">
        <w:rPr>
          <w:rFonts w:ascii="Verdana" w:hAnsi="Verdana" w:eastAsia="Verdana" w:cs="Verdana"/>
          <w:sz w:val="18"/>
          <w:szCs w:val="18"/>
        </w:rPr>
        <w:t xml:space="preserve">Dataverordening, Batterijenverordening, </w:t>
      </w:r>
      <w:r w:rsidRPr="00262341" w:rsidR="6F0DCD31">
        <w:rPr>
          <w:rFonts w:ascii="Verdana" w:hAnsi="Verdana" w:eastAsia="Verdana" w:cs="Verdana"/>
          <w:i/>
          <w:sz w:val="18"/>
          <w:szCs w:val="18"/>
        </w:rPr>
        <w:t>REACH</w:t>
      </w:r>
      <w:r w:rsidRPr="00262341" w:rsidR="6F0DCD31">
        <w:rPr>
          <w:rFonts w:ascii="Verdana" w:hAnsi="Verdana" w:eastAsia="Verdana" w:cs="Verdana"/>
          <w:sz w:val="18"/>
          <w:szCs w:val="18"/>
        </w:rPr>
        <w:t>-</w:t>
      </w:r>
      <w:r w:rsidRPr="00262341">
        <w:rPr>
          <w:rFonts w:ascii="Verdana" w:hAnsi="Verdana" w:eastAsia="Verdana" w:cs="Verdana"/>
          <w:sz w:val="18"/>
          <w:szCs w:val="18"/>
        </w:rPr>
        <w:t>verordening</w:t>
      </w:r>
      <w:r w:rsidRPr="00262341" w:rsidR="6F0DCD31">
        <w:rPr>
          <w:rFonts w:ascii="Verdana" w:hAnsi="Verdana" w:eastAsia="Verdana" w:cs="Verdana"/>
          <w:sz w:val="18"/>
          <w:szCs w:val="18"/>
        </w:rPr>
        <w:t>).</w:t>
      </w:r>
      <w:r w:rsidRPr="00262341">
        <w:rPr>
          <w:rFonts w:ascii="Verdana" w:hAnsi="Verdana" w:eastAsia="Verdana" w:cs="Verdana"/>
          <w:sz w:val="18"/>
          <w:szCs w:val="18"/>
        </w:rPr>
        <w:t xml:space="preserve"> Het kabinet maakt zich hard voor het belang van deze horizontale wetgeving, maar is van mening dat </w:t>
      </w:r>
      <w:r w:rsidRPr="00262341" w:rsidR="6F0DCD31">
        <w:rPr>
          <w:rFonts w:ascii="Verdana" w:hAnsi="Verdana" w:eastAsia="Verdana" w:cs="Verdana"/>
          <w:sz w:val="18"/>
          <w:szCs w:val="18"/>
        </w:rPr>
        <w:t>overlap in regels voorkomen</w:t>
      </w:r>
      <w:r w:rsidRPr="00262341">
        <w:rPr>
          <w:rFonts w:ascii="Verdana" w:hAnsi="Verdana" w:eastAsia="Verdana" w:cs="Verdana"/>
          <w:sz w:val="18"/>
          <w:szCs w:val="18"/>
        </w:rPr>
        <w:t xml:space="preserve"> moet worden</w:t>
      </w:r>
      <w:r w:rsidRPr="00262341" w:rsidR="6F0DCD31">
        <w:rPr>
          <w:rFonts w:ascii="Verdana" w:hAnsi="Verdana" w:eastAsia="Verdana" w:cs="Verdana"/>
          <w:sz w:val="18"/>
          <w:szCs w:val="18"/>
        </w:rPr>
        <w:t>.</w:t>
      </w:r>
      <w:r w:rsidRPr="00262341">
        <w:rPr>
          <w:rFonts w:ascii="Verdana" w:hAnsi="Verdana" w:eastAsia="Verdana" w:cs="Verdana"/>
          <w:sz w:val="18"/>
          <w:szCs w:val="18"/>
        </w:rPr>
        <w:t xml:space="preserve"> Dit </w:t>
      </w:r>
      <w:r w:rsidRPr="00262341" w:rsidR="00DA7120">
        <w:rPr>
          <w:rFonts w:ascii="Verdana" w:hAnsi="Verdana" w:eastAsia="Verdana" w:cs="Verdana"/>
          <w:sz w:val="18"/>
          <w:szCs w:val="18"/>
        </w:rPr>
        <w:t xml:space="preserve">versterkt </w:t>
      </w:r>
      <w:r w:rsidRPr="00262341">
        <w:rPr>
          <w:rFonts w:ascii="Verdana" w:hAnsi="Verdana" w:eastAsia="Verdana" w:cs="Verdana"/>
          <w:sz w:val="18"/>
          <w:szCs w:val="18"/>
        </w:rPr>
        <w:t xml:space="preserve">de duidelijkheid van eisen en </w:t>
      </w:r>
      <w:r w:rsidRPr="00262341" w:rsidR="00DA7120">
        <w:rPr>
          <w:rFonts w:ascii="Verdana" w:hAnsi="Verdana" w:eastAsia="Verdana" w:cs="Verdana"/>
          <w:sz w:val="18"/>
          <w:szCs w:val="18"/>
        </w:rPr>
        <w:t xml:space="preserve">borgt </w:t>
      </w:r>
      <w:r w:rsidRPr="00262341">
        <w:rPr>
          <w:rFonts w:ascii="Verdana" w:hAnsi="Verdana" w:eastAsia="Verdana" w:cs="Verdana"/>
          <w:sz w:val="18"/>
          <w:szCs w:val="18"/>
        </w:rPr>
        <w:t>de beschikbaarheid van medische hulpmiddelen. Bovendien heeft het kabinet aangegeven dat zij positief staat tegenover voorstellen voor het verbeteren van de positie van weeshulpmiddelen en doorbraaktechnologieën</w:t>
      </w:r>
      <w:r w:rsidRPr="00262341" w:rsidR="003810A9">
        <w:rPr>
          <w:rFonts w:ascii="Verdana" w:hAnsi="Verdana" w:eastAsia="Verdana" w:cs="Verdana"/>
          <w:sz w:val="18"/>
          <w:szCs w:val="18"/>
        </w:rPr>
        <w:t>,</w:t>
      </w:r>
      <w:r w:rsidRPr="00262341" w:rsidR="000C1705">
        <w:rPr>
          <w:rStyle w:val="FootnoteReference"/>
          <w:rFonts w:ascii="Verdana" w:hAnsi="Verdana" w:eastAsia="Verdana" w:cs="Verdana"/>
          <w:sz w:val="18"/>
          <w:szCs w:val="18"/>
        </w:rPr>
        <w:footnoteReference w:id="10"/>
      </w:r>
      <w:r w:rsidRPr="00262341" w:rsidR="6F0DCD31">
        <w:rPr>
          <w:rFonts w:ascii="Verdana" w:hAnsi="Verdana" w:eastAsia="Verdana" w:cs="Verdana"/>
          <w:sz w:val="18"/>
          <w:szCs w:val="18"/>
        </w:rPr>
        <w:t xml:space="preserve"> omdat</w:t>
      </w:r>
      <w:r w:rsidRPr="00262341">
        <w:rPr>
          <w:rFonts w:ascii="Verdana" w:hAnsi="Verdana" w:eastAsia="Verdana" w:cs="Verdana"/>
          <w:sz w:val="18"/>
          <w:szCs w:val="18"/>
        </w:rPr>
        <w:t xml:space="preserve"> dit ten goede komt aan de beschikbaarheid van medische hulpmiddelen</w:t>
      </w:r>
      <w:r w:rsidRPr="00262341" w:rsidR="00235C66">
        <w:rPr>
          <w:rFonts w:ascii="Verdana" w:hAnsi="Verdana" w:eastAsia="Verdana" w:cs="Verdana"/>
          <w:sz w:val="18"/>
          <w:szCs w:val="18"/>
        </w:rPr>
        <w:t xml:space="preserve"> die grote gezondheidswinst opleveren</w:t>
      </w:r>
      <w:r w:rsidRPr="00262341">
        <w:rPr>
          <w:rFonts w:ascii="Verdana" w:hAnsi="Verdana" w:eastAsia="Verdana" w:cs="Verdana"/>
          <w:sz w:val="18"/>
          <w:szCs w:val="18"/>
        </w:rPr>
        <w:t xml:space="preserve">. </w:t>
      </w:r>
    </w:p>
    <w:p w:rsidRPr="00262341" w:rsidR="003810A9" w:rsidP="00262341" w:rsidRDefault="003810A9" w14:paraId="6A486BB4" w14:textId="77777777">
      <w:pPr>
        <w:spacing w:line="360" w:lineRule="auto"/>
        <w:rPr>
          <w:rFonts w:ascii="Verdana" w:hAnsi="Verdana" w:eastAsia="Verdana" w:cs="Verdana"/>
          <w:sz w:val="18"/>
          <w:szCs w:val="18"/>
        </w:rPr>
      </w:pPr>
    </w:p>
    <w:p w:rsidRPr="00262341" w:rsidR="00220388" w:rsidP="00262341" w:rsidRDefault="43B7FD55" w14:paraId="4F38FCF1" w14:textId="555BAAE8">
      <w:pPr>
        <w:spacing w:line="360" w:lineRule="auto"/>
        <w:rPr>
          <w:rFonts w:ascii="Verdana" w:hAnsi="Verdana" w:eastAsia="Verdana" w:cs="Verdana"/>
          <w:color w:val="FF0000"/>
          <w:sz w:val="18"/>
          <w:szCs w:val="18"/>
        </w:rPr>
      </w:pPr>
      <w:r w:rsidRPr="00262341">
        <w:rPr>
          <w:rFonts w:ascii="Verdana" w:hAnsi="Verdana" w:eastAsia="Verdana" w:cs="Verdana"/>
          <w:sz w:val="18"/>
          <w:szCs w:val="18"/>
        </w:rPr>
        <w:t xml:space="preserve">Ook hecht het kabinet veel waarde aan een herziening van het bestuur (de governance) van het medische hulpmiddelen systeem. Medische hulpmiddelen zijn onmisbaar in de samenleving: de zorg, maar ook mensen thuis kunnen niet zonder hulpmiddelen zoals injectienaalden, rolstoelen, pacemakers en betrouwbare testen. </w:t>
      </w:r>
      <w:r w:rsidRPr="00262341" w:rsidR="0063722F">
        <w:rPr>
          <w:rFonts w:ascii="Verdana" w:hAnsi="Verdana" w:eastAsia="Verdana" w:cs="Verdana"/>
          <w:sz w:val="18"/>
          <w:szCs w:val="18"/>
        </w:rPr>
        <w:t>Ze</w:t>
      </w:r>
      <w:r w:rsidRPr="00262341">
        <w:rPr>
          <w:rFonts w:ascii="Verdana" w:hAnsi="Verdana" w:eastAsia="Verdana" w:cs="Verdana"/>
          <w:sz w:val="18"/>
          <w:szCs w:val="18"/>
        </w:rPr>
        <w:t xml:space="preserve"> worden vaak gezien als een soort geneesmiddel, terwijl de technische kennis die </w:t>
      </w:r>
      <w:r w:rsidRPr="00262341" w:rsidR="0063722F">
        <w:rPr>
          <w:rFonts w:ascii="Verdana" w:hAnsi="Verdana" w:eastAsia="Verdana" w:cs="Verdana"/>
          <w:sz w:val="18"/>
          <w:szCs w:val="18"/>
        </w:rPr>
        <w:t xml:space="preserve">nodig </w:t>
      </w:r>
      <w:r w:rsidRPr="00262341">
        <w:rPr>
          <w:rFonts w:ascii="Verdana" w:hAnsi="Verdana" w:eastAsia="Verdana" w:cs="Verdana"/>
          <w:sz w:val="18"/>
          <w:szCs w:val="18"/>
        </w:rPr>
        <w:t xml:space="preserve">is </w:t>
      </w:r>
      <w:r w:rsidRPr="00262341" w:rsidR="00C3B6BF">
        <w:rPr>
          <w:rFonts w:ascii="Verdana" w:hAnsi="Verdana" w:eastAsia="Verdana" w:cs="Verdana"/>
          <w:sz w:val="18"/>
          <w:szCs w:val="18"/>
        </w:rPr>
        <w:t>z</w:t>
      </w:r>
      <w:r w:rsidRPr="00262341" w:rsidR="00C3B6BF">
        <w:rPr>
          <w:rFonts w:ascii="Verdana" w:hAnsi="Verdana" w:eastAsia="Verdana" w:cs="Verdana"/>
          <w:color w:val="262626" w:themeColor="text1" w:themeTint="D9"/>
          <w:sz w:val="18"/>
          <w:szCs w:val="18"/>
        </w:rPr>
        <w:t xml:space="preserve">eer varieert per </w:t>
      </w:r>
      <w:r w:rsidRPr="00262341" w:rsidR="00ED7DF4">
        <w:rPr>
          <w:rFonts w:ascii="Verdana" w:hAnsi="Verdana" w:eastAsia="Verdana" w:cs="Verdana"/>
          <w:color w:val="262626" w:themeColor="text1" w:themeTint="D9"/>
          <w:sz w:val="18"/>
          <w:szCs w:val="18"/>
        </w:rPr>
        <w:t>medisch hulpmiddel</w:t>
      </w:r>
      <w:r w:rsidRPr="00262341" w:rsidR="00C3B6BF">
        <w:rPr>
          <w:rFonts w:ascii="Verdana" w:hAnsi="Verdana" w:eastAsia="Verdana" w:cs="Verdana"/>
          <w:sz w:val="18"/>
          <w:szCs w:val="18"/>
        </w:rPr>
        <w:t>.</w:t>
      </w:r>
      <w:r w:rsidRPr="00262341">
        <w:rPr>
          <w:rFonts w:ascii="Verdana" w:hAnsi="Verdana" w:eastAsia="Verdana" w:cs="Verdana"/>
          <w:sz w:val="18"/>
          <w:szCs w:val="18"/>
        </w:rPr>
        <w:t xml:space="preserve"> Dit uit zich in beperkte aandacht voor medische hulpmiddelen en beperkte inzet van middelen, zowel nationaal als Europees. Het kabinet is daarom van mening dat iedere aanpassing in de governance van het </w:t>
      </w:r>
      <w:r w:rsidRPr="00262341">
        <w:rPr>
          <w:rFonts w:ascii="Verdana" w:hAnsi="Verdana" w:eastAsia="Verdana" w:cs="Verdana"/>
          <w:sz w:val="18"/>
          <w:szCs w:val="18"/>
        </w:rPr>
        <w:lastRenderedPageBreak/>
        <w:t xml:space="preserve">systeem gepaard dient te gaan met waarborging van de benodigde expertise van medische hulpmiddelen. </w:t>
      </w:r>
    </w:p>
    <w:p w:rsidRPr="00262341" w:rsidR="54E1C7D9" w:rsidP="00262341" w:rsidRDefault="54E1C7D9" w14:paraId="5F9BA6CF" w14:textId="6BE4E621">
      <w:pPr>
        <w:spacing w:line="360" w:lineRule="auto"/>
        <w:rPr>
          <w:rFonts w:ascii="Verdana" w:hAnsi="Verdana" w:eastAsia="Verdana" w:cs="Verdana"/>
          <w:i/>
          <w:sz w:val="18"/>
          <w:szCs w:val="18"/>
        </w:rPr>
      </w:pPr>
    </w:p>
    <w:p w:rsidRPr="00262341" w:rsidR="00F74E07" w:rsidP="00262341" w:rsidRDefault="00134B60" w14:paraId="026791CA" w14:textId="73FF62E1">
      <w:pPr>
        <w:spacing w:line="360" w:lineRule="auto"/>
        <w:rPr>
          <w:rFonts w:ascii="Verdana" w:hAnsi="Verdana" w:eastAsia="Verdana" w:cs="Verdana"/>
          <w:i/>
          <w:iCs/>
          <w:sz w:val="18"/>
          <w:szCs w:val="18"/>
        </w:rPr>
      </w:pPr>
      <w:r w:rsidRPr="00262341">
        <w:rPr>
          <w:rFonts w:ascii="Verdana" w:hAnsi="Verdana" w:eastAsia="Verdana" w:cs="Verdana"/>
          <w:i/>
          <w:iCs/>
          <w:sz w:val="18"/>
          <w:szCs w:val="18"/>
        </w:rPr>
        <w:t>b</w:t>
      </w:r>
      <w:r w:rsidRPr="00262341" w:rsidR="6E0DAAEF">
        <w:rPr>
          <w:rFonts w:ascii="Verdana" w:hAnsi="Verdana" w:eastAsia="Verdana" w:cs="Verdana"/>
          <w:i/>
          <w:iCs/>
          <w:sz w:val="18"/>
          <w:szCs w:val="18"/>
        </w:rPr>
        <w:t xml:space="preserve">) Beoordeling + inzet ten aanzien van dit voorstel </w:t>
      </w:r>
    </w:p>
    <w:p w:rsidRPr="00262341" w:rsidR="0032284A" w:rsidP="00262341" w:rsidRDefault="6E0DAAEF" w14:paraId="62CF14A1" w14:textId="7EC66270">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verwelkomt de doelstelling van dit voorstel en ziet grote delen van het voorstel als zeer wenselijk. Echter heeft het kabinet ook </w:t>
      </w:r>
      <w:r w:rsidRPr="00262341" w:rsidR="003810A9">
        <w:rPr>
          <w:rFonts w:ascii="Verdana" w:hAnsi="Verdana" w:eastAsia="Verdana" w:cs="Verdana"/>
          <w:sz w:val="18"/>
          <w:szCs w:val="18"/>
        </w:rPr>
        <w:t xml:space="preserve">zijn </w:t>
      </w:r>
      <w:r w:rsidRPr="00262341">
        <w:rPr>
          <w:rFonts w:ascii="Verdana" w:hAnsi="Verdana" w:eastAsia="Verdana" w:cs="Verdana"/>
          <w:sz w:val="18"/>
          <w:szCs w:val="18"/>
        </w:rPr>
        <w:t xml:space="preserve">bedenkingen bij een deel van de voorstellen als het gaat om het behoud van de werkbaarheid van het systeem en </w:t>
      </w:r>
      <w:r w:rsidRPr="00262341" w:rsidR="6F0DCD31">
        <w:rPr>
          <w:rFonts w:ascii="Verdana" w:hAnsi="Verdana" w:eastAsia="Verdana" w:cs="Verdana"/>
          <w:sz w:val="18"/>
          <w:szCs w:val="18"/>
        </w:rPr>
        <w:t>het waarborgen</w:t>
      </w:r>
      <w:r w:rsidRPr="00262341">
        <w:rPr>
          <w:rFonts w:ascii="Verdana" w:hAnsi="Verdana" w:eastAsia="Verdana" w:cs="Verdana"/>
          <w:sz w:val="18"/>
          <w:szCs w:val="18"/>
        </w:rPr>
        <w:t xml:space="preserve"> van de veiligheid van medische hulpmiddelen. </w:t>
      </w:r>
    </w:p>
    <w:p w:rsidRPr="00262341" w:rsidR="0032284A" w:rsidP="00262341" w:rsidRDefault="0032284A" w14:paraId="0A0C0A36" w14:textId="599E5F10">
      <w:pPr>
        <w:spacing w:line="360" w:lineRule="auto"/>
        <w:rPr>
          <w:rFonts w:ascii="Verdana" w:hAnsi="Verdana" w:eastAsia="Verdana" w:cs="Verdana"/>
          <w:i/>
          <w:sz w:val="18"/>
          <w:szCs w:val="18"/>
        </w:rPr>
      </w:pPr>
    </w:p>
    <w:p w:rsidRPr="00262341" w:rsidR="26DED561" w:rsidP="00262341" w:rsidRDefault="4BB5FC10" w14:paraId="2B69D237" w14:textId="4941E80B">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Vereenvoudiging en proportionaliteit </w:t>
      </w:r>
    </w:p>
    <w:p w:rsidRPr="00262341" w:rsidR="00542538" w:rsidP="00262341" w:rsidRDefault="6E0DAAEF" w14:paraId="791921B5" w14:textId="24B710DA">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staat positief </w:t>
      </w:r>
      <w:r w:rsidRPr="00262341" w:rsidR="6F0DCD31">
        <w:rPr>
          <w:rFonts w:ascii="Verdana" w:hAnsi="Verdana" w:eastAsia="Verdana" w:cs="Verdana"/>
          <w:sz w:val="18"/>
          <w:szCs w:val="18"/>
        </w:rPr>
        <w:t>tegenover</w:t>
      </w:r>
      <w:r w:rsidRPr="00262341">
        <w:rPr>
          <w:rFonts w:ascii="Verdana" w:hAnsi="Verdana" w:eastAsia="Verdana" w:cs="Verdana"/>
          <w:sz w:val="18"/>
          <w:szCs w:val="18"/>
        </w:rPr>
        <w:t xml:space="preserve"> de meerderheid van deze voorstellen voor vereenvoudiging en proportionaliteit, zoals het digitaal aanbieden van de zogeheten implantaatkaart.</w:t>
      </w:r>
      <w:r w:rsidRPr="00262341" w:rsidR="009558AD">
        <w:rPr>
          <w:rFonts w:ascii="Verdana" w:hAnsi="Verdana" w:eastAsia="Verdana" w:cs="Verdana"/>
          <w:sz w:val="18"/>
          <w:szCs w:val="18"/>
        </w:rPr>
        <w:t xml:space="preserve"> </w:t>
      </w:r>
      <w:r w:rsidRPr="00262341" w:rsidR="00F246F4">
        <w:rPr>
          <w:rFonts w:ascii="Verdana" w:hAnsi="Verdana" w:eastAsia="Verdana" w:cs="Verdana"/>
          <w:sz w:val="18"/>
          <w:szCs w:val="18"/>
        </w:rPr>
        <w:t>Ook verwelkomt h</w:t>
      </w:r>
      <w:r w:rsidRPr="00262341" w:rsidR="009558AD">
        <w:rPr>
          <w:rFonts w:ascii="Verdana" w:hAnsi="Verdana" w:eastAsia="Verdana" w:cs="Verdana"/>
          <w:sz w:val="18"/>
          <w:szCs w:val="18"/>
        </w:rPr>
        <w:t xml:space="preserve">et kabinet </w:t>
      </w:r>
      <w:r w:rsidRPr="00262341" w:rsidR="00F246F4">
        <w:rPr>
          <w:rFonts w:ascii="Verdana" w:hAnsi="Verdana" w:eastAsia="Verdana" w:cs="Verdana"/>
          <w:sz w:val="18"/>
          <w:szCs w:val="18"/>
        </w:rPr>
        <w:t xml:space="preserve">de </w:t>
      </w:r>
      <w:r w:rsidRPr="00262341" w:rsidR="009558AD">
        <w:rPr>
          <w:rFonts w:ascii="Verdana" w:hAnsi="Verdana" w:eastAsia="Verdana" w:cs="Verdana"/>
          <w:sz w:val="18"/>
          <w:szCs w:val="18"/>
        </w:rPr>
        <w:t>bevordering van gebruik van dierproefvrije methoden, waar mogelijk, om wetenschappelijk bewijs te leveren in (niet) klinische studies.</w:t>
      </w:r>
      <w:r w:rsidRPr="00262341" w:rsidR="000E3D80">
        <w:rPr>
          <w:rFonts w:ascii="Verdana" w:hAnsi="Verdana" w:eastAsia="Verdana" w:cs="Verdana"/>
          <w:sz w:val="18"/>
          <w:szCs w:val="18"/>
        </w:rPr>
        <w:t xml:space="preserve"> </w:t>
      </w:r>
    </w:p>
    <w:p w:rsidRPr="00262341" w:rsidR="00542538" w:rsidP="00262341" w:rsidRDefault="00542538" w14:paraId="2441086C" w14:textId="77777777">
      <w:pPr>
        <w:spacing w:line="360" w:lineRule="auto"/>
        <w:rPr>
          <w:rFonts w:ascii="Verdana" w:hAnsi="Verdana" w:eastAsia="Verdana" w:cs="Verdana"/>
          <w:sz w:val="18"/>
          <w:szCs w:val="18"/>
        </w:rPr>
      </w:pPr>
    </w:p>
    <w:p w:rsidRPr="00262341" w:rsidR="4EBB05EF" w:rsidP="00262341" w:rsidRDefault="00542538" w14:paraId="666A7B61" w14:textId="4E593D0C">
      <w:pPr>
        <w:spacing w:line="360" w:lineRule="auto"/>
        <w:rPr>
          <w:rFonts w:ascii="Verdana" w:hAnsi="Verdana" w:eastAsia="Verdana" w:cs="Verdana"/>
          <w:sz w:val="18"/>
          <w:szCs w:val="18"/>
        </w:rPr>
      </w:pPr>
      <w:r w:rsidRPr="00262341">
        <w:rPr>
          <w:rFonts w:ascii="Verdana" w:hAnsi="Verdana" w:eastAsia="Verdana" w:cs="Verdana"/>
          <w:sz w:val="18"/>
          <w:szCs w:val="18"/>
        </w:rPr>
        <w:t>Er zijn echter ook enkele voorstellen waar het kabinet zorgen bij heeft. Zo stelt de</w:t>
      </w:r>
      <w:r w:rsidRPr="00262341" w:rsidR="43B7FD55">
        <w:rPr>
          <w:rFonts w:ascii="Verdana" w:hAnsi="Verdana" w:eastAsia="Verdana" w:cs="Verdana"/>
          <w:sz w:val="18"/>
          <w:szCs w:val="18"/>
        </w:rPr>
        <w:t xml:space="preserve"> Commissie </w:t>
      </w:r>
      <w:r w:rsidRPr="00262341">
        <w:rPr>
          <w:rFonts w:ascii="Verdana" w:hAnsi="Verdana" w:eastAsia="Verdana" w:cs="Verdana"/>
          <w:sz w:val="18"/>
          <w:szCs w:val="18"/>
        </w:rPr>
        <w:t xml:space="preserve">voor </w:t>
      </w:r>
      <w:r w:rsidRPr="00262341" w:rsidR="43B7FD55">
        <w:rPr>
          <w:rFonts w:ascii="Verdana" w:hAnsi="Verdana" w:eastAsia="Verdana" w:cs="Verdana"/>
          <w:sz w:val="18"/>
          <w:szCs w:val="18"/>
        </w:rPr>
        <w:t xml:space="preserve">om </w:t>
      </w:r>
      <w:r w:rsidRPr="00262341" w:rsidR="00C3B6BF">
        <w:rPr>
          <w:rFonts w:ascii="Verdana" w:hAnsi="Verdana" w:eastAsia="Verdana" w:cs="Verdana"/>
          <w:sz w:val="18"/>
          <w:szCs w:val="18"/>
        </w:rPr>
        <w:t>equivalentiecriteria</w:t>
      </w:r>
      <w:r w:rsidRPr="00262341" w:rsidR="43B7FD55">
        <w:rPr>
          <w:rFonts w:ascii="Verdana" w:hAnsi="Verdana" w:eastAsia="Verdana" w:cs="Verdana"/>
          <w:sz w:val="18"/>
          <w:szCs w:val="18"/>
        </w:rPr>
        <w:t xml:space="preserve"> voor klinisch onderzoek voor nieuwe hulpmiddelen te verruimen</w:t>
      </w:r>
      <w:r w:rsidRPr="00262341" w:rsidR="007F09A5">
        <w:rPr>
          <w:rFonts w:ascii="Verdana" w:hAnsi="Verdana" w:eastAsia="Verdana" w:cs="Verdana"/>
          <w:sz w:val="18"/>
          <w:szCs w:val="18"/>
        </w:rPr>
        <w:t xml:space="preserve">. Hierdoor kunnen </w:t>
      </w:r>
      <w:r w:rsidRPr="00262341" w:rsidR="43B7FD55">
        <w:rPr>
          <w:rFonts w:ascii="Verdana" w:hAnsi="Verdana" w:eastAsia="Verdana" w:cs="Verdana"/>
          <w:sz w:val="18"/>
          <w:szCs w:val="18"/>
        </w:rPr>
        <w:t>klinische data van hulpmiddelen met een soortgelijk materiaal worden gebruikt voor de conformiteitsbeoordeling van nieuwe medische hulpmiddelen</w:t>
      </w:r>
      <w:r w:rsidRPr="00262341" w:rsidR="007F09A5">
        <w:rPr>
          <w:rFonts w:ascii="Verdana" w:hAnsi="Verdana" w:eastAsia="Verdana" w:cs="Verdana"/>
          <w:sz w:val="18"/>
          <w:szCs w:val="18"/>
        </w:rPr>
        <w:t>,</w:t>
      </w:r>
      <w:r w:rsidRPr="00262341" w:rsidR="00235C66">
        <w:rPr>
          <w:rFonts w:ascii="Verdana" w:hAnsi="Verdana" w:eastAsia="Verdana" w:cs="Verdana"/>
          <w:sz w:val="18"/>
          <w:szCs w:val="18"/>
        </w:rPr>
        <w:t xml:space="preserve"> in plaats van </w:t>
      </w:r>
      <w:r w:rsidRPr="00262341" w:rsidR="007F09A5">
        <w:rPr>
          <w:rFonts w:ascii="Verdana" w:hAnsi="Verdana" w:eastAsia="Verdana" w:cs="Verdana"/>
          <w:sz w:val="18"/>
          <w:szCs w:val="18"/>
        </w:rPr>
        <w:t xml:space="preserve">uitsluitend </w:t>
      </w:r>
      <w:r w:rsidRPr="00262341" w:rsidR="00235C66">
        <w:rPr>
          <w:rFonts w:ascii="Verdana" w:hAnsi="Verdana" w:eastAsia="Verdana" w:cs="Verdana"/>
          <w:sz w:val="18"/>
          <w:szCs w:val="18"/>
        </w:rPr>
        <w:t>data van hulpmiddelen met exact hetzelfde materiaal</w:t>
      </w:r>
      <w:r w:rsidRPr="00262341" w:rsidR="43B7FD55">
        <w:rPr>
          <w:rFonts w:ascii="Verdana" w:hAnsi="Verdana" w:eastAsia="Verdana" w:cs="Verdana"/>
          <w:sz w:val="18"/>
          <w:szCs w:val="18"/>
        </w:rPr>
        <w:t xml:space="preserve">. Het kabinet is erop beducht dat deze verruiming kan leiden tot het (opgestapeld) gebruik van bestaande klinische data voor nieuwe medische hulpmiddelen die op biologische of klinische eigenschappen </w:t>
      </w:r>
      <w:r w:rsidRPr="00262341" w:rsidR="00C3B6BF">
        <w:rPr>
          <w:rFonts w:ascii="Verdana" w:hAnsi="Verdana" w:eastAsia="Verdana" w:cs="Verdana"/>
          <w:sz w:val="18"/>
          <w:szCs w:val="18"/>
        </w:rPr>
        <w:t>te veel</w:t>
      </w:r>
      <w:r w:rsidRPr="00262341" w:rsidR="43B7FD55">
        <w:rPr>
          <w:rFonts w:ascii="Verdana" w:hAnsi="Verdana" w:eastAsia="Verdana" w:cs="Verdana"/>
          <w:sz w:val="18"/>
          <w:szCs w:val="18"/>
        </w:rPr>
        <w:t xml:space="preserve"> verschillen van het bestaande hulpmiddel en dus eigenlijk niet gelijkwaardig </w:t>
      </w:r>
      <w:r w:rsidRPr="00262341" w:rsidR="007F09A5">
        <w:rPr>
          <w:rFonts w:ascii="Verdana" w:hAnsi="Verdana" w:eastAsia="Verdana" w:cs="Verdana"/>
          <w:sz w:val="18"/>
          <w:szCs w:val="18"/>
        </w:rPr>
        <w:t>zijn</w:t>
      </w:r>
      <w:r w:rsidRPr="00262341" w:rsidR="43B7FD55">
        <w:rPr>
          <w:rFonts w:ascii="Verdana" w:hAnsi="Verdana" w:eastAsia="Verdana" w:cs="Verdana"/>
          <w:sz w:val="18"/>
          <w:szCs w:val="18"/>
        </w:rPr>
        <w:t>.</w:t>
      </w:r>
      <w:r w:rsidRPr="00262341" w:rsidR="009558AD">
        <w:rPr>
          <w:rFonts w:ascii="Verdana" w:hAnsi="Verdana" w:eastAsia="Verdana" w:cs="Verdana"/>
          <w:sz w:val="18"/>
          <w:szCs w:val="18"/>
        </w:rPr>
        <w:t xml:space="preserve"> Ook is </w:t>
      </w:r>
      <w:r w:rsidRPr="00262341" w:rsidR="003810A9">
        <w:rPr>
          <w:rFonts w:ascii="Verdana" w:hAnsi="Verdana" w:eastAsia="Verdana" w:cs="Verdana"/>
          <w:sz w:val="18"/>
          <w:szCs w:val="18"/>
        </w:rPr>
        <w:t xml:space="preserve">het kabinet </w:t>
      </w:r>
      <w:r w:rsidRPr="00262341" w:rsidR="009558AD">
        <w:rPr>
          <w:rFonts w:ascii="Verdana" w:hAnsi="Verdana" w:eastAsia="Verdana" w:cs="Verdana"/>
          <w:sz w:val="18"/>
          <w:szCs w:val="18"/>
        </w:rPr>
        <w:t xml:space="preserve">bezorgd over mogelijke uitvoeringsproblemen bij beoordelaars. </w:t>
      </w:r>
      <w:r w:rsidRPr="00262341" w:rsidR="43B7FD55">
        <w:rPr>
          <w:rFonts w:ascii="Verdana" w:hAnsi="Verdana" w:eastAsia="Verdana" w:cs="Verdana"/>
          <w:sz w:val="18"/>
          <w:szCs w:val="18"/>
        </w:rPr>
        <w:t>Het kabinet ziet ook risico’s bij het voorstel om de definitie van klinische data te verruimen</w:t>
      </w:r>
      <w:r w:rsidRPr="00262341" w:rsidR="007F09A5">
        <w:rPr>
          <w:rFonts w:ascii="Verdana" w:hAnsi="Verdana" w:eastAsia="Verdana" w:cs="Verdana"/>
          <w:sz w:val="18"/>
          <w:szCs w:val="18"/>
        </w:rPr>
        <w:t>, met name</w:t>
      </w:r>
      <w:r w:rsidRPr="00262341" w:rsidR="43B7FD55">
        <w:rPr>
          <w:rFonts w:ascii="Verdana" w:hAnsi="Verdana" w:eastAsia="Verdana" w:cs="Verdana"/>
          <w:sz w:val="18"/>
          <w:szCs w:val="18"/>
        </w:rPr>
        <w:t xml:space="preserve"> </w:t>
      </w:r>
      <w:r w:rsidRPr="00262341" w:rsidR="00235C66">
        <w:rPr>
          <w:rFonts w:ascii="Verdana" w:hAnsi="Verdana" w:eastAsia="Verdana" w:cs="Verdana"/>
          <w:sz w:val="18"/>
          <w:szCs w:val="18"/>
        </w:rPr>
        <w:t>als bij</w:t>
      </w:r>
      <w:r w:rsidRPr="00262341" w:rsidR="43B7FD55">
        <w:rPr>
          <w:rFonts w:ascii="Verdana" w:hAnsi="Verdana" w:eastAsia="Verdana" w:cs="Verdana"/>
          <w:sz w:val="18"/>
          <w:szCs w:val="18"/>
        </w:rPr>
        <w:t xml:space="preserve"> het gebruik van </w:t>
      </w:r>
      <w:r w:rsidRPr="00262341" w:rsidR="00235C66">
        <w:rPr>
          <w:rFonts w:ascii="Verdana" w:hAnsi="Verdana" w:eastAsia="Verdana" w:cs="Verdana"/>
          <w:sz w:val="18"/>
          <w:szCs w:val="18"/>
        </w:rPr>
        <w:t>studies die niet specifiek over een klinisch onderzoek gaan</w:t>
      </w:r>
      <w:r w:rsidRPr="00262341" w:rsidR="007F09A5">
        <w:rPr>
          <w:rFonts w:ascii="Verdana" w:hAnsi="Verdana" w:eastAsia="Verdana" w:cs="Verdana"/>
          <w:sz w:val="18"/>
          <w:szCs w:val="18"/>
        </w:rPr>
        <w:t>,</w:t>
      </w:r>
      <w:r w:rsidRPr="00262341" w:rsidR="00235C66">
        <w:rPr>
          <w:rFonts w:ascii="Verdana" w:hAnsi="Verdana" w:eastAsia="Verdana" w:cs="Verdana"/>
          <w:sz w:val="18"/>
          <w:szCs w:val="18"/>
        </w:rPr>
        <w:t xml:space="preserve"> ook </w:t>
      </w:r>
      <w:r w:rsidRPr="00262341" w:rsidR="43B7FD55">
        <w:rPr>
          <w:rFonts w:ascii="Verdana" w:hAnsi="Verdana" w:eastAsia="Verdana" w:cs="Verdana"/>
          <w:sz w:val="18"/>
          <w:szCs w:val="18"/>
        </w:rPr>
        <w:t xml:space="preserve">niet </w:t>
      </w:r>
      <w:r w:rsidRPr="00262341" w:rsidR="43B7FD55">
        <w:rPr>
          <w:rFonts w:ascii="Verdana" w:hAnsi="Verdana" w:eastAsia="Verdana" w:cs="Verdana"/>
          <w:i/>
          <w:sz w:val="18"/>
          <w:szCs w:val="18"/>
        </w:rPr>
        <w:t>peer-</w:t>
      </w:r>
      <w:proofErr w:type="spellStart"/>
      <w:r w:rsidRPr="00262341" w:rsidR="43B7FD55">
        <w:rPr>
          <w:rFonts w:ascii="Verdana" w:hAnsi="Verdana" w:eastAsia="Verdana" w:cs="Verdana"/>
          <w:i/>
          <w:sz w:val="18"/>
          <w:szCs w:val="18"/>
        </w:rPr>
        <w:t>reviewed</w:t>
      </w:r>
      <w:proofErr w:type="spellEnd"/>
      <w:r w:rsidRPr="00262341" w:rsidR="43B7FD55">
        <w:rPr>
          <w:rFonts w:ascii="Verdana" w:hAnsi="Verdana" w:eastAsia="Verdana" w:cs="Verdana"/>
          <w:sz w:val="18"/>
          <w:szCs w:val="18"/>
        </w:rPr>
        <w:t xml:space="preserve"> wetenschappelijke literatuur mogelijk wordt. Volgens het kabinet moeten de nodige waarborgen worden getroffen om te voorkomen dat onbetrouwbare publicaties, zoals </w:t>
      </w:r>
      <w:r w:rsidRPr="00262341" w:rsidR="00C3B6BF">
        <w:rPr>
          <w:rFonts w:ascii="Verdana" w:hAnsi="Verdana" w:eastAsia="Verdana" w:cs="Verdana"/>
          <w:sz w:val="18"/>
          <w:szCs w:val="18"/>
        </w:rPr>
        <w:t>volledig</w:t>
      </w:r>
      <w:r w:rsidRPr="00262341" w:rsidR="43B7FD55">
        <w:rPr>
          <w:rFonts w:ascii="Verdana" w:hAnsi="Verdana" w:eastAsia="Verdana" w:cs="Verdana"/>
          <w:sz w:val="18"/>
          <w:szCs w:val="18"/>
        </w:rPr>
        <w:t xml:space="preserve"> AI-gegenereerde publicaties, worden gebruikt. </w:t>
      </w:r>
    </w:p>
    <w:p w:rsidRPr="00262341" w:rsidR="009A371A" w:rsidP="00262341" w:rsidRDefault="009A371A" w14:paraId="7ADBA346" w14:textId="77777777">
      <w:pPr>
        <w:spacing w:line="360" w:lineRule="auto"/>
        <w:rPr>
          <w:rFonts w:ascii="Verdana" w:hAnsi="Verdana" w:eastAsia="Verdana" w:cs="Verdana"/>
          <w:sz w:val="18"/>
          <w:szCs w:val="18"/>
        </w:rPr>
      </w:pPr>
    </w:p>
    <w:p w:rsidRPr="00262341" w:rsidR="005215C7" w:rsidP="00262341" w:rsidRDefault="6E0DAAEF" w14:paraId="4773EF7B" w14:textId="14106782">
      <w:pPr>
        <w:spacing w:line="360" w:lineRule="auto"/>
        <w:rPr>
          <w:rFonts w:ascii="Verdana" w:hAnsi="Verdana" w:eastAsia="Verdana" w:cs="Verdana"/>
          <w:sz w:val="18"/>
          <w:szCs w:val="18"/>
        </w:rPr>
      </w:pPr>
      <w:r w:rsidRPr="00262341">
        <w:rPr>
          <w:rFonts w:ascii="Verdana" w:hAnsi="Verdana" w:eastAsia="Verdana" w:cs="Verdana"/>
          <w:sz w:val="18"/>
          <w:szCs w:val="18"/>
          <w:lang w:eastAsia="en-US"/>
        </w:rPr>
        <w:t xml:space="preserve">Ook plaatst het kabinet enkele kanttekeningen bij het voorstel dat fabrikanten van buiten de EU al hun verantwoordelijkheden kunnen delegeren aan hun gemachtigden binnen de EU. Volgens het kabinet kan niet van een gemachtigde worden verwacht dat die zorgt voor naleving van verplichtingen die specifiek bedoeld zijn voor fabrikanten. Bovendien is dit voorstel weliswaar een versimpeling van de wetgeving voor fabrikanten buiten de EU, maar betreft het een verzwaring voor ondernemingen die in de EU gevestigd zijn. </w:t>
      </w:r>
    </w:p>
    <w:p w:rsidRPr="00262341" w:rsidR="3518C77A" w:rsidP="00262341" w:rsidRDefault="3518C77A" w14:paraId="692D75F7" w14:textId="33AAD79E">
      <w:pPr>
        <w:spacing w:line="360" w:lineRule="auto"/>
        <w:rPr>
          <w:rFonts w:ascii="Verdana" w:hAnsi="Verdana" w:eastAsia="Verdana" w:cs="Verdana"/>
          <w:sz w:val="18"/>
          <w:szCs w:val="18"/>
          <w:lang w:eastAsia="en-US"/>
        </w:rPr>
      </w:pPr>
    </w:p>
    <w:p w:rsidRPr="00262341" w:rsidR="26DED561" w:rsidP="00262341" w:rsidRDefault="003810A9" w14:paraId="7797D505" w14:textId="2112D203">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Vermindering </w:t>
      </w:r>
      <w:r w:rsidRPr="00262341" w:rsidR="4BB5FC10">
        <w:rPr>
          <w:rFonts w:ascii="Verdana" w:hAnsi="Verdana" w:eastAsia="Verdana" w:cs="Verdana"/>
          <w:i/>
          <w:iCs/>
          <w:sz w:val="18"/>
          <w:szCs w:val="18"/>
        </w:rPr>
        <w:t xml:space="preserve">van administratieve lasten </w:t>
      </w:r>
    </w:p>
    <w:p w:rsidRPr="00262341" w:rsidR="005215C7" w:rsidP="00262341" w:rsidRDefault="40148FDA" w14:paraId="04E2E10E" w14:textId="18DB60E1">
      <w:pPr>
        <w:spacing w:line="360" w:lineRule="auto"/>
        <w:contextualSpacing/>
        <w:rPr>
          <w:rFonts w:ascii="Verdana" w:hAnsi="Verdana" w:eastAsia="Verdana" w:cs="Verdana"/>
          <w:sz w:val="18"/>
          <w:szCs w:val="18"/>
        </w:rPr>
      </w:pPr>
      <w:r w:rsidRPr="00262341">
        <w:rPr>
          <w:rFonts w:ascii="Verdana" w:hAnsi="Verdana" w:eastAsia="Verdana" w:cs="Verdana"/>
          <w:sz w:val="18"/>
          <w:szCs w:val="18"/>
        </w:rPr>
        <w:t xml:space="preserve">Verder doet de Commissie enkele voorstellen om de bepalingen rondom vigilantie en market surveillance te vereenvoudigen, waar het kabinet overwegend positief over is. </w:t>
      </w:r>
    </w:p>
    <w:p w:rsidRPr="00262341" w:rsidR="000E4DF7" w:rsidP="00262341" w:rsidRDefault="000E4DF7" w14:paraId="2D68EE2C" w14:textId="77777777">
      <w:pPr>
        <w:spacing w:line="360" w:lineRule="auto"/>
        <w:rPr>
          <w:rFonts w:ascii="Verdana" w:hAnsi="Verdana" w:eastAsia="Verdana" w:cs="Verdana"/>
          <w:sz w:val="18"/>
          <w:szCs w:val="18"/>
          <w:highlight w:val="yellow"/>
        </w:rPr>
      </w:pPr>
    </w:p>
    <w:p w:rsidRPr="00262341" w:rsidR="1E5242F2" w:rsidP="00262341" w:rsidRDefault="1E5242F2" w14:paraId="61DA7861" w14:textId="6899E786">
      <w:pPr>
        <w:spacing w:line="360" w:lineRule="auto"/>
        <w:rPr>
          <w:rFonts w:ascii="Verdana" w:hAnsi="Verdana" w:eastAsia="Verdana" w:cs="Verdana"/>
          <w:sz w:val="18"/>
          <w:szCs w:val="18"/>
          <w:highlight w:val="yellow"/>
        </w:rPr>
      </w:pPr>
      <w:r w:rsidRPr="00262341">
        <w:rPr>
          <w:rFonts w:ascii="Verdana" w:hAnsi="Verdana" w:eastAsia="Verdana" w:cs="Verdana"/>
          <w:sz w:val="18"/>
          <w:szCs w:val="18"/>
        </w:rPr>
        <w:t xml:space="preserve">Het kabinet verwelkomt de proportionele eisen voor de WET. Eén van de huidige uitzonderingen op de eisen voor WET is dat er geen verplichting is ingesteld om een implantaatkaart en </w:t>
      </w:r>
      <w:r w:rsidRPr="00262341">
        <w:rPr>
          <w:rFonts w:ascii="Verdana" w:hAnsi="Verdana" w:eastAsia="Verdana" w:cs="Verdana"/>
          <w:sz w:val="18"/>
          <w:szCs w:val="18"/>
        </w:rPr>
        <w:lastRenderedPageBreak/>
        <w:t xml:space="preserve">veiligheidsinformatie aan te bieden aan de patiënt. Het kabinet is van mening dat als de lijst wordt uitgebreid en de definitie van WET wordt verbreed, er voldoende transparantie voor patiënt en gebruiker moeten worden gewaarborgd. </w:t>
      </w:r>
    </w:p>
    <w:p w:rsidRPr="00262341" w:rsidR="43559894" w:rsidP="00262341" w:rsidRDefault="43559894" w14:paraId="0DBED33B" w14:textId="5AF5E8F1">
      <w:pPr>
        <w:spacing w:line="360" w:lineRule="auto"/>
        <w:rPr>
          <w:rFonts w:ascii="Verdana" w:hAnsi="Verdana" w:eastAsia="Verdana" w:cs="Verdana"/>
          <w:sz w:val="18"/>
          <w:szCs w:val="18"/>
          <w:highlight w:val="yellow"/>
        </w:rPr>
      </w:pPr>
    </w:p>
    <w:p w:rsidRPr="00262341" w:rsidR="00A83D39" w:rsidDel="001F1FB7" w:rsidP="00262341" w:rsidRDefault="6E0DAAEF" w14:paraId="56C310EC" w14:textId="7F3802D4">
      <w:pPr>
        <w:spacing w:line="360" w:lineRule="auto"/>
        <w:rPr>
          <w:rFonts w:ascii="Verdana" w:hAnsi="Verdana" w:eastAsia="Verdana" w:cs="Verdana"/>
          <w:sz w:val="18"/>
          <w:szCs w:val="18"/>
        </w:rPr>
      </w:pPr>
      <w:r w:rsidRPr="00262341">
        <w:rPr>
          <w:rFonts w:ascii="Verdana" w:hAnsi="Verdana" w:eastAsia="Verdana" w:cs="Verdana"/>
          <w:sz w:val="18"/>
          <w:szCs w:val="18"/>
        </w:rPr>
        <w:t xml:space="preserve">Hoewel </w:t>
      </w:r>
      <w:r w:rsidRPr="00262341" w:rsidR="00507491">
        <w:rPr>
          <w:rFonts w:ascii="Verdana" w:hAnsi="Verdana" w:eastAsia="Verdana" w:cs="Verdana"/>
          <w:sz w:val="18"/>
          <w:szCs w:val="18"/>
        </w:rPr>
        <w:t>het</w:t>
      </w:r>
      <w:r w:rsidRPr="00262341">
        <w:rPr>
          <w:rFonts w:ascii="Verdana" w:hAnsi="Verdana" w:eastAsia="Verdana" w:cs="Verdana"/>
          <w:sz w:val="18"/>
          <w:szCs w:val="18"/>
        </w:rPr>
        <w:t xml:space="preserve"> als vereenvoudiging</w:t>
      </w:r>
      <w:r w:rsidRPr="00262341" w:rsidR="00507491">
        <w:rPr>
          <w:rFonts w:ascii="Verdana" w:hAnsi="Verdana" w:eastAsia="Verdana" w:cs="Verdana"/>
          <w:sz w:val="18"/>
          <w:szCs w:val="18"/>
        </w:rPr>
        <w:t xml:space="preserve"> bedoeld is</w:t>
      </w:r>
      <w:r w:rsidRPr="00262341">
        <w:rPr>
          <w:rFonts w:ascii="Verdana" w:hAnsi="Verdana" w:eastAsia="Verdana" w:cs="Verdana"/>
          <w:sz w:val="18"/>
          <w:szCs w:val="18"/>
        </w:rPr>
        <w:t xml:space="preserve">, heeft het kabinet ook zorgen over de consequenties van het voorstel om de </w:t>
      </w:r>
      <w:r w:rsidRPr="00262341" w:rsidR="00507491">
        <w:rPr>
          <w:rFonts w:ascii="Verdana" w:hAnsi="Verdana" w:eastAsia="Verdana" w:cs="Verdana"/>
          <w:sz w:val="18"/>
          <w:szCs w:val="18"/>
        </w:rPr>
        <w:t xml:space="preserve">reikwijdte </w:t>
      </w:r>
      <w:r w:rsidRPr="00262341">
        <w:rPr>
          <w:rFonts w:ascii="Verdana" w:hAnsi="Verdana" w:eastAsia="Verdana" w:cs="Verdana"/>
          <w:sz w:val="18"/>
          <w:szCs w:val="18"/>
        </w:rPr>
        <w:t xml:space="preserve">van </w:t>
      </w:r>
      <w:r w:rsidRPr="00262341" w:rsidR="19F415FB">
        <w:rPr>
          <w:rFonts w:ascii="Verdana" w:hAnsi="Verdana" w:eastAsia="Verdana" w:cs="Verdana"/>
          <w:sz w:val="18"/>
          <w:szCs w:val="18"/>
        </w:rPr>
        <w:t xml:space="preserve">de algemene eisen voor klinisch onderzoek </w:t>
      </w:r>
      <w:r w:rsidRPr="00262341">
        <w:rPr>
          <w:rFonts w:ascii="Verdana" w:hAnsi="Verdana" w:eastAsia="Verdana" w:cs="Verdana"/>
          <w:sz w:val="18"/>
          <w:szCs w:val="18"/>
        </w:rPr>
        <w:t xml:space="preserve">uit te breiden en </w:t>
      </w:r>
      <w:r w:rsidRPr="00262341" w:rsidR="19F415FB">
        <w:rPr>
          <w:rFonts w:ascii="Verdana" w:hAnsi="Verdana" w:eastAsia="Verdana" w:cs="Verdana"/>
          <w:sz w:val="18"/>
          <w:szCs w:val="18"/>
        </w:rPr>
        <w:t>vereisten voor andere klinische onderzoeken te laten vervallen.</w:t>
      </w:r>
      <w:r w:rsidRPr="00262341">
        <w:rPr>
          <w:rFonts w:ascii="Verdana" w:hAnsi="Verdana" w:eastAsia="Verdana" w:cs="Verdana"/>
          <w:sz w:val="18"/>
          <w:szCs w:val="18"/>
        </w:rPr>
        <w:t xml:space="preserve"> Door deze wijziging zal ook het academisch-geïnitieerd onderzoek naar niet CE-gemarkeerde medische hulpmiddelen onder een zwaarder toetsingskader vallen en worden de administratieve lasten hoger. Dit kan innovatie binnen zorginstellingen onnodig belemmeren. Hoewel het wenselijk kan zijn om via </w:t>
      </w:r>
      <w:r w:rsidRPr="00262341" w:rsidR="00D062F8">
        <w:rPr>
          <w:rFonts w:ascii="Verdana" w:hAnsi="Verdana" w:eastAsia="Verdana" w:cs="Verdana"/>
          <w:sz w:val="18"/>
          <w:szCs w:val="18"/>
        </w:rPr>
        <w:t>MDR-artikel</w:t>
      </w:r>
      <w:r w:rsidRPr="00262341">
        <w:rPr>
          <w:rFonts w:ascii="Verdana" w:hAnsi="Verdana" w:eastAsia="Verdana" w:cs="Verdana"/>
          <w:sz w:val="18"/>
          <w:szCs w:val="18"/>
        </w:rPr>
        <w:t xml:space="preserve"> 62 </w:t>
      </w:r>
      <w:r w:rsidRPr="00262341" w:rsidR="6F0DCD31">
        <w:rPr>
          <w:rFonts w:ascii="Verdana" w:hAnsi="Verdana" w:eastAsia="Verdana" w:cs="Verdana"/>
          <w:sz w:val="18"/>
          <w:szCs w:val="18"/>
        </w:rPr>
        <w:t>procedures</w:t>
      </w:r>
      <w:r w:rsidRPr="00262341">
        <w:rPr>
          <w:rFonts w:ascii="Verdana" w:hAnsi="Verdana" w:eastAsia="Verdana" w:cs="Verdana"/>
          <w:sz w:val="18"/>
          <w:szCs w:val="18"/>
        </w:rPr>
        <w:t xml:space="preserve"> te harmoniseren voor dit type onderzoek, zal het kabinet zich ervoor inzetten dat de administratieve lasten niet </w:t>
      </w:r>
      <w:r w:rsidRPr="00262341" w:rsidR="00D062F8">
        <w:rPr>
          <w:rFonts w:ascii="Verdana" w:hAnsi="Verdana" w:eastAsia="Verdana" w:cs="Verdana"/>
          <w:sz w:val="18"/>
          <w:szCs w:val="18"/>
        </w:rPr>
        <w:t>toenemen</w:t>
      </w:r>
      <w:r w:rsidRPr="00262341" w:rsidR="00706AB2">
        <w:rPr>
          <w:rFonts w:ascii="Verdana" w:hAnsi="Verdana" w:eastAsia="Verdana" w:cs="Verdana"/>
          <w:sz w:val="18"/>
          <w:szCs w:val="18"/>
        </w:rPr>
        <w:t xml:space="preserve"> voor dit soort onderzoek</w:t>
      </w:r>
      <w:r w:rsidRPr="00262341">
        <w:rPr>
          <w:rFonts w:ascii="Verdana" w:hAnsi="Verdana" w:eastAsia="Verdana" w:cs="Verdana"/>
          <w:sz w:val="18"/>
          <w:szCs w:val="18"/>
        </w:rPr>
        <w:t xml:space="preserve">. </w:t>
      </w:r>
    </w:p>
    <w:p w:rsidRPr="00262341" w:rsidR="004C29C8" w:rsidP="00262341" w:rsidRDefault="004C29C8" w14:paraId="0CC78837" w14:textId="77777777">
      <w:pPr>
        <w:spacing w:line="360" w:lineRule="auto"/>
        <w:rPr>
          <w:rFonts w:ascii="Verdana" w:hAnsi="Verdana" w:eastAsia="Verdana" w:cs="Verdana"/>
          <w:sz w:val="18"/>
          <w:szCs w:val="18"/>
        </w:rPr>
      </w:pPr>
    </w:p>
    <w:p w:rsidRPr="00262341" w:rsidR="430716EB" w:rsidP="00262341" w:rsidRDefault="6E0DAAEF" w14:paraId="00F4F55E" w14:textId="753901CC">
      <w:pPr>
        <w:spacing w:line="360" w:lineRule="auto"/>
        <w:rPr>
          <w:rFonts w:ascii="Verdana" w:hAnsi="Verdana" w:eastAsia="Verdana" w:cs="Verdana"/>
          <w:sz w:val="18"/>
          <w:szCs w:val="18"/>
          <w:highlight w:val="yellow"/>
        </w:rPr>
      </w:pPr>
      <w:r w:rsidRPr="00262341">
        <w:rPr>
          <w:rFonts w:ascii="Verdana" w:hAnsi="Verdana" w:eastAsia="Verdana" w:cs="Verdana"/>
          <w:i/>
          <w:iCs/>
          <w:sz w:val="18"/>
          <w:szCs w:val="18"/>
        </w:rPr>
        <w:t xml:space="preserve">Innovatie en beschikbaarheid voor speciale groepen patiënten of situaties </w:t>
      </w:r>
    </w:p>
    <w:p w:rsidRPr="00262341" w:rsidR="3871E6CD" w:rsidP="00262341" w:rsidRDefault="74D09478" w14:paraId="25008525" w14:textId="00C28123">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staat overwegend positief tegenover de voorstellen voor een vereenvoudigde toelating </w:t>
      </w:r>
      <w:r w:rsidRPr="00262341" w:rsidR="00D062F8">
        <w:rPr>
          <w:rFonts w:ascii="Verdana" w:hAnsi="Verdana" w:eastAsia="Verdana" w:cs="Verdana"/>
          <w:sz w:val="18"/>
          <w:szCs w:val="18"/>
        </w:rPr>
        <w:t xml:space="preserve">van </w:t>
      </w:r>
      <w:r w:rsidRPr="00262341">
        <w:rPr>
          <w:rFonts w:ascii="Verdana" w:hAnsi="Verdana" w:eastAsia="Verdana" w:cs="Verdana"/>
          <w:sz w:val="18"/>
          <w:szCs w:val="18"/>
        </w:rPr>
        <w:t xml:space="preserve">weeshulpmiddelen en innovatieve medische hulpmiddelen (doorbraaktechnologieën). Deze voorstellen dragen bij aan betere zorg volgens de huidige stand van de wetenschap, </w:t>
      </w:r>
      <w:r w:rsidRPr="00262341" w:rsidR="00D062F8">
        <w:rPr>
          <w:rFonts w:ascii="Verdana" w:hAnsi="Verdana" w:eastAsia="Verdana" w:cs="Verdana"/>
          <w:sz w:val="18"/>
          <w:szCs w:val="18"/>
        </w:rPr>
        <w:t xml:space="preserve">maken </w:t>
      </w:r>
      <w:r w:rsidRPr="00262341">
        <w:rPr>
          <w:rFonts w:ascii="Verdana" w:hAnsi="Verdana" w:eastAsia="Verdana" w:cs="Verdana"/>
          <w:sz w:val="18"/>
          <w:szCs w:val="18"/>
        </w:rPr>
        <w:t xml:space="preserve">het mogelijk om onvervulde </w:t>
      </w:r>
      <w:r w:rsidRPr="00262341" w:rsidR="00D062F8">
        <w:rPr>
          <w:rFonts w:ascii="Verdana" w:hAnsi="Verdana" w:eastAsia="Verdana" w:cs="Verdana"/>
          <w:sz w:val="18"/>
          <w:szCs w:val="18"/>
        </w:rPr>
        <w:t xml:space="preserve">behoeften </w:t>
      </w:r>
      <w:r w:rsidRPr="00262341">
        <w:rPr>
          <w:rFonts w:ascii="Verdana" w:hAnsi="Verdana" w:eastAsia="Verdana" w:cs="Verdana"/>
          <w:sz w:val="18"/>
          <w:szCs w:val="18"/>
        </w:rPr>
        <w:t xml:space="preserve">te adresseren, en </w:t>
      </w:r>
      <w:r w:rsidRPr="00262341" w:rsidR="00D062F8">
        <w:rPr>
          <w:rFonts w:ascii="Verdana" w:hAnsi="Verdana" w:eastAsia="Verdana" w:cs="Verdana"/>
          <w:sz w:val="18"/>
          <w:szCs w:val="18"/>
        </w:rPr>
        <w:t xml:space="preserve">stimuleren </w:t>
      </w:r>
      <w:r w:rsidRPr="00262341">
        <w:rPr>
          <w:rFonts w:ascii="Verdana" w:hAnsi="Verdana" w:eastAsia="Verdana" w:cs="Verdana"/>
          <w:sz w:val="18"/>
          <w:szCs w:val="18"/>
        </w:rPr>
        <w:t>het innovatieklimaat in de EU. Deze speciale toelatingspaden, samen met het onder voorwaarden toelaten van weeshulpmiddelen waarvoor op grond van de oude richtlijnen een geldig certificaat is afgegeven</w:t>
      </w:r>
      <w:r w:rsidRPr="00262341" w:rsidR="00D062F8">
        <w:rPr>
          <w:rFonts w:ascii="Verdana" w:hAnsi="Verdana" w:eastAsia="Verdana" w:cs="Verdana"/>
          <w:sz w:val="18"/>
          <w:szCs w:val="18"/>
        </w:rPr>
        <w:t>,</w:t>
      </w:r>
      <w:r w:rsidRPr="00262341">
        <w:rPr>
          <w:rFonts w:ascii="Verdana" w:hAnsi="Verdana" w:eastAsia="Verdana" w:cs="Verdana"/>
          <w:sz w:val="18"/>
          <w:szCs w:val="18"/>
        </w:rPr>
        <w:t xml:space="preserve"> of in het geval van zelfcertificering een conformiteitsverklaring is opgesteld (</w:t>
      </w:r>
      <w:proofErr w:type="spellStart"/>
      <w:r w:rsidRPr="00262341">
        <w:rPr>
          <w:rFonts w:ascii="Verdana" w:hAnsi="Verdana" w:eastAsia="Verdana" w:cs="Verdana"/>
          <w:i/>
          <w:iCs/>
          <w:sz w:val="18"/>
          <w:szCs w:val="18"/>
        </w:rPr>
        <w:t>grandfathering</w:t>
      </w:r>
      <w:proofErr w:type="spellEnd"/>
      <w:r w:rsidRPr="00262341">
        <w:rPr>
          <w:rFonts w:ascii="Verdana" w:hAnsi="Verdana" w:eastAsia="Verdana" w:cs="Verdana"/>
          <w:sz w:val="18"/>
          <w:szCs w:val="18"/>
        </w:rPr>
        <w:t>), zullen een grote impact hebben op de beschikbaarheid van deze hulpmiddelen.</w:t>
      </w:r>
    </w:p>
    <w:p w:rsidRPr="00262341" w:rsidR="003810A9" w:rsidP="00262341" w:rsidRDefault="003810A9" w14:paraId="5B3D6553" w14:textId="77777777">
      <w:pPr>
        <w:spacing w:line="360" w:lineRule="auto"/>
        <w:rPr>
          <w:rFonts w:ascii="Verdana" w:hAnsi="Verdana" w:eastAsia="Verdana" w:cs="Verdana"/>
          <w:sz w:val="18"/>
          <w:szCs w:val="18"/>
        </w:rPr>
      </w:pPr>
    </w:p>
    <w:p w:rsidRPr="00262341" w:rsidR="68E7B718" w:rsidP="00262341" w:rsidRDefault="6E0DAAEF" w14:paraId="23E58BE0" w14:textId="66B50683">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vindt het belangrijk te benoemen dat </w:t>
      </w:r>
      <w:r w:rsidRPr="00262341" w:rsidR="6F0DCD31">
        <w:rPr>
          <w:rFonts w:ascii="Verdana" w:hAnsi="Verdana" w:eastAsia="Verdana" w:cs="Verdana"/>
          <w:sz w:val="18"/>
          <w:szCs w:val="18"/>
        </w:rPr>
        <w:t xml:space="preserve">een expert-panel zal beoordelen of </w:t>
      </w:r>
      <w:r w:rsidRPr="00262341">
        <w:rPr>
          <w:rFonts w:ascii="Verdana" w:hAnsi="Verdana" w:eastAsia="Verdana" w:cs="Verdana"/>
          <w:sz w:val="18"/>
          <w:szCs w:val="18"/>
        </w:rPr>
        <w:t xml:space="preserve">een medisch hulpmiddel </w:t>
      </w:r>
      <w:r w:rsidRPr="00262341" w:rsidR="6F0DCD31">
        <w:rPr>
          <w:rFonts w:ascii="Verdana" w:hAnsi="Verdana" w:eastAsia="Verdana" w:cs="Verdana"/>
          <w:sz w:val="18"/>
          <w:szCs w:val="18"/>
        </w:rPr>
        <w:t xml:space="preserve">al dan </w:t>
      </w:r>
      <w:r w:rsidRPr="00262341">
        <w:rPr>
          <w:rFonts w:ascii="Verdana" w:hAnsi="Verdana" w:eastAsia="Verdana" w:cs="Verdana"/>
          <w:sz w:val="18"/>
          <w:szCs w:val="18"/>
        </w:rPr>
        <w:t xml:space="preserve">niet </w:t>
      </w:r>
      <w:r w:rsidRPr="00262341" w:rsidR="6F0DCD31">
        <w:rPr>
          <w:rFonts w:ascii="Verdana" w:hAnsi="Verdana" w:eastAsia="Verdana" w:cs="Verdana"/>
          <w:sz w:val="18"/>
          <w:szCs w:val="18"/>
        </w:rPr>
        <w:t>kan worden aangemerkt als</w:t>
      </w:r>
      <w:r w:rsidRPr="00262341">
        <w:rPr>
          <w:rFonts w:ascii="Verdana" w:hAnsi="Verdana" w:eastAsia="Verdana" w:cs="Verdana"/>
          <w:sz w:val="18"/>
          <w:szCs w:val="18"/>
        </w:rPr>
        <w:t xml:space="preserve"> weeshulpmiddel</w:t>
      </w:r>
      <w:r w:rsidRPr="00262341" w:rsidR="00235C66">
        <w:rPr>
          <w:rFonts w:ascii="Verdana" w:hAnsi="Verdana" w:eastAsia="Verdana" w:cs="Verdana"/>
          <w:sz w:val="18"/>
          <w:szCs w:val="18"/>
        </w:rPr>
        <w:t xml:space="preserve"> of doorbraaktechnologie</w:t>
      </w:r>
      <w:r w:rsidRPr="00262341" w:rsidR="6F0DCD31">
        <w:rPr>
          <w:rFonts w:ascii="Verdana" w:hAnsi="Verdana" w:eastAsia="Verdana" w:cs="Verdana"/>
          <w:sz w:val="18"/>
          <w:szCs w:val="18"/>
        </w:rPr>
        <w:t>.</w:t>
      </w:r>
      <w:r w:rsidRPr="00262341">
        <w:rPr>
          <w:rFonts w:ascii="Verdana" w:hAnsi="Verdana" w:eastAsia="Verdana" w:cs="Verdana"/>
          <w:sz w:val="18"/>
          <w:szCs w:val="18"/>
        </w:rPr>
        <w:t xml:space="preserve"> Hieruit volgt dat het van groot belang is dat de juiste kennis beschikbaar is bij deze expertpanels en dat de beoordeling </w:t>
      </w:r>
      <w:r w:rsidRPr="00262341" w:rsidR="00D062F8">
        <w:rPr>
          <w:rFonts w:ascii="Verdana" w:hAnsi="Verdana" w:eastAsia="Verdana" w:cs="Verdana"/>
          <w:sz w:val="18"/>
          <w:szCs w:val="18"/>
        </w:rPr>
        <w:t xml:space="preserve">op een transparante manier </w:t>
      </w:r>
      <w:r w:rsidRPr="00262341">
        <w:rPr>
          <w:rFonts w:ascii="Verdana" w:hAnsi="Verdana" w:eastAsia="Verdana" w:cs="Verdana"/>
          <w:sz w:val="18"/>
          <w:szCs w:val="18"/>
        </w:rPr>
        <w:t xml:space="preserve">verloopt. Hoewel </w:t>
      </w:r>
      <w:r w:rsidRPr="00262341" w:rsidR="00D062F8">
        <w:rPr>
          <w:rFonts w:ascii="Verdana" w:hAnsi="Verdana" w:eastAsia="Verdana" w:cs="Verdana"/>
          <w:sz w:val="18"/>
          <w:szCs w:val="18"/>
        </w:rPr>
        <w:t xml:space="preserve">het kabinet </w:t>
      </w:r>
      <w:r w:rsidRPr="00262341">
        <w:rPr>
          <w:rFonts w:ascii="Verdana" w:hAnsi="Verdana" w:eastAsia="Verdana" w:cs="Verdana"/>
          <w:sz w:val="18"/>
          <w:szCs w:val="18"/>
        </w:rPr>
        <w:t xml:space="preserve">positief </w:t>
      </w:r>
      <w:r w:rsidRPr="00262341" w:rsidR="00D062F8">
        <w:rPr>
          <w:rFonts w:ascii="Verdana" w:hAnsi="Verdana" w:eastAsia="Verdana" w:cs="Verdana"/>
          <w:sz w:val="18"/>
          <w:szCs w:val="18"/>
        </w:rPr>
        <w:t xml:space="preserve">staat tegenover </w:t>
      </w:r>
      <w:r w:rsidRPr="00262341">
        <w:rPr>
          <w:rFonts w:ascii="Verdana" w:hAnsi="Verdana" w:eastAsia="Verdana" w:cs="Verdana"/>
          <w:sz w:val="18"/>
          <w:szCs w:val="18"/>
        </w:rPr>
        <w:t xml:space="preserve">het voorstel </w:t>
      </w:r>
      <w:r w:rsidRPr="00262341" w:rsidR="00235C66">
        <w:rPr>
          <w:rFonts w:ascii="Verdana" w:hAnsi="Verdana" w:eastAsia="Verdana" w:cs="Verdana"/>
          <w:sz w:val="18"/>
          <w:szCs w:val="18"/>
        </w:rPr>
        <w:t xml:space="preserve">om onder voorwaarden toe te staan dat een weeshulpmiddel met een geldig certificaat op grond van de oude richtlijnen via zelfcertificering op de markt komt, </w:t>
      </w:r>
      <w:r w:rsidRPr="00262341" w:rsidR="6F0DCD31">
        <w:rPr>
          <w:rFonts w:ascii="Verdana" w:hAnsi="Verdana" w:eastAsia="Verdana" w:cs="Verdana"/>
          <w:sz w:val="18"/>
          <w:szCs w:val="18"/>
        </w:rPr>
        <w:t>acht</w:t>
      </w:r>
      <w:r w:rsidRPr="00262341">
        <w:rPr>
          <w:rFonts w:ascii="Verdana" w:hAnsi="Verdana" w:eastAsia="Verdana" w:cs="Verdana"/>
          <w:sz w:val="18"/>
          <w:szCs w:val="18"/>
        </w:rPr>
        <w:t xml:space="preserve"> het kabinet </w:t>
      </w:r>
      <w:r w:rsidRPr="00262341" w:rsidR="6F0DCD31">
        <w:rPr>
          <w:rFonts w:ascii="Verdana" w:hAnsi="Verdana" w:eastAsia="Verdana" w:cs="Verdana"/>
          <w:sz w:val="18"/>
          <w:szCs w:val="18"/>
        </w:rPr>
        <w:t xml:space="preserve">het van belang dat </w:t>
      </w:r>
      <w:r w:rsidRPr="00262341" w:rsidR="00D062F8">
        <w:rPr>
          <w:rFonts w:ascii="Verdana" w:hAnsi="Verdana" w:eastAsia="Verdana" w:cs="Verdana"/>
          <w:sz w:val="18"/>
          <w:szCs w:val="18"/>
        </w:rPr>
        <w:t xml:space="preserve">wordt </w:t>
      </w:r>
      <w:r w:rsidRPr="00262341" w:rsidR="6F0DCD31">
        <w:rPr>
          <w:rFonts w:ascii="Verdana" w:hAnsi="Verdana" w:eastAsia="Verdana" w:cs="Verdana"/>
          <w:sz w:val="18"/>
          <w:szCs w:val="18"/>
        </w:rPr>
        <w:t>verduidelijkt wat onder significante wijziging wordt verstaan.</w:t>
      </w:r>
      <w:r w:rsidRPr="00262341">
        <w:rPr>
          <w:rFonts w:ascii="Verdana" w:hAnsi="Verdana" w:eastAsia="Verdana" w:cs="Verdana"/>
          <w:sz w:val="18"/>
          <w:szCs w:val="18"/>
        </w:rPr>
        <w:t xml:space="preserve"> Het kabinet zal zich inzetten voor een verduidelijking van deze voorwaarden. </w:t>
      </w:r>
    </w:p>
    <w:p w:rsidRPr="00262341" w:rsidR="00B6527F" w:rsidP="00262341" w:rsidRDefault="00B6527F" w14:paraId="0B73A711" w14:textId="77777777">
      <w:pPr>
        <w:spacing w:line="360" w:lineRule="auto"/>
        <w:rPr>
          <w:rFonts w:ascii="Verdana" w:hAnsi="Verdana" w:eastAsia="Verdana" w:cs="Verdana"/>
          <w:sz w:val="18"/>
          <w:szCs w:val="18"/>
        </w:rPr>
      </w:pPr>
    </w:p>
    <w:p w:rsidRPr="00262341" w:rsidR="0D49272E" w:rsidP="00262341" w:rsidRDefault="1E5242F2" w14:paraId="6C349362" w14:textId="123EBA09">
      <w:pPr>
        <w:spacing w:line="360" w:lineRule="auto"/>
        <w:rPr>
          <w:rFonts w:ascii="Verdana" w:hAnsi="Verdana" w:eastAsia="Verdana" w:cs="Verdana"/>
          <w:sz w:val="18"/>
          <w:szCs w:val="18"/>
        </w:rPr>
      </w:pPr>
      <w:r w:rsidRPr="00262341">
        <w:rPr>
          <w:rFonts w:ascii="Verdana" w:hAnsi="Verdana" w:eastAsia="Verdana" w:cs="Verdana"/>
          <w:sz w:val="18"/>
          <w:szCs w:val="18"/>
        </w:rPr>
        <w:t>Het kabinet plaatst enkele kanttekeningen bij de voorstellen om verplichtingen rondom in-huis gemaakte medische hulpmiddelen te verwijderen</w:t>
      </w:r>
      <w:r w:rsidRPr="00262341" w:rsidR="000570C7">
        <w:rPr>
          <w:rFonts w:ascii="Verdana" w:hAnsi="Verdana" w:eastAsia="Verdana" w:cs="Verdana"/>
          <w:sz w:val="18"/>
          <w:szCs w:val="18"/>
        </w:rPr>
        <w:t>,</w:t>
      </w:r>
      <w:r w:rsidRPr="00262341">
        <w:rPr>
          <w:rFonts w:ascii="Verdana" w:hAnsi="Verdana" w:eastAsia="Verdana" w:cs="Verdana"/>
          <w:sz w:val="18"/>
          <w:szCs w:val="18"/>
        </w:rPr>
        <w:t xml:space="preserve"> zoals het verlagen van de eisen voor laboratoria. </w:t>
      </w:r>
      <w:r w:rsidRPr="00262341">
        <w:rPr>
          <w:rFonts w:ascii="Verdana" w:hAnsi="Verdana" w:eastAsia="Verdana" w:cs="Verdana"/>
          <w:color w:val="000000" w:themeColor="text1"/>
          <w:sz w:val="18"/>
          <w:szCs w:val="18"/>
        </w:rPr>
        <w:t xml:space="preserve">De voorgestelde versoepelingen zullen leiden tot meer in-huis geproduceerde medische hulpmiddelen, waardoor er meer hulpmiddelen met minder waarborgen in omloop zullen komen. </w:t>
      </w:r>
      <w:r w:rsidRPr="00262341">
        <w:rPr>
          <w:rFonts w:ascii="Verdana" w:hAnsi="Verdana" w:eastAsia="Verdana" w:cs="Verdana"/>
          <w:sz w:val="18"/>
          <w:szCs w:val="18"/>
        </w:rPr>
        <w:t xml:space="preserve">Deze hulpmiddelen zullen ook minder traceerbaar zijn. Het kabinet zal zich ervoor inzetten dat de veiligheid van medische hulmiddelen, ook bij uitwisseling tussen zorginstellingen, voldoende geborgd blijft. Momenteel mogen in-huis medische hulpmiddelen alleen worden geproduceerd als er geen CE-gemarkeerd alternatief is. De Commissie stelt voor deze voorwaarde te verwijderen voor in-huis </w:t>
      </w:r>
      <w:proofErr w:type="spellStart"/>
      <w:r w:rsidRPr="00262341">
        <w:rPr>
          <w:rFonts w:ascii="Verdana" w:hAnsi="Verdana" w:eastAsia="Verdana" w:cs="Verdana"/>
          <w:sz w:val="18"/>
          <w:szCs w:val="18"/>
        </w:rPr>
        <w:t>IVD’s</w:t>
      </w:r>
      <w:proofErr w:type="spellEnd"/>
      <w:r w:rsidRPr="00262341">
        <w:rPr>
          <w:rFonts w:ascii="Verdana" w:hAnsi="Verdana" w:eastAsia="Verdana" w:cs="Verdana"/>
          <w:sz w:val="18"/>
          <w:szCs w:val="18"/>
        </w:rPr>
        <w:t xml:space="preserve">. Voor medische hulpmiddelen stelt de Commissie voor dat zorginstellingen in-huis gemaakte hulpmiddelen mogen vervaardigen en gebruiken tot 10 jaar nadat bekend is dat er </w:t>
      </w:r>
      <w:r w:rsidRPr="00262341">
        <w:rPr>
          <w:rFonts w:ascii="Verdana" w:hAnsi="Verdana" w:eastAsia="Verdana" w:cs="Verdana"/>
          <w:sz w:val="18"/>
          <w:szCs w:val="18"/>
        </w:rPr>
        <w:lastRenderedPageBreak/>
        <w:t xml:space="preserve">een gelijkwaardig hulpmiddel bestaat voor de specifieke behoefte van een patiëntengroep. Hierdoor kunnen zorginstellingen eigen hulpmiddelen </w:t>
      </w:r>
      <w:r w:rsidRPr="00262341" w:rsidR="000570C7">
        <w:rPr>
          <w:rFonts w:ascii="Verdana" w:hAnsi="Verdana" w:eastAsia="Verdana" w:cs="Verdana"/>
          <w:sz w:val="18"/>
          <w:szCs w:val="18"/>
        </w:rPr>
        <w:t xml:space="preserve">langdurig </w:t>
      </w:r>
      <w:r w:rsidRPr="00262341">
        <w:rPr>
          <w:rFonts w:ascii="Verdana" w:hAnsi="Verdana" w:eastAsia="Verdana" w:cs="Verdana"/>
          <w:sz w:val="18"/>
          <w:szCs w:val="18"/>
        </w:rPr>
        <w:t xml:space="preserve">blijven gebruiken en delen, wat het risico vergroot dat fabrikanten geen aanleiding zien tot certificering. Het kabinet streeft naar mitigatie van deze ongewenste consequentie. </w:t>
      </w:r>
    </w:p>
    <w:p w:rsidRPr="00262341" w:rsidR="000570C7" w:rsidP="00262341" w:rsidRDefault="000570C7" w14:paraId="72EF43FE" w14:textId="77777777">
      <w:pPr>
        <w:spacing w:line="360" w:lineRule="auto"/>
        <w:rPr>
          <w:rFonts w:ascii="Verdana" w:hAnsi="Verdana" w:eastAsia="Verdana" w:cs="Verdana"/>
          <w:i/>
          <w:iCs/>
          <w:sz w:val="18"/>
          <w:szCs w:val="18"/>
        </w:rPr>
      </w:pPr>
    </w:p>
    <w:p w:rsidRPr="00262341" w:rsidR="000570C7" w:rsidP="00262341" w:rsidRDefault="00B6527F" w14:paraId="68671735" w14:textId="0AF6A08F">
      <w:pPr>
        <w:spacing w:line="360" w:lineRule="auto"/>
        <w:rPr>
          <w:rFonts w:ascii="Verdana" w:hAnsi="Verdana" w:eastAsia="Verdana" w:cs="Verdana"/>
          <w:i/>
          <w:iCs/>
          <w:sz w:val="18"/>
          <w:szCs w:val="18"/>
        </w:rPr>
      </w:pPr>
      <w:r w:rsidRPr="00262341">
        <w:rPr>
          <w:rFonts w:ascii="Verdana" w:hAnsi="Verdana" w:eastAsia="Verdana" w:cs="Verdana"/>
          <w:sz w:val="18"/>
          <w:szCs w:val="18"/>
        </w:rPr>
        <w:t>Het kabinet is</w:t>
      </w:r>
      <w:r w:rsidRPr="00262341" w:rsidR="000C4720">
        <w:rPr>
          <w:rFonts w:ascii="Verdana" w:hAnsi="Verdana" w:eastAsia="Verdana" w:cs="Verdana"/>
          <w:sz w:val="18"/>
          <w:szCs w:val="18"/>
        </w:rPr>
        <w:t xml:space="preserve"> zeer positief</w:t>
      </w:r>
      <w:r w:rsidRPr="00262341">
        <w:rPr>
          <w:rFonts w:ascii="Verdana" w:hAnsi="Verdana" w:eastAsia="Verdana" w:cs="Verdana"/>
          <w:sz w:val="18"/>
          <w:szCs w:val="18"/>
        </w:rPr>
        <w:t xml:space="preserve"> over het voorstel dat medische hulpmiddelen enkel als herbruikbaar op de markt mogen komen, tenzij dit vanwege de veiligheid of prestaties echt niet anders kan. Dit bevordert de circulariteit in de zorg, de beschikbaarheid (ook van grondstoffen) en zal verspilling tegengaan. Het kabinet wenst wel dat het voor externe </w:t>
      </w:r>
      <w:proofErr w:type="spellStart"/>
      <w:r w:rsidRPr="00262341">
        <w:rPr>
          <w:rFonts w:ascii="Verdana" w:hAnsi="Verdana" w:eastAsia="Verdana" w:cs="Verdana"/>
          <w:sz w:val="18"/>
          <w:szCs w:val="18"/>
        </w:rPr>
        <w:t>herverwerkers</w:t>
      </w:r>
      <w:proofErr w:type="spellEnd"/>
      <w:r w:rsidRPr="00262341">
        <w:rPr>
          <w:rFonts w:ascii="Verdana" w:hAnsi="Verdana" w:eastAsia="Verdana" w:cs="Verdana"/>
          <w:sz w:val="18"/>
          <w:szCs w:val="18"/>
        </w:rPr>
        <w:t xml:space="preserve"> mogelijk blijft om medische hulpmiddelen voor eenmalig gebruik te </w:t>
      </w:r>
      <w:proofErr w:type="spellStart"/>
      <w:r w:rsidRPr="00262341">
        <w:rPr>
          <w:rFonts w:ascii="Verdana" w:hAnsi="Verdana" w:eastAsia="Verdana" w:cs="Verdana"/>
          <w:sz w:val="18"/>
          <w:szCs w:val="18"/>
        </w:rPr>
        <w:t>herverwerken</w:t>
      </w:r>
      <w:proofErr w:type="spellEnd"/>
      <w:r w:rsidRPr="00262341">
        <w:rPr>
          <w:rFonts w:ascii="Verdana" w:hAnsi="Verdana" w:eastAsia="Verdana" w:cs="Verdana"/>
          <w:sz w:val="18"/>
          <w:szCs w:val="18"/>
        </w:rPr>
        <w:t xml:space="preserve"> wanneer dit voor een gebruiker of zorgaanbieder niet mogelijk is.</w:t>
      </w:r>
    </w:p>
    <w:p w:rsidRPr="00262341" w:rsidR="00974B61" w:rsidP="00262341" w:rsidRDefault="00974B61" w14:paraId="062712B8" w14:textId="77777777">
      <w:pPr>
        <w:spacing w:line="360" w:lineRule="auto"/>
        <w:rPr>
          <w:rFonts w:ascii="Verdana" w:hAnsi="Verdana" w:eastAsia="Verdana" w:cs="Verdana"/>
          <w:i/>
          <w:iCs/>
          <w:sz w:val="18"/>
          <w:szCs w:val="18"/>
        </w:rPr>
      </w:pPr>
    </w:p>
    <w:p w:rsidRPr="00262341" w:rsidR="26DED561" w:rsidP="00262341" w:rsidRDefault="6E0DAAEF" w14:paraId="7AA8438C" w14:textId="0E87ADE6">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Voorspelbaarheid en kosten efficiëntie van certificatie </w:t>
      </w:r>
    </w:p>
    <w:p w:rsidRPr="00262341" w:rsidR="1456E7A3" w:rsidP="00262341" w:rsidRDefault="43B7FD55" w14:paraId="1AFA813F" w14:textId="46A6343D">
      <w:pPr>
        <w:spacing w:line="360" w:lineRule="auto"/>
        <w:rPr>
          <w:rFonts w:ascii="Verdana" w:hAnsi="Verdana" w:eastAsia="Verdana" w:cs="Verdana"/>
          <w:sz w:val="18"/>
          <w:szCs w:val="18"/>
        </w:rPr>
      </w:pPr>
      <w:r w:rsidRPr="00262341">
        <w:rPr>
          <w:rFonts w:ascii="Verdana" w:hAnsi="Verdana" w:eastAsia="Verdana" w:cs="Verdana"/>
          <w:sz w:val="18"/>
          <w:szCs w:val="18"/>
        </w:rPr>
        <w:t>Het kabinet staat zeer positief tegenover een aantal voorstellen onder dit onderwerp, waaronder het toevoegen van een juridische basis voor ‘</w:t>
      </w:r>
      <w:proofErr w:type="spellStart"/>
      <w:r w:rsidRPr="00262341">
        <w:rPr>
          <w:rFonts w:ascii="Verdana" w:hAnsi="Verdana" w:eastAsia="Verdana" w:cs="Verdana"/>
          <w:i/>
          <w:sz w:val="18"/>
          <w:szCs w:val="18"/>
        </w:rPr>
        <w:t>structured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dialogue</w:t>
      </w:r>
      <w:proofErr w:type="spellEnd"/>
      <w:r w:rsidRPr="00262341">
        <w:rPr>
          <w:rFonts w:ascii="Verdana" w:hAnsi="Verdana" w:eastAsia="Verdana" w:cs="Verdana"/>
          <w:sz w:val="18"/>
          <w:szCs w:val="18"/>
        </w:rPr>
        <w:t>’</w:t>
      </w:r>
      <w:r w:rsidRPr="00262341" w:rsidR="000570C7">
        <w:rPr>
          <w:rFonts w:ascii="Verdana" w:hAnsi="Verdana" w:eastAsia="Verdana" w:cs="Verdana"/>
          <w:sz w:val="18"/>
          <w:szCs w:val="18"/>
        </w:rPr>
        <w:t>,</w:t>
      </w:r>
      <w:r w:rsidRPr="00262341">
        <w:rPr>
          <w:rFonts w:ascii="Verdana" w:hAnsi="Verdana" w:eastAsia="Verdana" w:cs="Verdana"/>
          <w:sz w:val="18"/>
          <w:szCs w:val="18"/>
        </w:rPr>
        <w:t xml:space="preserve"> waarmee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en fabrikanten vooraf de mogelijkheid krijgen om de verwachtingen rond het certificeringsproces te bespreken. Ook is </w:t>
      </w:r>
      <w:r w:rsidRPr="00262341" w:rsidR="000570C7">
        <w:rPr>
          <w:rFonts w:ascii="Verdana" w:hAnsi="Verdana" w:eastAsia="Verdana" w:cs="Verdana"/>
          <w:sz w:val="18"/>
          <w:szCs w:val="18"/>
        </w:rPr>
        <w:t xml:space="preserve">het kabinet </w:t>
      </w:r>
      <w:r w:rsidRPr="00262341">
        <w:rPr>
          <w:rFonts w:ascii="Verdana" w:hAnsi="Verdana" w:eastAsia="Verdana" w:cs="Verdana"/>
          <w:sz w:val="18"/>
          <w:szCs w:val="18"/>
        </w:rPr>
        <w:t xml:space="preserve">zeer positief over de toevoeging van de mogelijkheid tot audits op afstand door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Zij wil echter ook haar zorgen delen over enkele voorstellen onder dit onderwerp. </w:t>
      </w:r>
      <w:r w:rsidRPr="00262341" w:rsidR="009558AD">
        <w:rPr>
          <w:rFonts w:ascii="Verdana" w:hAnsi="Verdana" w:eastAsia="Verdana" w:cs="Verdana"/>
          <w:sz w:val="18"/>
          <w:szCs w:val="18"/>
        </w:rPr>
        <w:t xml:space="preserve">Het verkorten van tijdslijnen voor onder andere consultaties bij geneesmiddelen autoriteiten </w:t>
      </w:r>
      <w:r w:rsidRPr="00262341" w:rsidR="00B6527F">
        <w:rPr>
          <w:rFonts w:ascii="Verdana" w:hAnsi="Verdana" w:eastAsia="Verdana" w:cs="Verdana"/>
          <w:sz w:val="18"/>
          <w:szCs w:val="18"/>
        </w:rPr>
        <w:t xml:space="preserve">zal bijvoorbeeld </w:t>
      </w:r>
      <w:r w:rsidRPr="00262341" w:rsidR="009558AD">
        <w:rPr>
          <w:rFonts w:ascii="Verdana" w:hAnsi="Verdana" w:eastAsia="Verdana" w:cs="Verdana"/>
          <w:sz w:val="18"/>
          <w:szCs w:val="18"/>
        </w:rPr>
        <w:t>met uiterste zorgvuldigheid overwogen moeten worden.</w:t>
      </w:r>
    </w:p>
    <w:p w:rsidRPr="00262341" w:rsidR="1456E7A3" w:rsidP="00262341" w:rsidRDefault="1456E7A3" w14:paraId="6181C02F" w14:textId="533EE7A6">
      <w:pPr>
        <w:spacing w:line="360" w:lineRule="auto"/>
        <w:rPr>
          <w:rFonts w:ascii="Verdana" w:hAnsi="Verdana" w:eastAsia="Verdana" w:cs="Verdana"/>
          <w:sz w:val="18"/>
          <w:szCs w:val="18"/>
        </w:rPr>
      </w:pPr>
    </w:p>
    <w:p w:rsidRPr="00262341" w:rsidR="1456E7A3" w:rsidP="00262341" w:rsidRDefault="1E5242F2" w14:paraId="11973B03" w14:textId="247242E1">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staat positief tegenover het voorstel voor verwijdering van </w:t>
      </w:r>
      <w:proofErr w:type="spellStart"/>
      <w:r w:rsidRPr="00262341">
        <w:rPr>
          <w:rFonts w:ascii="Verdana" w:hAnsi="Verdana" w:eastAsia="Verdana" w:cs="Verdana"/>
          <w:sz w:val="18"/>
          <w:szCs w:val="18"/>
        </w:rPr>
        <w:t>hercertificering</w:t>
      </w:r>
      <w:proofErr w:type="spellEnd"/>
      <w:r w:rsidRPr="00262341">
        <w:rPr>
          <w:rFonts w:ascii="Verdana" w:hAnsi="Verdana" w:eastAsia="Verdana" w:cs="Verdana"/>
          <w:sz w:val="18"/>
          <w:szCs w:val="18"/>
        </w:rPr>
        <w:t xml:space="preserve"> van productcertificaten zolang andere waarborgen behouden blijven. Het kabinet ziet het verwijderen van </w:t>
      </w:r>
      <w:proofErr w:type="spellStart"/>
      <w:r w:rsidRPr="00262341">
        <w:rPr>
          <w:rFonts w:ascii="Verdana" w:hAnsi="Verdana" w:eastAsia="Verdana" w:cs="Verdana"/>
          <w:sz w:val="18"/>
          <w:szCs w:val="18"/>
        </w:rPr>
        <w:t>hercertificering</w:t>
      </w:r>
      <w:proofErr w:type="spellEnd"/>
      <w:r w:rsidRPr="00262341">
        <w:rPr>
          <w:rFonts w:ascii="Verdana" w:hAnsi="Verdana" w:eastAsia="Verdana" w:cs="Verdana"/>
          <w:sz w:val="18"/>
          <w:szCs w:val="18"/>
        </w:rPr>
        <w:t xml:space="preserve"> van kwaliteitsmanagementsystemen (hierna: KMS), in combinatie met het verwijderen van de vereiste systematische technische documentatiebeoordeling tijdens surveillanceactiviteiten, als een te grote inbreuk op de veiligheid van medische hulpmiddelen. Het voorstel zorgt ervoor dat de eisen hier</w:t>
      </w:r>
      <w:r w:rsidRPr="00262341" w:rsidR="008F0B2F">
        <w:rPr>
          <w:rFonts w:ascii="Verdana" w:hAnsi="Verdana" w:eastAsia="Verdana" w:cs="Verdana"/>
          <w:sz w:val="18"/>
          <w:szCs w:val="18"/>
        </w:rPr>
        <w:t>over</w:t>
      </w:r>
      <w:r w:rsidRPr="00262341">
        <w:rPr>
          <w:rFonts w:ascii="Verdana" w:hAnsi="Verdana" w:eastAsia="Verdana" w:cs="Verdana"/>
          <w:sz w:val="18"/>
          <w:szCs w:val="18"/>
        </w:rPr>
        <w:t xml:space="preserve"> nog lager zijn dan onder de voorgangers van de verordeningen en dat er geen prikkel meer is voor marktdeelnemers om een volledig beeld van de veiligheid van hun hulpmiddelen te hebben. Dit terwijl er zeer regelmatig non-</w:t>
      </w:r>
      <w:proofErr w:type="spellStart"/>
      <w:r w:rsidRPr="00262341">
        <w:rPr>
          <w:rFonts w:ascii="Verdana" w:hAnsi="Verdana" w:eastAsia="Verdana" w:cs="Verdana"/>
          <w:sz w:val="18"/>
          <w:szCs w:val="18"/>
        </w:rPr>
        <w:t>conformiteiten</w:t>
      </w:r>
      <w:proofErr w:type="spellEnd"/>
      <w:r w:rsidRPr="00262341">
        <w:rPr>
          <w:rFonts w:ascii="Verdana" w:hAnsi="Verdana" w:eastAsia="Verdana" w:cs="Verdana"/>
          <w:sz w:val="18"/>
          <w:szCs w:val="18"/>
        </w:rPr>
        <w:t xml:space="preserve"> tijdens deze (her)beoordelingen</w:t>
      </w:r>
      <w:r w:rsidRPr="00262341" w:rsidR="008F0B2F">
        <w:rPr>
          <w:rFonts w:ascii="Verdana" w:hAnsi="Verdana" w:eastAsia="Verdana" w:cs="Verdana"/>
          <w:sz w:val="18"/>
          <w:szCs w:val="18"/>
        </w:rPr>
        <w:t xml:space="preserve"> worden ontdekt</w:t>
      </w:r>
      <w:r w:rsidRPr="00262341">
        <w:rPr>
          <w:rFonts w:ascii="Verdana" w:hAnsi="Verdana" w:eastAsia="Verdana" w:cs="Verdana"/>
          <w:sz w:val="18"/>
          <w:szCs w:val="18"/>
        </w:rPr>
        <w:t>. Het kabinet</w:t>
      </w:r>
      <w:r w:rsidRPr="00262341" w:rsidR="008F0B2F">
        <w:rPr>
          <w:rFonts w:ascii="Verdana" w:hAnsi="Verdana" w:eastAsia="Verdana" w:cs="Verdana"/>
          <w:sz w:val="18"/>
          <w:szCs w:val="18"/>
        </w:rPr>
        <w:t xml:space="preserve"> beschouwt</w:t>
      </w:r>
      <w:r w:rsidRPr="00262341">
        <w:rPr>
          <w:rFonts w:ascii="Verdana" w:hAnsi="Verdana" w:eastAsia="Verdana" w:cs="Verdana"/>
          <w:sz w:val="18"/>
          <w:szCs w:val="18"/>
        </w:rPr>
        <w:t xml:space="preserve"> dit </w:t>
      </w:r>
      <w:r w:rsidRPr="00262341" w:rsidR="008F0B2F">
        <w:rPr>
          <w:rFonts w:ascii="Verdana" w:hAnsi="Verdana" w:eastAsia="Verdana" w:cs="Verdana"/>
          <w:sz w:val="18"/>
          <w:szCs w:val="18"/>
        </w:rPr>
        <w:t xml:space="preserve">als </w:t>
      </w:r>
      <w:r w:rsidRPr="00262341">
        <w:rPr>
          <w:rFonts w:ascii="Verdana" w:hAnsi="Verdana" w:eastAsia="Verdana" w:cs="Verdana"/>
          <w:sz w:val="18"/>
          <w:szCs w:val="18"/>
        </w:rPr>
        <w:t xml:space="preserve">zeer onwenselijk. Zij zal er daarom op inzetten dat het verminderen van eisen rond </w:t>
      </w:r>
      <w:proofErr w:type="spellStart"/>
      <w:r w:rsidRPr="00262341">
        <w:rPr>
          <w:rFonts w:ascii="Verdana" w:hAnsi="Verdana" w:eastAsia="Verdana" w:cs="Verdana"/>
          <w:sz w:val="18"/>
          <w:szCs w:val="18"/>
        </w:rPr>
        <w:t>hercertif</w:t>
      </w:r>
      <w:r w:rsidRPr="00262341" w:rsidR="00E450AD">
        <w:rPr>
          <w:rFonts w:ascii="Verdana" w:hAnsi="Verdana" w:eastAsia="Verdana" w:cs="Verdana"/>
          <w:sz w:val="18"/>
          <w:szCs w:val="18"/>
        </w:rPr>
        <w:t>i</w:t>
      </w:r>
      <w:r w:rsidRPr="00262341">
        <w:rPr>
          <w:rFonts w:ascii="Verdana" w:hAnsi="Verdana" w:eastAsia="Verdana" w:cs="Verdana"/>
          <w:sz w:val="18"/>
          <w:szCs w:val="18"/>
        </w:rPr>
        <w:t>cering</w:t>
      </w:r>
      <w:proofErr w:type="spellEnd"/>
      <w:r w:rsidRPr="00262341">
        <w:rPr>
          <w:rFonts w:ascii="Verdana" w:hAnsi="Verdana" w:eastAsia="Verdana" w:cs="Verdana"/>
          <w:sz w:val="18"/>
          <w:szCs w:val="18"/>
        </w:rPr>
        <w:t xml:space="preserve"> de borging en periodieke monitoring van de veiligheid en conformiteit</w:t>
      </w:r>
      <w:r w:rsidRPr="00262341" w:rsidR="00E450AD">
        <w:rPr>
          <w:rFonts w:ascii="Verdana" w:hAnsi="Verdana" w:eastAsia="Verdana" w:cs="Verdana"/>
          <w:sz w:val="18"/>
          <w:szCs w:val="18"/>
        </w:rPr>
        <w:t xml:space="preserve"> niet beïnvloeden</w:t>
      </w:r>
      <w:r w:rsidRPr="00262341">
        <w:rPr>
          <w:rFonts w:ascii="Verdana" w:hAnsi="Verdana" w:eastAsia="Verdana" w:cs="Verdana"/>
          <w:sz w:val="18"/>
          <w:szCs w:val="18"/>
        </w:rPr>
        <w:t>. Hierbij houdt het kabinet ook rekening met de voorgestelde deelname aan MDSAP</w:t>
      </w:r>
      <w:r w:rsidRPr="00262341" w:rsidR="00E450AD">
        <w:rPr>
          <w:rFonts w:ascii="Verdana" w:hAnsi="Verdana" w:eastAsia="Verdana" w:cs="Verdana"/>
          <w:sz w:val="18"/>
          <w:szCs w:val="18"/>
        </w:rPr>
        <w:t>,</w:t>
      </w:r>
      <w:r w:rsidRPr="00262341">
        <w:rPr>
          <w:rFonts w:ascii="Verdana" w:hAnsi="Verdana" w:eastAsia="Verdana" w:cs="Verdana"/>
          <w:sz w:val="18"/>
          <w:szCs w:val="18"/>
        </w:rPr>
        <w:t xml:space="preserve"> waar een periodieke KMS-beoordeling wel </w:t>
      </w:r>
      <w:r w:rsidRPr="00262341" w:rsidR="00E450AD">
        <w:rPr>
          <w:rFonts w:ascii="Verdana" w:hAnsi="Verdana" w:eastAsia="Verdana" w:cs="Verdana"/>
          <w:sz w:val="18"/>
          <w:szCs w:val="18"/>
        </w:rPr>
        <w:t xml:space="preserve">gebruikelijk </w:t>
      </w:r>
      <w:r w:rsidRPr="00262341">
        <w:rPr>
          <w:rFonts w:ascii="Verdana" w:hAnsi="Verdana" w:eastAsia="Verdana" w:cs="Verdana"/>
          <w:sz w:val="18"/>
          <w:szCs w:val="18"/>
        </w:rPr>
        <w:t xml:space="preserve">is. </w:t>
      </w:r>
    </w:p>
    <w:p w:rsidRPr="00262341" w:rsidR="1456E7A3" w:rsidP="00262341" w:rsidRDefault="1E5242F2" w14:paraId="5EA1E544" w14:textId="6A3E0D98">
      <w:pPr>
        <w:spacing w:line="360" w:lineRule="auto"/>
        <w:rPr>
          <w:rFonts w:ascii="Verdana" w:hAnsi="Verdana" w:eastAsia="Verdana" w:cs="Verdana"/>
          <w:sz w:val="18"/>
          <w:szCs w:val="18"/>
        </w:rPr>
      </w:pPr>
      <w:r w:rsidRPr="00262341">
        <w:rPr>
          <w:rFonts w:ascii="Verdana" w:hAnsi="Verdana" w:eastAsia="Verdana" w:cs="Verdana"/>
          <w:sz w:val="18"/>
          <w:szCs w:val="18"/>
        </w:rPr>
        <w:t xml:space="preserve"> </w:t>
      </w:r>
    </w:p>
    <w:p w:rsidRPr="00262341" w:rsidR="086F19A3" w:rsidP="00262341" w:rsidRDefault="1E5242F2" w14:paraId="5583C71F" w14:textId="034E090B">
      <w:pPr>
        <w:spacing w:line="360" w:lineRule="auto"/>
        <w:rPr>
          <w:rFonts w:ascii="Verdana" w:hAnsi="Verdana" w:eastAsia="Verdana" w:cs="Verdana"/>
          <w:sz w:val="18"/>
          <w:szCs w:val="18"/>
        </w:rPr>
      </w:pPr>
      <w:r w:rsidRPr="00262341">
        <w:rPr>
          <w:rFonts w:ascii="Verdana" w:hAnsi="Verdana" w:eastAsia="Verdana" w:cs="Verdana"/>
          <w:sz w:val="18"/>
          <w:szCs w:val="18"/>
        </w:rPr>
        <w:t xml:space="preserve">Daarnaast is het kabinet geen voorstander van het opnemen van gronden voor onaangekondigde audits. Fabrikanten moeten altijd kunnen worden onderworpen aan een audit als een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hier reden toe ziet. Daar hoeft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geen specifieke aanleiding voor te hebben. De bewijslast voor het aantonen van conformiteit blijft bij de fabrikant liggen, niet bij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Voor fabrikanten van hoog-risico producten zouden de vijfjaarlijkse onaangekondigde audits in stand moeten blijven. </w:t>
      </w:r>
    </w:p>
    <w:p w:rsidRPr="00262341" w:rsidR="00B6527F" w:rsidP="00262341" w:rsidRDefault="00B6527F" w14:paraId="4E0DF87C" w14:textId="77777777">
      <w:pPr>
        <w:spacing w:line="360" w:lineRule="auto"/>
        <w:rPr>
          <w:rFonts w:ascii="Verdana" w:hAnsi="Verdana" w:eastAsia="Verdana" w:cs="Verdana"/>
          <w:sz w:val="18"/>
          <w:szCs w:val="18"/>
        </w:rPr>
      </w:pPr>
    </w:p>
    <w:p w:rsidRPr="00262341" w:rsidR="1456E7A3" w:rsidP="00262341" w:rsidRDefault="43B7FD55" w14:paraId="445D3778" w14:textId="03D1C895">
      <w:pPr>
        <w:spacing w:line="360" w:lineRule="auto"/>
        <w:rPr>
          <w:rFonts w:ascii="Verdana" w:hAnsi="Verdana" w:eastAsia="Verdana" w:cs="Verdana"/>
          <w:sz w:val="18"/>
          <w:szCs w:val="18"/>
        </w:rPr>
      </w:pPr>
      <w:r w:rsidRPr="00262341">
        <w:rPr>
          <w:rFonts w:ascii="Verdana" w:hAnsi="Verdana" w:eastAsia="Verdana" w:cs="Verdana"/>
          <w:sz w:val="18"/>
          <w:szCs w:val="18"/>
        </w:rPr>
        <w:lastRenderedPageBreak/>
        <w:t xml:space="preserve">Daarnaast verbaast het kabinet zich over de dubbele standaard voor economische operatoren die uit het voorstel blijkt. Terwijl eisen en daarmee kosten voor fabrikanten gereduceerd worden, nemen de eisen en kosten voor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aanzienlijk toe, terwijl zij de patiëntveiligheid waarborgen door Europese veiligheids- en kwaliteitseisen beoordelen. </w:t>
      </w:r>
    </w:p>
    <w:p w:rsidRPr="00262341" w:rsidR="1456E7A3" w:rsidP="00262341" w:rsidRDefault="43B7FD55" w14:paraId="763E37B0" w14:textId="4D5BA30F">
      <w:pPr>
        <w:spacing w:line="360" w:lineRule="auto"/>
        <w:rPr>
          <w:rFonts w:ascii="Verdana" w:hAnsi="Verdana" w:eastAsia="Verdana" w:cs="Verdana"/>
          <w:sz w:val="18"/>
          <w:szCs w:val="18"/>
        </w:rPr>
      </w:pPr>
      <w:r w:rsidRPr="00262341">
        <w:rPr>
          <w:rFonts w:ascii="Verdana" w:hAnsi="Verdana" w:eastAsia="Verdana" w:cs="Verdana"/>
          <w:sz w:val="18"/>
          <w:szCs w:val="18"/>
        </w:rPr>
        <w:t xml:space="preserve">Onder de MDR en IVDR (maar ook onder haar voorgangers) is gekozen om medische hulpmiddelen te laten keuren door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die onder streng toezicht staan van nationale inspecties. Hiervoor is gekozen zodat de kosten voor certificering niet uit </w:t>
      </w:r>
      <w:r w:rsidRPr="00262341" w:rsidR="00C3B6BF">
        <w:rPr>
          <w:rFonts w:ascii="Verdana" w:hAnsi="Verdana" w:eastAsia="Verdana" w:cs="Verdana"/>
          <w:sz w:val="18"/>
          <w:szCs w:val="18"/>
        </w:rPr>
        <w:t>beperkte</w:t>
      </w:r>
      <w:r w:rsidRPr="00262341">
        <w:rPr>
          <w:rFonts w:ascii="Verdana" w:hAnsi="Verdana" w:eastAsia="Verdana" w:cs="Verdana"/>
          <w:sz w:val="18"/>
          <w:szCs w:val="18"/>
        </w:rPr>
        <w:t xml:space="preserve"> publieke gelden hoeven te worden betaald, maar zodat degene die winst wil maken met een medisch hulpmiddel ook de kosten draagt voor conformiteit. Doordat de </w:t>
      </w:r>
      <w:r w:rsidRPr="00262341" w:rsidR="00342C25">
        <w:rPr>
          <w:rFonts w:ascii="Verdana" w:hAnsi="Verdana" w:eastAsia="Verdana" w:cs="Verdana"/>
          <w:sz w:val="18"/>
          <w:szCs w:val="18"/>
        </w:rPr>
        <w:t>certificering</w:t>
      </w:r>
      <w:r w:rsidRPr="00262341">
        <w:rPr>
          <w:rFonts w:ascii="Verdana" w:hAnsi="Verdana" w:eastAsia="Verdana" w:cs="Verdana"/>
          <w:sz w:val="18"/>
          <w:szCs w:val="18"/>
        </w:rPr>
        <w:t xml:space="preserve"> niet uit </w:t>
      </w:r>
      <w:r w:rsidRPr="00262341" w:rsidR="00C3B6BF">
        <w:rPr>
          <w:rFonts w:ascii="Verdana" w:hAnsi="Verdana" w:eastAsia="Verdana" w:cs="Verdana"/>
          <w:sz w:val="18"/>
          <w:szCs w:val="18"/>
        </w:rPr>
        <w:t>beperkte</w:t>
      </w:r>
      <w:r w:rsidRPr="00262341">
        <w:rPr>
          <w:rFonts w:ascii="Verdana" w:hAnsi="Verdana" w:eastAsia="Verdana" w:cs="Verdana"/>
          <w:sz w:val="18"/>
          <w:szCs w:val="18"/>
        </w:rPr>
        <w:t xml:space="preserve"> publieke gelden hoeft te worden betaald, kunnen </w:t>
      </w:r>
      <w:proofErr w:type="spellStart"/>
      <w:r w:rsidRPr="00262341" w:rsidR="0D49272E">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investeren in het opleiden en aantrekken van een zeer hoge mate van benodigde expertise, wat de patiëntveiligheid ten goede komt. </w:t>
      </w:r>
    </w:p>
    <w:p w:rsidRPr="00262341" w:rsidR="1456E7A3" w:rsidP="00262341" w:rsidRDefault="43B7FD55" w14:paraId="0202A589" w14:textId="78BAA6B9">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voorstel omvat niet alleen het vastzetten van de tarieven van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waarbij deze tarieven tot 50% gereduceerd dienen te worden voor fabrikanten die onder het midden- en kleinbedrijf (hierna:</w:t>
      </w:r>
      <w:r w:rsidRPr="00262341" w:rsidR="00C50333">
        <w:rPr>
          <w:rFonts w:ascii="Verdana" w:hAnsi="Verdana" w:eastAsia="Verdana" w:cs="Verdana"/>
          <w:sz w:val="18"/>
          <w:szCs w:val="18"/>
        </w:rPr>
        <w:t xml:space="preserve"> mkb</w:t>
      </w:r>
      <w:r w:rsidRPr="00262341">
        <w:rPr>
          <w:rFonts w:ascii="Verdana" w:hAnsi="Verdana" w:eastAsia="Verdana" w:cs="Verdana"/>
          <w:sz w:val="18"/>
          <w:szCs w:val="18"/>
        </w:rPr>
        <w:t xml:space="preserve">) vallen. Dit zijn momenteel 90% van de fabrikanten. Ook </w:t>
      </w:r>
      <w:r w:rsidRPr="00262341">
        <w:rPr>
          <w:rFonts w:ascii="Verdana" w:hAnsi="Verdana" w:eastAsia="Verdana" w:cs="Verdana"/>
          <w:color w:val="0A0A0A"/>
          <w:sz w:val="18"/>
          <w:szCs w:val="18"/>
        </w:rPr>
        <w:t>moeten</w:t>
      </w:r>
      <w:r w:rsidRPr="00262341">
        <w:rPr>
          <w:rFonts w:ascii="Verdana" w:hAnsi="Verdana" w:eastAsia="Verdana" w:cs="Verdana"/>
          <w:sz w:val="18"/>
          <w:szCs w:val="18"/>
        </w:rPr>
        <w:t xml:space="preserv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conform het voorstel vergoedingen betalen voor toezicht op zichzelf, zonder dat de Commissie onderscheid maakt tussen de grootte van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(naar schatting is ongeveer 80% van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een </w:t>
      </w:r>
      <w:r w:rsidRPr="00262341" w:rsidR="00ED710E">
        <w:rPr>
          <w:rFonts w:ascii="Verdana" w:hAnsi="Verdana" w:eastAsia="Verdana" w:cs="Verdana"/>
          <w:sz w:val="18"/>
          <w:szCs w:val="18"/>
        </w:rPr>
        <w:t>mkb</w:t>
      </w:r>
      <w:r w:rsidRPr="00262341">
        <w:rPr>
          <w:rFonts w:ascii="Verdana" w:hAnsi="Verdana" w:eastAsia="Verdana" w:cs="Verdana"/>
          <w:sz w:val="18"/>
          <w:szCs w:val="18"/>
        </w:rPr>
        <w:t xml:space="preserve">). </w:t>
      </w:r>
    </w:p>
    <w:p w:rsidRPr="00262341" w:rsidR="0091512C" w:rsidP="00262341" w:rsidRDefault="0091512C" w14:paraId="3482A1C2" w14:textId="77777777">
      <w:pPr>
        <w:spacing w:line="360" w:lineRule="auto"/>
        <w:rPr>
          <w:rFonts w:ascii="Verdana" w:hAnsi="Verdana" w:eastAsia="Verdana" w:cs="Verdana"/>
          <w:sz w:val="18"/>
          <w:szCs w:val="18"/>
        </w:rPr>
      </w:pPr>
    </w:p>
    <w:p w:rsidRPr="00262341" w:rsidR="1456E7A3" w:rsidP="00262341" w:rsidRDefault="6E0DAAEF" w14:paraId="3768FE3A" w14:textId="32FC3DF0">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erkent de waardevolle toevoeging </w:t>
      </w:r>
      <w:r w:rsidRPr="00262341" w:rsidR="6F0DCD31">
        <w:rPr>
          <w:rFonts w:ascii="Verdana" w:hAnsi="Verdana" w:eastAsia="Verdana" w:cs="Verdana"/>
          <w:sz w:val="18"/>
          <w:szCs w:val="18"/>
        </w:rPr>
        <w:t>van</w:t>
      </w:r>
      <w:r w:rsidRPr="00262341">
        <w:rPr>
          <w:rFonts w:ascii="Verdana" w:hAnsi="Verdana" w:eastAsia="Verdana" w:cs="Verdana"/>
          <w:sz w:val="18"/>
          <w:szCs w:val="18"/>
        </w:rPr>
        <w:t xml:space="preserve"> de industrie aan het publieke belang, terwijl zij tegelijkertijd erkent dat deze contributie alleen gedaan kan/zal worden als de industrie winst kan behalen. Dit wordt onderschreven door het feit dat fabrikanten, in de aanloop naar de MDR en IVDR, hun portfolio reduceerden, omdat sommige medische hulpmiddelen, hoewel van levensbelang van patiënten, niet meer winstgevend waren. </w:t>
      </w:r>
    </w:p>
    <w:p w:rsidRPr="00262341" w:rsidR="0091512C" w:rsidP="00262341" w:rsidRDefault="0091512C" w14:paraId="6450EDD5" w14:textId="77777777">
      <w:pPr>
        <w:spacing w:line="360" w:lineRule="auto"/>
        <w:rPr>
          <w:rFonts w:ascii="Verdana" w:hAnsi="Verdana" w:eastAsia="Verdana" w:cs="Verdana"/>
          <w:sz w:val="18"/>
          <w:szCs w:val="18"/>
        </w:rPr>
      </w:pPr>
    </w:p>
    <w:p w:rsidRPr="00262341" w:rsidR="1456E7A3" w:rsidP="00262341" w:rsidRDefault="43B7FD55" w14:paraId="3F549824" w14:textId="31CCBC0F">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is </w:t>
      </w:r>
      <w:r w:rsidRPr="00262341" w:rsidR="00C3B6BF">
        <w:rPr>
          <w:rFonts w:ascii="Verdana" w:hAnsi="Verdana" w:eastAsia="Verdana" w:cs="Verdana"/>
          <w:sz w:val="18"/>
          <w:szCs w:val="18"/>
        </w:rPr>
        <w:t>gebruikelijk</w:t>
      </w:r>
      <w:r w:rsidRPr="00262341">
        <w:rPr>
          <w:rFonts w:ascii="Verdana" w:hAnsi="Verdana" w:eastAsia="Verdana" w:cs="Verdana"/>
          <w:sz w:val="18"/>
          <w:szCs w:val="18"/>
        </w:rPr>
        <w:t xml:space="preserve"> dat private organisaties winst </w:t>
      </w:r>
      <w:r w:rsidRPr="00262341" w:rsidR="00C3B6BF">
        <w:rPr>
          <w:rFonts w:ascii="Verdana" w:hAnsi="Verdana" w:eastAsia="Verdana" w:cs="Verdana"/>
          <w:sz w:val="18"/>
          <w:szCs w:val="18"/>
        </w:rPr>
        <w:t>nastreven</w:t>
      </w:r>
      <w:r w:rsidRPr="00262341">
        <w:rPr>
          <w:rFonts w:ascii="Verdana" w:hAnsi="Verdana" w:eastAsia="Verdana" w:cs="Verdana"/>
          <w:sz w:val="18"/>
          <w:szCs w:val="18"/>
        </w:rPr>
        <w:t xml:space="preserve"> om expertise aan te trekken en </w:t>
      </w:r>
      <w:r w:rsidRPr="00262341" w:rsidR="00C3B6BF">
        <w:rPr>
          <w:rFonts w:ascii="Verdana" w:hAnsi="Verdana" w:eastAsia="Verdana" w:cs="Verdana"/>
          <w:sz w:val="18"/>
          <w:szCs w:val="18"/>
        </w:rPr>
        <w:t>hun continuïteit</w:t>
      </w:r>
      <w:r w:rsidRPr="00262341">
        <w:rPr>
          <w:rFonts w:ascii="Verdana" w:hAnsi="Verdana" w:eastAsia="Verdana" w:cs="Verdana"/>
          <w:sz w:val="18"/>
          <w:szCs w:val="18"/>
        </w:rPr>
        <w:t xml:space="preserve"> te </w:t>
      </w:r>
      <w:r w:rsidRPr="00262341" w:rsidR="00C3B6BF">
        <w:rPr>
          <w:rFonts w:ascii="Verdana" w:hAnsi="Verdana" w:eastAsia="Verdana" w:cs="Verdana"/>
          <w:sz w:val="18"/>
          <w:szCs w:val="18"/>
        </w:rPr>
        <w:t>waarborgen.</w:t>
      </w:r>
      <w:r w:rsidRPr="00262341">
        <w:rPr>
          <w:rFonts w:ascii="Verdana" w:hAnsi="Verdana" w:eastAsia="Verdana" w:cs="Verdana"/>
          <w:sz w:val="18"/>
          <w:szCs w:val="18"/>
        </w:rPr>
        <w:t xml:space="preserve"> Dit geldt </w:t>
      </w:r>
      <w:r w:rsidRPr="00262341" w:rsidR="00C3B6BF">
        <w:rPr>
          <w:rFonts w:ascii="Verdana" w:hAnsi="Verdana" w:eastAsia="Verdana" w:cs="Verdana"/>
          <w:sz w:val="18"/>
          <w:szCs w:val="18"/>
        </w:rPr>
        <w:t xml:space="preserve">zowel </w:t>
      </w:r>
      <w:r w:rsidRPr="00262341">
        <w:rPr>
          <w:rFonts w:ascii="Verdana" w:hAnsi="Verdana" w:eastAsia="Verdana" w:cs="Verdana"/>
          <w:sz w:val="18"/>
          <w:szCs w:val="18"/>
        </w:rPr>
        <w:t>voor fabrikanten</w:t>
      </w:r>
      <w:r w:rsidRPr="00262341" w:rsidR="00C3B6BF">
        <w:rPr>
          <w:rFonts w:ascii="Verdana" w:hAnsi="Verdana" w:eastAsia="Verdana" w:cs="Verdana"/>
          <w:sz w:val="18"/>
          <w:szCs w:val="18"/>
        </w:rPr>
        <w:t xml:space="preserve"> als</w:t>
      </w:r>
      <w:r w:rsidRPr="00262341">
        <w:rPr>
          <w:rFonts w:ascii="Verdana" w:hAnsi="Verdana" w:eastAsia="Verdana" w:cs="Verdana"/>
          <w:sz w:val="18"/>
          <w:szCs w:val="18"/>
        </w:rPr>
        <w:t xml:space="preserve"> voor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w:t>
      </w:r>
      <w:r w:rsidRPr="00262341" w:rsidR="00C3B6BF">
        <w:rPr>
          <w:rFonts w:ascii="Verdana" w:hAnsi="Verdana" w:eastAsia="Verdana" w:cs="Verdana"/>
          <w:sz w:val="18"/>
          <w:szCs w:val="18"/>
        </w:rPr>
        <w:t xml:space="preserve">Het uitsluitend toekennen van dit uitgangspunt aan fabrikanten acht het kabinet onjuist. </w:t>
      </w:r>
    </w:p>
    <w:p w:rsidRPr="00262341" w:rsidR="00CE1268" w:rsidP="00262341" w:rsidRDefault="00CE1268" w14:paraId="2E35CFE8" w14:textId="77777777">
      <w:pPr>
        <w:spacing w:line="360" w:lineRule="auto"/>
        <w:rPr>
          <w:rFonts w:ascii="Verdana" w:hAnsi="Verdana" w:eastAsia="Verdana" w:cs="Verdana"/>
          <w:sz w:val="18"/>
          <w:szCs w:val="18"/>
        </w:rPr>
      </w:pPr>
    </w:p>
    <w:p w:rsidR="00574F02" w:rsidP="00262341" w:rsidRDefault="00B6527F" w14:paraId="1044E51D" w14:textId="77777777">
      <w:pPr>
        <w:spacing w:line="360" w:lineRule="auto"/>
        <w:rPr>
          <w:rFonts w:ascii="Verdana" w:hAnsi="Verdana" w:eastAsia="Verdana" w:cs="Verdana"/>
          <w:sz w:val="18"/>
          <w:szCs w:val="18"/>
        </w:rPr>
      </w:pPr>
      <w:r w:rsidRPr="00262341">
        <w:rPr>
          <w:rFonts w:ascii="Verdana" w:hAnsi="Verdana" w:eastAsia="Verdana" w:cs="Verdana"/>
          <w:sz w:val="18"/>
          <w:szCs w:val="18"/>
        </w:rPr>
        <w:t xml:space="preserve">De Commissie stelt voor om in de wetgeving te benoemen dat </w:t>
      </w:r>
      <w:proofErr w:type="spellStart"/>
      <w:r w:rsidRPr="00262341" w:rsidR="154B6599">
        <w:rPr>
          <w:rFonts w:ascii="Verdana" w:hAnsi="Verdana" w:eastAsia="Verdana" w:cs="Verdana"/>
          <w:i/>
          <w:sz w:val="18"/>
          <w:szCs w:val="18"/>
        </w:rPr>
        <w:t>notified</w:t>
      </w:r>
      <w:proofErr w:type="spellEnd"/>
      <w:r w:rsidRPr="00262341" w:rsidR="154B6599">
        <w:rPr>
          <w:rFonts w:ascii="Verdana" w:hAnsi="Verdana" w:eastAsia="Verdana" w:cs="Verdana"/>
          <w:i/>
          <w:sz w:val="18"/>
          <w:szCs w:val="18"/>
        </w:rPr>
        <w:t xml:space="preserve"> </w:t>
      </w:r>
      <w:proofErr w:type="spellStart"/>
      <w:r w:rsidRPr="00262341" w:rsidR="154B6599">
        <w:rPr>
          <w:rFonts w:ascii="Verdana" w:hAnsi="Verdana" w:eastAsia="Verdana" w:cs="Verdana"/>
          <w:i/>
          <w:sz w:val="18"/>
          <w:szCs w:val="18"/>
        </w:rPr>
        <w:t>bodies</w:t>
      </w:r>
      <w:proofErr w:type="spellEnd"/>
      <w:r w:rsidRPr="00262341" w:rsidR="154B6599">
        <w:rPr>
          <w:rFonts w:ascii="Verdana" w:hAnsi="Verdana" w:eastAsia="Verdana" w:cs="Verdana"/>
          <w:sz w:val="18"/>
          <w:szCs w:val="18"/>
        </w:rPr>
        <w:t xml:space="preserve"> werken voor het publieke belang. Hieruit volgt, volgens het kabinet, dat juist de</w:t>
      </w:r>
      <w:r w:rsidRPr="00262341" w:rsidR="003B4E63">
        <w:rPr>
          <w:rFonts w:ascii="Verdana" w:hAnsi="Verdana" w:eastAsia="Verdana" w:cs="Verdana"/>
          <w:sz w:val="18"/>
          <w:szCs w:val="18"/>
        </w:rPr>
        <w:t>ze</w:t>
      </w:r>
      <w:r w:rsidRPr="00262341" w:rsidR="154B6599">
        <w:rPr>
          <w:rFonts w:ascii="Verdana" w:hAnsi="Verdana" w:eastAsia="Verdana" w:cs="Verdana"/>
          <w:sz w:val="18"/>
          <w:szCs w:val="18"/>
        </w:rPr>
        <w:t xml:space="preserve"> organisaties</w:t>
      </w:r>
      <w:r w:rsidRPr="00262341" w:rsidR="003B4E63">
        <w:rPr>
          <w:rFonts w:ascii="Verdana" w:hAnsi="Verdana" w:eastAsia="Verdana" w:cs="Verdana"/>
          <w:sz w:val="18"/>
          <w:szCs w:val="18"/>
        </w:rPr>
        <w:t>,</w:t>
      </w:r>
      <w:r w:rsidRPr="00262341" w:rsidR="154B6599">
        <w:rPr>
          <w:rFonts w:ascii="Verdana" w:hAnsi="Verdana" w:eastAsia="Verdana" w:cs="Verdana"/>
          <w:sz w:val="18"/>
          <w:szCs w:val="18"/>
        </w:rPr>
        <w:t xml:space="preserve"> die het publieke belang (patiëntveiligheid) nastreven, voldoende gefinancierd moeten worden en in </w:t>
      </w:r>
      <w:r w:rsidRPr="00262341" w:rsidR="003B4E63">
        <w:rPr>
          <w:rFonts w:ascii="Verdana" w:hAnsi="Verdana" w:eastAsia="Verdana" w:cs="Verdana"/>
          <w:sz w:val="18"/>
          <w:szCs w:val="18"/>
        </w:rPr>
        <w:t>staat moeten zijn</w:t>
      </w:r>
      <w:r w:rsidRPr="00262341" w:rsidR="154B6599">
        <w:rPr>
          <w:rFonts w:ascii="Verdana" w:hAnsi="Verdana" w:eastAsia="Verdana" w:cs="Verdana"/>
          <w:sz w:val="18"/>
          <w:szCs w:val="18"/>
        </w:rPr>
        <w:t xml:space="preserve"> zichzelf </w:t>
      </w:r>
      <w:r w:rsidRPr="00262341" w:rsidR="003B4E63">
        <w:rPr>
          <w:rFonts w:ascii="Verdana" w:hAnsi="Verdana" w:eastAsia="Verdana" w:cs="Verdana"/>
          <w:sz w:val="18"/>
          <w:szCs w:val="18"/>
        </w:rPr>
        <w:t>te</w:t>
      </w:r>
      <w:r w:rsidRPr="00262341" w:rsidR="154B6599">
        <w:rPr>
          <w:rFonts w:ascii="Verdana" w:hAnsi="Verdana" w:eastAsia="Verdana" w:cs="Verdana"/>
          <w:sz w:val="18"/>
          <w:szCs w:val="18"/>
        </w:rPr>
        <w:t xml:space="preserve"> financieren</w:t>
      </w:r>
      <w:r w:rsidRPr="00262341" w:rsidR="003B4E63">
        <w:rPr>
          <w:rFonts w:ascii="Verdana" w:hAnsi="Verdana" w:eastAsia="Verdana" w:cs="Verdana"/>
          <w:sz w:val="18"/>
          <w:szCs w:val="18"/>
        </w:rPr>
        <w:t>,</w:t>
      </w:r>
      <w:r w:rsidRPr="00262341" w:rsidR="154B6599">
        <w:rPr>
          <w:rFonts w:ascii="Verdana" w:hAnsi="Verdana" w:eastAsia="Verdana" w:cs="Verdana"/>
          <w:sz w:val="18"/>
          <w:szCs w:val="18"/>
        </w:rPr>
        <w:t xml:space="preserve"> </w:t>
      </w:r>
      <w:r w:rsidRPr="00262341" w:rsidR="003B4E63">
        <w:rPr>
          <w:rFonts w:ascii="Verdana" w:hAnsi="Verdana" w:eastAsia="Verdana" w:cs="Verdana"/>
          <w:sz w:val="18"/>
          <w:szCs w:val="18"/>
        </w:rPr>
        <w:t>aan</w:t>
      </w:r>
      <w:r w:rsidRPr="00262341" w:rsidR="154B6599">
        <w:rPr>
          <w:rFonts w:ascii="Verdana" w:hAnsi="Verdana" w:eastAsia="Verdana" w:cs="Verdana"/>
          <w:sz w:val="18"/>
          <w:szCs w:val="18"/>
        </w:rPr>
        <w:t>gezien zij private ondernemingen zijn. Zij kunnen niet afhankelijk zijn van de hoogte van vergoedingen die de Commissie gepast acht. Het kabinet acht het niet juist dat de Commissie tarieven of reductiepercentages aan private ondernemingen voorschrijft. Het verplicht reduceren van tarieven met 25% tot 50% voor ongeveer 90% van fabrikanten, zal gevolgen hebben voor de beschikbaarheid van medische hulpmiddelen</w:t>
      </w:r>
      <w:r w:rsidRPr="00262341" w:rsidR="003B4E63">
        <w:rPr>
          <w:rFonts w:ascii="Verdana" w:hAnsi="Verdana" w:eastAsia="Verdana" w:cs="Verdana"/>
          <w:sz w:val="18"/>
          <w:szCs w:val="18"/>
        </w:rPr>
        <w:t>,</w:t>
      </w:r>
      <w:r w:rsidRPr="00262341" w:rsidR="154B6599">
        <w:rPr>
          <w:rFonts w:ascii="Verdana" w:hAnsi="Verdana" w:eastAsia="Verdana" w:cs="Verdana"/>
          <w:sz w:val="18"/>
          <w:szCs w:val="18"/>
        </w:rPr>
        <w:t xml:space="preserve"> omdat dit naar verwachting zal leiden tot personeelsverloop bij </w:t>
      </w:r>
      <w:proofErr w:type="spellStart"/>
      <w:r w:rsidRPr="00262341" w:rsidR="154B6599">
        <w:rPr>
          <w:rFonts w:ascii="Verdana" w:hAnsi="Verdana" w:eastAsia="Verdana" w:cs="Verdana"/>
          <w:i/>
          <w:sz w:val="18"/>
          <w:szCs w:val="18"/>
        </w:rPr>
        <w:t>notified</w:t>
      </w:r>
      <w:proofErr w:type="spellEnd"/>
      <w:r w:rsidRPr="00262341" w:rsidR="154B6599">
        <w:rPr>
          <w:rFonts w:ascii="Verdana" w:hAnsi="Verdana" w:eastAsia="Verdana" w:cs="Verdana"/>
          <w:i/>
          <w:sz w:val="18"/>
          <w:szCs w:val="18"/>
        </w:rPr>
        <w:t xml:space="preserve"> </w:t>
      </w:r>
      <w:proofErr w:type="spellStart"/>
      <w:r w:rsidRPr="00262341" w:rsidR="154B6599">
        <w:rPr>
          <w:rFonts w:ascii="Verdana" w:hAnsi="Verdana" w:eastAsia="Verdana" w:cs="Verdana"/>
          <w:i/>
          <w:sz w:val="18"/>
          <w:szCs w:val="18"/>
        </w:rPr>
        <w:t>bodies</w:t>
      </w:r>
      <w:proofErr w:type="spellEnd"/>
      <w:r w:rsidRPr="00262341" w:rsidR="154B6599">
        <w:rPr>
          <w:rFonts w:ascii="Verdana" w:hAnsi="Verdana" w:eastAsia="Verdana" w:cs="Verdana"/>
          <w:sz w:val="18"/>
          <w:szCs w:val="18"/>
        </w:rPr>
        <w:t xml:space="preserve"> (vanwege de beperkte salarisgroei in vergelijking met bijvoorbeeld fabrikanten of consultants). Ook bestaat de kans dat bedrijven, zeker de kleine </w:t>
      </w:r>
      <w:proofErr w:type="spellStart"/>
      <w:r w:rsidRPr="00262341" w:rsidR="154B6599">
        <w:rPr>
          <w:rFonts w:ascii="Verdana" w:hAnsi="Verdana" w:eastAsia="Verdana" w:cs="Verdana"/>
          <w:i/>
          <w:sz w:val="18"/>
          <w:szCs w:val="18"/>
        </w:rPr>
        <w:t>notified</w:t>
      </w:r>
      <w:proofErr w:type="spellEnd"/>
      <w:r w:rsidRPr="00262341" w:rsidR="154B6599">
        <w:rPr>
          <w:rFonts w:ascii="Verdana" w:hAnsi="Verdana" w:eastAsia="Verdana" w:cs="Verdana"/>
          <w:i/>
          <w:sz w:val="18"/>
          <w:szCs w:val="18"/>
        </w:rPr>
        <w:t xml:space="preserve"> </w:t>
      </w:r>
      <w:proofErr w:type="spellStart"/>
      <w:r w:rsidRPr="00262341" w:rsidR="154B6599">
        <w:rPr>
          <w:rFonts w:ascii="Verdana" w:hAnsi="Verdana" w:eastAsia="Verdana" w:cs="Verdana"/>
          <w:i/>
          <w:sz w:val="18"/>
          <w:szCs w:val="18"/>
        </w:rPr>
        <w:t>bodies</w:t>
      </w:r>
      <w:proofErr w:type="spellEnd"/>
      <w:r w:rsidRPr="00262341" w:rsidR="154B6599">
        <w:rPr>
          <w:rFonts w:ascii="Verdana" w:hAnsi="Verdana" w:eastAsia="Verdana" w:cs="Verdana"/>
          <w:sz w:val="18"/>
          <w:szCs w:val="18"/>
        </w:rPr>
        <w:t>, hun activiteiten rond conformiteitsbeoordeling zullen staken</w:t>
      </w:r>
      <w:r w:rsidRPr="00262341" w:rsidR="003B4E63">
        <w:rPr>
          <w:rFonts w:ascii="Verdana" w:hAnsi="Verdana" w:eastAsia="Verdana" w:cs="Verdana"/>
          <w:sz w:val="18"/>
          <w:szCs w:val="18"/>
        </w:rPr>
        <w:t>,</w:t>
      </w:r>
      <w:r w:rsidRPr="00262341" w:rsidR="154B6599">
        <w:rPr>
          <w:rFonts w:ascii="Verdana" w:hAnsi="Verdana" w:eastAsia="Verdana" w:cs="Verdana"/>
          <w:sz w:val="18"/>
          <w:szCs w:val="18"/>
        </w:rPr>
        <w:t xml:space="preserve"> waardoor er wederom capaciteitsproblemen zullen ontstaan. Dit komt geenszins ten goede aan de beschikbaarheid van medische hulmiddelen en daarmee de patiëntveiligheid. </w:t>
      </w:r>
    </w:p>
    <w:p w:rsidRPr="00262341" w:rsidR="1456E7A3" w:rsidP="00262341" w:rsidRDefault="003B4E63" w14:paraId="05051FAC" w14:textId="6CA85154">
      <w:pPr>
        <w:spacing w:line="360" w:lineRule="auto"/>
        <w:rPr>
          <w:rFonts w:ascii="Verdana" w:hAnsi="Verdana" w:eastAsia="Verdana" w:cs="Verdana"/>
          <w:sz w:val="18"/>
          <w:szCs w:val="18"/>
        </w:rPr>
      </w:pPr>
      <w:r w:rsidRPr="00262341">
        <w:rPr>
          <w:rFonts w:ascii="Verdana" w:hAnsi="Verdana" w:eastAsia="Verdana" w:cs="Verdana"/>
          <w:sz w:val="18"/>
          <w:szCs w:val="18"/>
        </w:rPr>
        <w:lastRenderedPageBreak/>
        <w:t xml:space="preserve">Het kabinet </w:t>
      </w:r>
      <w:r w:rsidRPr="00262341" w:rsidR="154B6599">
        <w:rPr>
          <w:rFonts w:ascii="Verdana" w:hAnsi="Verdana" w:eastAsia="Verdana" w:cs="Verdana"/>
          <w:sz w:val="18"/>
          <w:szCs w:val="18"/>
        </w:rPr>
        <w:t xml:space="preserve">zal zich om deze reden actief inzetten om het systeem voor alle marktdeelnemers, en dus ook </w:t>
      </w:r>
      <w:proofErr w:type="spellStart"/>
      <w:r w:rsidRPr="00262341" w:rsidR="154B6599">
        <w:rPr>
          <w:rFonts w:ascii="Verdana" w:hAnsi="Verdana" w:eastAsia="Verdana" w:cs="Verdana"/>
          <w:i/>
          <w:sz w:val="18"/>
          <w:szCs w:val="18"/>
        </w:rPr>
        <w:t>notified</w:t>
      </w:r>
      <w:proofErr w:type="spellEnd"/>
      <w:r w:rsidRPr="00262341" w:rsidR="154B6599">
        <w:rPr>
          <w:rFonts w:ascii="Verdana" w:hAnsi="Verdana" w:eastAsia="Verdana" w:cs="Verdana"/>
          <w:i/>
          <w:sz w:val="18"/>
          <w:szCs w:val="18"/>
        </w:rPr>
        <w:t xml:space="preserve"> </w:t>
      </w:r>
      <w:proofErr w:type="spellStart"/>
      <w:r w:rsidRPr="00262341" w:rsidR="154B6599">
        <w:rPr>
          <w:rFonts w:ascii="Verdana" w:hAnsi="Verdana" w:eastAsia="Verdana" w:cs="Verdana"/>
          <w:i/>
          <w:sz w:val="18"/>
          <w:szCs w:val="18"/>
        </w:rPr>
        <w:t>bodies</w:t>
      </w:r>
      <w:proofErr w:type="spellEnd"/>
      <w:r w:rsidRPr="00262341" w:rsidR="154B6599">
        <w:rPr>
          <w:rFonts w:ascii="Verdana" w:hAnsi="Verdana" w:eastAsia="Verdana" w:cs="Verdana"/>
          <w:sz w:val="18"/>
          <w:szCs w:val="18"/>
        </w:rPr>
        <w:t xml:space="preserve"> met hun belangrijke publieke functie, werkbaar te houden. </w:t>
      </w:r>
    </w:p>
    <w:p w:rsidRPr="00262341" w:rsidR="00C50333" w:rsidP="00262341" w:rsidRDefault="00C50333" w14:paraId="7CC8657F" w14:textId="77777777">
      <w:pPr>
        <w:spacing w:line="360" w:lineRule="auto"/>
        <w:rPr>
          <w:rFonts w:ascii="Verdana" w:hAnsi="Verdana" w:eastAsia="Verdana" w:cs="Verdana"/>
          <w:sz w:val="18"/>
          <w:szCs w:val="18"/>
        </w:rPr>
      </w:pPr>
    </w:p>
    <w:p w:rsidRPr="00262341" w:rsidR="26DED561" w:rsidP="00262341" w:rsidRDefault="43B7FD55" w14:paraId="4042E827" w14:textId="1F3342E3">
      <w:pPr>
        <w:spacing w:line="360" w:lineRule="auto"/>
        <w:rPr>
          <w:rFonts w:ascii="Verdana" w:hAnsi="Verdana" w:eastAsia="Verdana" w:cs="Verdana"/>
          <w:i/>
          <w:iCs/>
          <w:sz w:val="18"/>
          <w:szCs w:val="18"/>
        </w:rPr>
      </w:pPr>
      <w:r w:rsidRPr="00262341">
        <w:rPr>
          <w:rFonts w:ascii="Verdana" w:hAnsi="Verdana" w:eastAsia="Verdana" w:cs="Verdana"/>
          <w:sz w:val="18"/>
          <w:szCs w:val="18"/>
        </w:rPr>
        <w:t xml:space="preserve">Het kabinet onderschrijft het voorstel om het verplicht te stellen voor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om de soorten en hoogtes van gevraagde vergoedingen weer te geven op een centrale website. Hierdoor krijgen fabrikanten een duidelijk overzicht van kosten en kunnen zij de kosten tussen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gemakkelijk vergelijken. Dit zal ook gezonde concurrentie</w:t>
      </w:r>
      <w:r w:rsidRPr="00262341" w:rsidR="003C0850">
        <w:rPr>
          <w:rFonts w:ascii="Verdana" w:hAnsi="Verdana" w:eastAsia="Verdana" w:cs="Verdana"/>
          <w:sz w:val="18"/>
          <w:szCs w:val="18"/>
        </w:rPr>
        <w:t xml:space="preserve"> bevorderen</w:t>
      </w:r>
      <w:r w:rsidRPr="00262341">
        <w:rPr>
          <w:rFonts w:ascii="Verdana" w:hAnsi="Verdana" w:eastAsia="Verdana" w:cs="Verdana"/>
          <w:sz w:val="18"/>
          <w:szCs w:val="18"/>
        </w:rPr>
        <w:t xml:space="preserve"> tussen de inmiddels 52 MDR</w:t>
      </w:r>
      <w:r w:rsidRPr="00262341" w:rsidR="003C0850">
        <w:rPr>
          <w:rFonts w:ascii="Verdana" w:hAnsi="Verdana" w:eastAsia="Verdana" w:cs="Verdana"/>
          <w:sz w:val="18"/>
          <w:szCs w:val="18"/>
        </w:rPr>
        <w:t>-</w:t>
      </w:r>
      <w:r w:rsidRPr="00262341">
        <w:rPr>
          <w:rFonts w:ascii="Verdana" w:hAnsi="Verdana" w:eastAsia="Verdana" w:cs="Verdana"/>
          <w:sz w:val="18"/>
          <w:szCs w:val="18"/>
        </w:rPr>
        <w:t xml:space="preserve"> en 19 IVDR</w:t>
      </w:r>
      <w:r w:rsidRPr="00262341" w:rsidR="003C0850">
        <w:rPr>
          <w:rFonts w:ascii="Verdana" w:hAnsi="Verdana" w:eastAsia="Verdana" w:cs="Verdana"/>
          <w:sz w:val="18"/>
          <w:szCs w:val="18"/>
        </w:rPr>
        <w:t>-</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sidR="003C0850">
        <w:rPr>
          <w:rFonts w:ascii="Verdana" w:hAnsi="Verdana" w:eastAsia="Verdana" w:cs="Verdana"/>
          <w:sz w:val="18"/>
          <w:szCs w:val="18"/>
        </w:rPr>
        <w:t>,</w:t>
      </w:r>
      <w:r w:rsidRPr="00262341">
        <w:rPr>
          <w:rFonts w:ascii="Verdana" w:hAnsi="Verdana" w:eastAsia="Verdana" w:cs="Verdana"/>
          <w:sz w:val="18"/>
          <w:szCs w:val="18"/>
        </w:rPr>
        <w:t xml:space="preserve"> terwijl het systeem werkbaar blijft. </w:t>
      </w:r>
      <w:r w:rsidRPr="00262341" w:rsidR="6E0DAAEF">
        <w:rPr>
          <w:rFonts w:ascii="Verdana" w:hAnsi="Verdana"/>
          <w:sz w:val="18"/>
          <w:szCs w:val="18"/>
        </w:rPr>
        <w:br/>
      </w:r>
    </w:p>
    <w:p w:rsidRPr="00262341" w:rsidR="3871E6CD" w:rsidP="00262341" w:rsidRDefault="6E0DAAEF" w14:paraId="33B074D8" w14:textId="7F3CC5B7">
      <w:pPr>
        <w:spacing w:line="360" w:lineRule="auto"/>
        <w:rPr>
          <w:rFonts w:ascii="Verdana" w:hAnsi="Verdana" w:eastAsia="Verdana" w:cs="Verdana"/>
          <w:sz w:val="18"/>
          <w:szCs w:val="18"/>
        </w:rPr>
      </w:pPr>
      <w:r w:rsidRPr="00262341">
        <w:rPr>
          <w:rFonts w:ascii="Verdana" w:hAnsi="Verdana" w:eastAsia="Verdana" w:cs="Verdana"/>
          <w:i/>
          <w:iCs/>
          <w:sz w:val="18"/>
          <w:szCs w:val="18"/>
        </w:rPr>
        <w:t xml:space="preserve">Coördinatie binnen een gedecentraliseerd systeem </w:t>
      </w:r>
    </w:p>
    <w:p w:rsidRPr="00262341" w:rsidR="3871E6CD" w:rsidP="00262341" w:rsidRDefault="43B7FD55" w14:paraId="661D1DFB" w14:textId="2B78FBF7">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hoewel positief over de poging tot coördinatie, heeft bedenkingen bij voorstellen onder dit onderwerp. De Commissie heeft significante wijzigingsvoorstellen gedaan ten aanzien van de aanwijzing van en het toezicht op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waarbij de Commissie met name voorstelt om de </w:t>
      </w:r>
      <w:proofErr w:type="spellStart"/>
      <w:r w:rsidRPr="00262341" w:rsidR="000C4720">
        <w:rPr>
          <w:rFonts w:ascii="Verdana" w:hAnsi="Verdana" w:eastAsia="Verdana" w:cs="Verdana"/>
          <w:sz w:val="18"/>
          <w:szCs w:val="18"/>
        </w:rPr>
        <w:t>JATs</w:t>
      </w:r>
      <w:proofErr w:type="spellEnd"/>
      <w:r w:rsidRPr="00262341" w:rsidR="000C4720">
        <w:rPr>
          <w:rFonts w:ascii="Verdana" w:hAnsi="Verdana" w:eastAsia="Verdana" w:cs="Verdana"/>
          <w:sz w:val="18"/>
          <w:szCs w:val="18"/>
        </w:rPr>
        <w:t xml:space="preserve"> </w:t>
      </w:r>
      <w:r w:rsidRPr="00262341">
        <w:rPr>
          <w:rFonts w:ascii="Verdana" w:hAnsi="Verdana" w:eastAsia="Verdana" w:cs="Verdana"/>
          <w:sz w:val="18"/>
          <w:szCs w:val="18"/>
        </w:rPr>
        <w:t xml:space="preserve">hierbij een frequentere en aanzienlijk grotere rol toe te kennen. </w:t>
      </w:r>
    </w:p>
    <w:p w:rsidRPr="00262341" w:rsidR="3871E6CD" w:rsidP="00262341" w:rsidRDefault="41CAE194" w14:paraId="55EACF8B" w14:textId="796E6277">
      <w:pPr>
        <w:spacing w:line="360" w:lineRule="auto"/>
        <w:rPr>
          <w:rFonts w:ascii="Verdana" w:hAnsi="Verdana" w:eastAsia="Verdana" w:cs="Verdana"/>
          <w:sz w:val="18"/>
          <w:szCs w:val="18"/>
        </w:rPr>
      </w:pPr>
      <w:r w:rsidRPr="00262341">
        <w:rPr>
          <w:rFonts w:ascii="Verdana" w:hAnsi="Verdana" w:eastAsia="Verdana" w:cs="Verdana"/>
          <w:sz w:val="18"/>
          <w:szCs w:val="18"/>
        </w:rPr>
        <w:t xml:space="preserve"> </w:t>
      </w:r>
    </w:p>
    <w:p w:rsidRPr="00262341" w:rsidR="3871E6CD" w:rsidP="00262341" w:rsidRDefault="43B7FD55" w14:paraId="18C47312" w14:textId="2B9B0790">
      <w:pPr>
        <w:spacing w:line="360" w:lineRule="auto"/>
        <w:rPr>
          <w:rFonts w:ascii="Verdana" w:hAnsi="Verdana" w:eastAsia="Verdana" w:cs="Verdana"/>
          <w:sz w:val="18"/>
          <w:szCs w:val="18"/>
        </w:rPr>
      </w:pPr>
      <w:r w:rsidRPr="00262341">
        <w:rPr>
          <w:rFonts w:ascii="Verdana" w:hAnsi="Verdana" w:eastAsia="Verdana" w:cs="Verdana"/>
          <w:sz w:val="18"/>
          <w:szCs w:val="18"/>
        </w:rPr>
        <w:t xml:space="preserve">Hoewel het kabinet veel waarde hecht aan de harmonisatie van het toezicht op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zou het voorstel kunnen leiden tot grote uitdagingen. </w:t>
      </w:r>
      <w:r w:rsidRPr="00262341" w:rsidR="6E0DAAEF">
        <w:rPr>
          <w:rFonts w:ascii="Verdana" w:hAnsi="Verdana" w:eastAsia="Verdana" w:cs="Verdana"/>
          <w:sz w:val="18"/>
          <w:szCs w:val="18"/>
        </w:rPr>
        <w:t xml:space="preserve">Naast een aantal bezwaren van procedurele aard plaatst het kabinet met name kanttekeningen bij de voorgestelde verhouding tussen het JAT en de </w:t>
      </w:r>
      <w:r w:rsidRPr="00262341" w:rsidR="07154609">
        <w:rPr>
          <w:rFonts w:ascii="Verdana" w:hAnsi="Verdana" w:eastAsia="Verdana" w:cs="Verdana"/>
          <w:sz w:val="18"/>
          <w:szCs w:val="18"/>
        </w:rPr>
        <w:t xml:space="preserve">lidstaat waarin de </w:t>
      </w:r>
      <w:proofErr w:type="spellStart"/>
      <w:r w:rsidRPr="00262341" w:rsidR="07154609">
        <w:rPr>
          <w:rFonts w:ascii="Verdana" w:hAnsi="Verdana" w:eastAsia="Verdana" w:cs="Verdana"/>
          <w:i/>
          <w:sz w:val="18"/>
          <w:szCs w:val="18"/>
        </w:rPr>
        <w:t>notified</w:t>
      </w:r>
      <w:proofErr w:type="spellEnd"/>
      <w:r w:rsidRPr="00262341" w:rsidR="07154609">
        <w:rPr>
          <w:rFonts w:ascii="Verdana" w:hAnsi="Verdana" w:eastAsia="Verdana" w:cs="Verdana"/>
          <w:i/>
          <w:sz w:val="18"/>
          <w:szCs w:val="18"/>
        </w:rPr>
        <w:t xml:space="preserve"> body</w:t>
      </w:r>
      <w:r w:rsidRPr="00262341" w:rsidR="07154609">
        <w:rPr>
          <w:rFonts w:ascii="Verdana" w:hAnsi="Verdana" w:eastAsia="Verdana" w:cs="Verdana"/>
          <w:sz w:val="18"/>
          <w:szCs w:val="18"/>
        </w:rPr>
        <w:t xml:space="preserve"> zich wil vestigen.</w:t>
      </w:r>
      <w:r w:rsidRPr="00262341" w:rsidR="6E0DAAEF">
        <w:rPr>
          <w:rFonts w:ascii="Verdana" w:hAnsi="Verdana" w:eastAsia="Verdana" w:cs="Verdana"/>
          <w:sz w:val="18"/>
          <w:szCs w:val="18"/>
        </w:rPr>
        <w:t xml:space="preserve"> Het voorstel van de Commissie kent immers een grote en doorslaggevende rol toe aan het JAT</w:t>
      </w:r>
      <w:r w:rsidRPr="00262341" w:rsidR="004A0A3F">
        <w:rPr>
          <w:rFonts w:ascii="Verdana" w:hAnsi="Verdana" w:eastAsia="Verdana" w:cs="Verdana"/>
          <w:sz w:val="18"/>
          <w:szCs w:val="18"/>
        </w:rPr>
        <w:t>,</w:t>
      </w:r>
      <w:r w:rsidRPr="00262341" w:rsidR="6E0DAAEF">
        <w:rPr>
          <w:rFonts w:ascii="Verdana" w:hAnsi="Verdana" w:eastAsia="Verdana" w:cs="Verdana"/>
          <w:sz w:val="18"/>
          <w:szCs w:val="18"/>
        </w:rPr>
        <w:t xml:space="preserve"> terwijl de eindverantwoordelijkheid van de lidstaat waarin een </w:t>
      </w:r>
      <w:proofErr w:type="spellStart"/>
      <w:r w:rsidRPr="00262341" w:rsidR="6E0DAAEF">
        <w:rPr>
          <w:rFonts w:ascii="Verdana" w:hAnsi="Verdana" w:eastAsia="Verdana" w:cs="Verdana"/>
          <w:i/>
          <w:sz w:val="18"/>
          <w:szCs w:val="18"/>
        </w:rPr>
        <w:t>notified</w:t>
      </w:r>
      <w:proofErr w:type="spellEnd"/>
      <w:r w:rsidRPr="00262341" w:rsidR="6E0DAAEF">
        <w:rPr>
          <w:rFonts w:ascii="Verdana" w:hAnsi="Verdana" w:eastAsia="Verdana" w:cs="Verdana"/>
          <w:i/>
          <w:sz w:val="18"/>
          <w:szCs w:val="18"/>
        </w:rPr>
        <w:t xml:space="preserve"> body</w:t>
      </w:r>
      <w:r w:rsidRPr="00262341" w:rsidR="6E0DAAEF">
        <w:rPr>
          <w:rFonts w:ascii="Verdana" w:hAnsi="Verdana" w:eastAsia="Verdana" w:cs="Verdana"/>
          <w:sz w:val="18"/>
          <w:szCs w:val="18"/>
        </w:rPr>
        <w:t xml:space="preserve"> gevestigd is ongewijzigd </w:t>
      </w:r>
      <w:r w:rsidRPr="00262341" w:rsidR="004A0A3F">
        <w:rPr>
          <w:rFonts w:ascii="Verdana" w:hAnsi="Verdana" w:eastAsia="Verdana" w:cs="Verdana"/>
          <w:sz w:val="18"/>
          <w:szCs w:val="18"/>
        </w:rPr>
        <w:t>blijft</w:t>
      </w:r>
      <w:r w:rsidRPr="00262341" w:rsidR="6E0DAAEF">
        <w:rPr>
          <w:rFonts w:ascii="Verdana" w:hAnsi="Verdana" w:eastAsia="Verdana" w:cs="Verdana"/>
          <w:sz w:val="18"/>
          <w:szCs w:val="18"/>
        </w:rPr>
        <w:t xml:space="preserve">. </w:t>
      </w:r>
      <w:r w:rsidRPr="00262341" w:rsidR="31961EEC">
        <w:rPr>
          <w:rFonts w:ascii="Verdana" w:hAnsi="Verdana" w:eastAsia="Verdana" w:cs="Verdana"/>
          <w:sz w:val="18"/>
          <w:szCs w:val="18"/>
        </w:rPr>
        <w:t xml:space="preserve">Het JAT zou op deze manier de aanwijzing van een kandidaat </w:t>
      </w:r>
      <w:proofErr w:type="spellStart"/>
      <w:r w:rsidRPr="00262341" w:rsidR="31961EEC">
        <w:rPr>
          <w:rFonts w:ascii="Verdana" w:hAnsi="Verdana" w:eastAsia="Verdana" w:cs="Verdana"/>
          <w:i/>
          <w:sz w:val="18"/>
          <w:szCs w:val="18"/>
        </w:rPr>
        <w:t>notified</w:t>
      </w:r>
      <w:proofErr w:type="spellEnd"/>
      <w:r w:rsidRPr="00262341" w:rsidR="31961EEC">
        <w:rPr>
          <w:rFonts w:ascii="Verdana" w:hAnsi="Verdana" w:eastAsia="Verdana" w:cs="Verdana"/>
          <w:i/>
          <w:sz w:val="18"/>
          <w:szCs w:val="18"/>
        </w:rPr>
        <w:t xml:space="preserve"> body</w:t>
      </w:r>
      <w:r w:rsidRPr="00262341" w:rsidR="31961EEC">
        <w:rPr>
          <w:rFonts w:ascii="Verdana" w:hAnsi="Verdana" w:eastAsia="Verdana" w:cs="Verdana"/>
          <w:sz w:val="18"/>
          <w:szCs w:val="18"/>
        </w:rPr>
        <w:t xml:space="preserve"> kunnen tegenhouden of vertragen</w:t>
      </w:r>
      <w:r w:rsidRPr="00262341" w:rsidR="004A0A3F">
        <w:rPr>
          <w:rFonts w:ascii="Verdana" w:hAnsi="Verdana" w:eastAsia="Verdana" w:cs="Verdana"/>
          <w:sz w:val="18"/>
          <w:szCs w:val="18"/>
        </w:rPr>
        <w:t>,</w:t>
      </w:r>
      <w:r w:rsidRPr="00262341" w:rsidR="31961EEC">
        <w:rPr>
          <w:rFonts w:ascii="Verdana" w:hAnsi="Verdana" w:eastAsia="Verdana" w:cs="Verdana"/>
          <w:sz w:val="18"/>
          <w:szCs w:val="18"/>
        </w:rPr>
        <w:t xml:space="preserve"> terwijl deze </w:t>
      </w:r>
      <w:r w:rsidRPr="00262341" w:rsidR="004A0A3F">
        <w:rPr>
          <w:rFonts w:ascii="Verdana" w:hAnsi="Verdana" w:eastAsia="Verdana" w:cs="Verdana"/>
          <w:sz w:val="18"/>
          <w:szCs w:val="18"/>
        </w:rPr>
        <w:t>volgens</w:t>
      </w:r>
      <w:r w:rsidRPr="00262341" w:rsidR="31961EEC">
        <w:rPr>
          <w:rFonts w:ascii="Verdana" w:hAnsi="Verdana" w:eastAsia="Verdana" w:cs="Verdana"/>
          <w:sz w:val="18"/>
          <w:szCs w:val="18"/>
        </w:rPr>
        <w:t xml:space="preserve"> nationale wetgeving aan alle eisen voldoet. </w:t>
      </w:r>
      <w:r w:rsidRPr="00262341" w:rsidR="6E0DAAEF">
        <w:rPr>
          <w:rFonts w:ascii="Verdana" w:hAnsi="Verdana" w:eastAsia="Verdana" w:cs="Verdana"/>
          <w:sz w:val="18"/>
          <w:szCs w:val="18"/>
        </w:rPr>
        <w:t xml:space="preserve">In de optiek van het kabinet leidt dit ertoe dat de formele nationale eindverantwoordelijkheid voor </w:t>
      </w:r>
      <w:proofErr w:type="spellStart"/>
      <w:r w:rsidRPr="00262341" w:rsidR="6E0DAAEF">
        <w:rPr>
          <w:rFonts w:ascii="Verdana" w:hAnsi="Verdana" w:eastAsia="Verdana" w:cs="Verdana"/>
          <w:i/>
          <w:sz w:val="18"/>
          <w:szCs w:val="18"/>
        </w:rPr>
        <w:t>notified</w:t>
      </w:r>
      <w:proofErr w:type="spellEnd"/>
      <w:r w:rsidRPr="00262341" w:rsidR="6E0DAAEF">
        <w:rPr>
          <w:rFonts w:ascii="Verdana" w:hAnsi="Verdana" w:eastAsia="Verdana" w:cs="Verdana"/>
          <w:i/>
          <w:sz w:val="18"/>
          <w:szCs w:val="18"/>
        </w:rPr>
        <w:t xml:space="preserve"> </w:t>
      </w:r>
      <w:proofErr w:type="spellStart"/>
      <w:r w:rsidRPr="00262341" w:rsidR="6E0DAAEF">
        <w:rPr>
          <w:rFonts w:ascii="Verdana" w:hAnsi="Verdana" w:eastAsia="Verdana" w:cs="Verdana"/>
          <w:i/>
          <w:sz w:val="18"/>
          <w:szCs w:val="18"/>
        </w:rPr>
        <w:t>bodies</w:t>
      </w:r>
      <w:proofErr w:type="spellEnd"/>
      <w:r w:rsidRPr="00262341" w:rsidR="6E0DAAEF">
        <w:rPr>
          <w:rFonts w:ascii="Verdana" w:hAnsi="Verdana" w:eastAsia="Verdana" w:cs="Verdana"/>
          <w:sz w:val="18"/>
          <w:szCs w:val="18"/>
        </w:rPr>
        <w:t xml:space="preserve"> weliswaar blijft bestaan</w:t>
      </w:r>
      <w:r w:rsidRPr="00262341" w:rsidR="6F0DCD31">
        <w:rPr>
          <w:rFonts w:ascii="Verdana" w:hAnsi="Verdana" w:eastAsia="Verdana" w:cs="Verdana"/>
          <w:sz w:val="18"/>
          <w:szCs w:val="18"/>
        </w:rPr>
        <w:t>,</w:t>
      </w:r>
      <w:r w:rsidRPr="00262341" w:rsidR="6E0DAAEF">
        <w:rPr>
          <w:rFonts w:ascii="Verdana" w:hAnsi="Verdana" w:eastAsia="Verdana" w:cs="Verdana"/>
          <w:sz w:val="18"/>
          <w:szCs w:val="18"/>
        </w:rPr>
        <w:t xml:space="preserve"> maar er onvoldoende sturingsmogelijkheden resteren om die nationale verantwoordelijkheid daadwerkelijk gestalte te kunnen geven. Het feitelijke zwaartepunt bij de aanwijzing van en het toezicht op </w:t>
      </w:r>
      <w:proofErr w:type="spellStart"/>
      <w:r w:rsidRPr="00262341" w:rsidR="6E0DAAEF">
        <w:rPr>
          <w:rFonts w:ascii="Verdana" w:hAnsi="Verdana" w:eastAsia="Verdana" w:cs="Verdana"/>
          <w:i/>
          <w:sz w:val="18"/>
          <w:szCs w:val="18"/>
        </w:rPr>
        <w:t>notified</w:t>
      </w:r>
      <w:proofErr w:type="spellEnd"/>
      <w:r w:rsidRPr="00262341" w:rsidR="6E0DAAEF">
        <w:rPr>
          <w:rFonts w:ascii="Verdana" w:hAnsi="Verdana" w:eastAsia="Verdana" w:cs="Verdana"/>
          <w:i/>
          <w:sz w:val="18"/>
          <w:szCs w:val="18"/>
        </w:rPr>
        <w:t xml:space="preserve"> </w:t>
      </w:r>
      <w:proofErr w:type="spellStart"/>
      <w:r w:rsidRPr="00262341" w:rsidR="6E0DAAEF">
        <w:rPr>
          <w:rFonts w:ascii="Verdana" w:hAnsi="Verdana" w:eastAsia="Verdana" w:cs="Verdana"/>
          <w:i/>
          <w:sz w:val="18"/>
          <w:szCs w:val="18"/>
        </w:rPr>
        <w:t>bodies</w:t>
      </w:r>
      <w:proofErr w:type="spellEnd"/>
      <w:r w:rsidRPr="00262341" w:rsidR="6E0DAAEF">
        <w:rPr>
          <w:rFonts w:ascii="Verdana" w:hAnsi="Verdana" w:eastAsia="Verdana" w:cs="Verdana"/>
          <w:sz w:val="18"/>
          <w:szCs w:val="18"/>
        </w:rPr>
        <w:t xml:space="preserve"> zou immers niet langer op nationaal maar op Europees niveau komen te liggen. </w:t>
      </w:r>
    </w:p>
    <w:p w:rsidRPr="00262341" w:rsidR="3871E6CD" w:rsidP="00262341" w:rsidRDefault="3871E6CD" w14:paraId="557347E8" w14:textId="365201A8">
      <w:pPr>
        <w:spacing w:line="360" w:lineRule="auto"/>
        <w:rPr>
          <w:rFonts w:ascii="Verdana" w:hAnsi="Verdana" w:eastAsia="Verdana" w:cs="Verdana"/>
          <w:sz w:val="18"/>
          <w:szCs w:val="18"/>
        </w:rPr>
      </w:pPr>
    </w:p>
    <w:p w:rsidRPr="00262341" w:rsidR="3871E6CD" w:rsidP="00262341" w:rsidRDefault="43B7FD55" w14:paraId="0E1E68EE" w14:textId="30AE492F">
      <w:pPr>
        <w:spacing w:line="360" w:lineRule="auto"/>
        <w:rPr>
          <w:rFonts w:ascii="Verdana" w:hAnsi="Verdana" w:eastAsia="Verdana" w:cs="Verdana"/>
          <w:sz w:val="18"/>
          <w:szCs w:val="18"/>
        </w:rPr>
      </w:pPr>
      <w:r w:rsidRPr="00262341">
        <w:rPr>
          <w:rFonts w:ascii="Verdana" w:hAnsi="Verdana" w:eastAsia="Verdana" w:cs="Verdana"/>
          <w:sz w:val="18"/>
          <w:szCs w:val="18"/>
        </w:rPr>
        <w:t xml:space="preserve">Daarnaast plaatst het kabinet kanttekeningen bij de uitvoerbaarheid van de voorgestelde wijzigingen rondom de </w:t>
      </w:r>
      <w:proofErr w:type="spellStart"/>
      <w:r w:rsidRPr="00262341">
        <w:rPr>
          <w:rFonts w:ascii="Verdana" w:hAnsi="Verdana" w:eastAsia="Verdana" w:cs="Verdana"/>
          <w:sz w:val="18"/>
          <w:szCs w:val="18"/>
        </w:rPr>
        <w:t>JATs</w:t>
      </w:r>
      <w:proofErr w:type="spellEnd"/>
      <w:r w:rsidRPr="00262341">
        <w:rPr>
          <w:rFonts w:ascii="Verdana" w:hAnsi="Verdana" w:eastAsia="Verdana" w:cs="Verdana"/>
          <w:sz w:val="18"/>
          <w:szCs w:val="18"/>
        </w:rPr>
        <w:t xml:space="preserve">. Het voorstel kent een grotere rol toe aan deze </w:t>
      </w:r>
      <w:proofErr w:type="spellStart"/>
      <w:r w:rsidRPr="00262341">
        <w:rPr>
          <w:rFonts w:ascii="Verdana" w:hAnsi="Verdana" w:eastAsia="Verdana" w:cs="Verdana"/>
          <w:sz w:val="18"/>
          <w:szCs w:val="18"/>
        </w:rPr>
        <w:t>JATs</w:t>
      </w:r>
      <w:proofErr w:type="spellEnd"/>
      <w:r w:rsidRPr="00262341">
        <w:rPr>
          <w:rFonts w:ascii="Verdana" w:hAnsi="Verdana" w:eastAsia="Verdana" w:cs="Verdana"/>
          <w:sz w:val="18"/>
          <w:szCs w:val="18"/>
        </w:rPr>
        <w:t xml:space="preserve">. Om die rol voldoende te kunnen uitoefenen zou aanzienlijk meer capaciteit van de lidstaten en de Commissie benodigd zijn. Naar inschatting van het kabinet is er echter onvoldoende (gekwalificeerd) personeel beschikbaar om de </w:t>
      </w:r>
      <w:proofErr w:type="spellStart"/>
      <w:r w:rsidRPr="00262341">
        <w:rPr>
          <w:rFonts w:ascii="Verdana" w:hAnsi="Verdana" w:eastAsia="Verdana" w:cs="Verdana"/>
          <w:sz w:val="18"/>
          <w:szCs w:val="18"/>
        </w:rPr>
        <w:t>JATs</w:t>
      </w:r>
      <w:proofErr w:type="spellEnd"/>
      <w:r w:rsidRPr="00262341">
        <w:rPr>
          <w:rFonts w:ascii="Verdana" w:hAnsi="Verdana" w:eastAsia="Verdana" w:cs="Verdana"/>
          <w:sz w:val="18"/>
          <w:szCs w:val="18"/>
        </w:rPr>
        <w:t xml:space="preserve"> te laten functioneren zoals in het voorstel wordt beoogd</w:t>
      </w:r>
      <w:r w:rsidRPr="00262341" w:rsidR="004A0A3F">
        <w:rPr>
          <w:rFonts w:ascii="Verdana" w:hAnsi="Verdana" w:eastAsia="Verdana" w:cs="Verdana"/>
          <w:sz w:val="18"/>
          <w:szCs w:val="18"/>
        </w:rPr>
        <w:t>. Dit kan</w:t>
      </w:r>
      <w:r w:rsidRPr="00262341">
        <w:rPr>
          <w:rFonts w:ascii="Verdana" w:hAnsi="Verdana" w:eastAsia="Verdana" w:cs="Verdana"/>
          <w:sz w:val="18"/>
          <w:szCs w:val="18"/>
        </w:rPr>
        <w:t xml:space="preserve"> ertoe leiden dat de </w:t>
      </w:r>
      <w:proofErr w:type="spellStart"/>
      <w:r w:rsidRPr="00262341">
        <w:rPr>
          <w:rFonts w:ascii="Verdana" w:hAnsi="Verdana" w:eastAsia="Verdana" w:cs="Verdana"/>
          <w:sz w:val="18"/>
          <w:szCs w:val="18"/>
        </w:rPr>
        <w:t>JATs</w:t>
      </w:r>
      <w:proofErr w:type="spellEnd"/>
      <w:r w:rsidRPr="00262341">
        <w:rPr>
          <w:rFonts w:ascii="Verdana" w:hAnsi="Verdana" w:eastAsia="Verdana" w:cs="Verdana"/>
          <w:sz w:val="18"/>
          <w:szCs w:val="18"/>
        </w:rPr>
        <w:t xml:space="preserve"> onvoldoende in staat zijn om de (in aard en omvang toegenomen) aanwijzings- en toezichtstaken naar behoren uit te voeren. </w:t>
      </w:r>
    </w:p>
    <w:p w:rsidRPr="00262341" w:rsidR="00656409" w:rsidP="00262341" w:rsidRDefault="00656409" w14:paraId="4E474AF5" w14:textId="77777777">
      <w:pPr>
        <w:spacing w:line="360" w:lineRule="auto"/>
        <w:rPr>
          <w:rFonts w:ascii="Verdana" w:hAnsi="Verdana" w:eastAsia="Verdana" w:cs="Verdana"/>
          <w:sz w:val="18"/>
          <w:szCs w:val="18"/>
        </w:rPr>
      </w:pPr>
    </w:p>
    <w:p w:rsidRPr="00262341" w:rsidR="3871E6CD" w:rsidP="00262341" w:rsidRDefault="43B7FD55" w14:paraId="030066EE" w14:textId="5300FF46">
      <w:pPr>
        <w:spacing w:line="360" w:lineRule="auto"/>
        <w:rPr>
          <w:rFonts w:ascii="Verdana" w:hAnsi="Verdana" w:eastAsia="Verdana" w:cs="Verdana"/>
          <w:sz w:val="18"/>
          <w:szCs w:val="18"/>
        </w:rPr>
      </w:pPr>
      <w:r w:rsidRPr="00262341">
        <w:rPr>
          <w:rFonts w:ascii="Verdana" w:hAnsi="Verdana" w:eastAsia="Verdana" w:cs="Verdana"/>
          <w:sz w:val="18"/>
          <w:szCs w:val="18"/>
        </w:rPr>
        <w:t xml:space="preserve">Naar inschatting van het kabinet zijn er andere, kansrijkere mogelijkheden om op dit vlak harmonisatie te bewerkstelligen, die </w:t>
      </w:r>
      <w:r w:rsidRPr="00262341" w:rsidR="004A0A3F">
        <w:rPr>
          <w:rFonts w:ascii="Verdana" w:hAnsi="Verdana" w:eastAsia="Verdana" w:cs="Verdana"/>
          <w:sz w:val="18"/>
          <w:szCs w:val="18"/>
        </w:rPr>
        <w:t>ook</w:t>
      </w:r>
      <w:r w:rsidRPr="00262341">
        <w:rPr>
          <w:rFonts w:ascii="Verdana" w:hAnsi="Verdana" w:eastAsia="Verdana" w:cs="Verdana"/>
          <w:sz w:val="18"/>
          <w:szCs w:val="18"/>
        </w:rPr>
        <w:t xml:space="preserve"> recht doen aan de eindverantwoordelijkheid van lidstaten voor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die daar gevestigd zijn. Het versterken van </w:t>
      </w:r>
      <w:r w:rsidRPr="00262341">
        <w:rPr>
          <w:rFonts w:ascii="Verdana" w:hAnsi="Verdana" w:eastAsia="Verdana" w:cs="Verdana"/>
          <w:i/>
          <w:sz w:val="18"/>
          <w:szCs w:val="18"/>
        </w:rPr>
        <w:t xml:space="preserve">peer reviews, </w:t>
      </w:r>
      <w:r w:rsidRPr="00262341">
        <w:rPr>
          <w:rFonts w:ascii="Verdana" w:hAnsi="Verdana" w:eastAsia="Verdana" w:cs="Verdana"/>
          <w:sz w:val="18"/>
          <w:szCs w:val="18"/>
        </w:rPr>
        <w:t xml:space="preserve">waarbij autoriteiten ervaringen en methodieken uitwisselen, en het ontwikkelen van </w:t>
      </w:r>
      <w:r w:rsidRPr="00262341">
        <w:rPr>
          <w:rFonts w:ascii="Verdana" w:hAnsi="Verdana" w:eastAsia="Verdana" w:cs="Verdana"/>
          <w:i/>
          <w:iCs/>
          <w:sz w:val="18"/>
          <w:szCs w:val="18"/>
        </w:rPr>
        <w:t>best practices</w:t>
      </w:r>
      <w:r w:rsidRPr="00262341">
        <w:rPr>
          <w:rFonts w:ascii="Verdana" w:hAnsi="Verdana" w:eastAsia="Verdana" w:cs="Verdana"/>
          <w:sz w:val="18"/>
          <w:szCs w:val="18"/>
        </w:rPr>
        <w:t xml:space="preserve">, </w:t>
      </w:r>
      <w:r w:rsidRPr="00262341" w:rsidR="004A0A3F">
        <w:rPr>
          <w:rFonts w:ascii="Verdana" w:hAnsi="Verdana" w:eastAsia="Verdana" w:cs="Verdana"/>
          <w:sz w:val="18"/>
          <w:szCs w:val="18"/>
        </w:rPr>
        <w:t>vormen duurzame manier</w:t>
      </w:r>
      <w:r w:rsidRPr="00262341" w:rsidR="00044419">
        <w:rPr>
          <w:rFonts w:ascii="Verdana" w:hAnsi="Verdana" w:eastAsia="Verdana" w:cs="Verdana"/>
          <w:sz w:val="18"/>
          <w:szCs w:val="18"/>
        </w:rPr>
        <w:t>en</w:t>
      </w:r>
      <w:r w:rsidRPr="00262341">
        <w:rPr>
          <w:rFonts w:ascii="Verdana" w:hAnsi="Verdana" w:eastAsia="Verdana" w:cs="Verdana"/>
          <w:sz w:val="18"/>
          <w:szCs w:val="18"/>
        </w:rPr>
        <w:t xml:space="preserve"> om ervoor te zorgen dat de toepassing van de regelgeving geharmoniseerd en gestroomlijnd blijft. </w:t>
      </w:r>
    </w:p>
    <w:p w:rsidRPr="00262341" w:rsidR="3871E6CD" w:rsidP="00262341" w:rsidRDefault="43B7FD55" w14:paraId="2546BA5F" w14:textId="3DA298CA">
      <w:pPr>
        <w:spacing w:line="360" w:lineRule="auto"/>
        <w:rPr>
          <w:rFonts w:ascii="Verdana" w:hAnsi="Verdana" w:eastAsia="Verdana" w:cs="Verdana"/>
          <w:sz w:val="18"/>
          <w:szCs w:val="18"/>
        </w:rPr>
      </w:pPr>
      <w:r w:rsidRPr="00262341">
        <w:rPr>
          <w:rFonts w:ascii="Verdana" w:hAnsi="Verdana" w:eastAsia="Verdana" w:cs="Verdana"/>
          <w:sz w:val="18"/>
          <w:szCs w:val="18"/>
        </w:rPr>
        <w:lastRenderedPageBreak/>
        <w:t xml:space="preserve">Ook stelt de Commissie voor om het land verantwoordelijk voor aanwijzing van een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de rol van ombudsman te geven als er zich een geschil voordoet tussen een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en een fabrikant. Gezien de </w:t>
      </w:r>
      <w:r w:rsidRPr="00262341" w:rsidR="004A0A3F">
        <w:rPr>
          <w:rFonts w:ascii="Verdana" w:hAnsi="Verdana" w:eastAsia="Verdana" w:cs="Verdana"/>
          <w:sz w:val="18"/>
          <w:szCs w:val="18"/>
        </w:rPr>
        <w:t>al</w:t>
      </w:r>
      <w:r w:rsidRPr="00262341">
        <w:rPr>
          <w:rFonts w:ascii="Verdana" w:hAnsi="Verdana" w:eastAsia="Verdana" w:cs="Verdana"/>
          <w:sz w:val="18"/>
          <w:szCs w:val="18"/>
        </w:rPr>
        <w:t xml:space="preserve"> bestaande klachtenprocedures bij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is het kabinet van mening dat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body</w:t>
      </w:r>
      <w:r w:rsidRPr="00262341">
        <w:rPr>
          <w:rFonts w:ascii="Verdana" w:hAnsi="Verdana" w:eastAsia="Verdana" w:cs="Verdana"/>
          <w:sz w:val="18"/>
          <w:szCs w:val="18"/>
        </w:rPr>
        <w:t xml:space="preserve"> en de fabrikant eerst samen moeten trachten tot een oplossing te komen. </w:t>
      </w:r>
    </w:p>
    <w:p w:rsidRPr="00262341" w:rsidR="3518C77A" w:rsidP="00262341" w:rsidRDefault="3518C77A" w14:paraId="44A578A8" w14:textId="5C31D337">
      <w:pPr>
        <w:spacing w:line="360" w:lineRule="auto"/>
        <w:rPr>
          <w:rFonts w:ascii="Verdana" w:hAnsi="Verdana" w:eastAsia="Verdana" w:cs="Verdana"/>
          <w:sz w:val="18"/>
          <w:szCs w:val="18"/>
        </w:rPr>
      </w:pPr>
    </w:p>
    <w:p w:rsidRPr="00262341" w:rsidR="71D29BF2" w:rsidP="00262341" w:rsidRDefault="74D09478" w14:paraId="3FBA3A8B" w14:textId="7B30FFAB">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verwelkomt het voorstel om meer technisch wetenschappelijke kennis in het systeem te borgen door de rol van expert-panels uit te breiden onder een EMA-secretariaat. Echter wil het kabinet aandacht vestigen op de hoogte van de tarieven die de EMA in rekening brengt voor betrokkenheid vanuit de expert-panels. De Commissie doet daarnaast additionele voorstellen die de rol van de EMA bij (de uitvoering van) het medische hulpmiddelenbeleid aanzienlijk zullen vergroten. In de optiek van het kabinet is de EMA op het terrein van medische hulpmiddelen momenteel echter onvoldoende toegerust om de voorziene taken uit te voeren. Uitbreiding van de rol van de EMA, in de vorm van wetenschappelijke, technische en administratieve ondersteuning voor de coördinatie tussen de nationale bevoegde autoriteiten, kan volgens het kabinet alleen wanneer kennis over medische technologie voldoende is geborgd bij deze organisatie. Medische hulpmiddelen zijn geen onderdeel of </w:t>
      </w:r>
      <w:r w:rsidRPr="00262341" w:rsidR="004A0A3F">
        <w:rPr>
          <w:rFonts w:ascii="Verdana" w:hAnsi="Verdana" w:eastAsia="Verdana" w:cs="Verdana"/>
          <w:sz w:val="18"/>
          <w:szCs w:val="18"/>
        </w:rPr>
        <w:t>subonderdeel</w:t>
      </w:r>
      <w:r w:rsidRPr="00262341">
        <w:rPr>
          <w:rFonts w:ascii="Verdana" w:hAnsi="Verdana" w:eastAsia="Verdana" w:cs="Verdana"/>
          <w:sz w:val="18"/>
          <w:szCs w:val="18"/>
        </w:rPr>
        <w:t xml:space="preserve"> van geneesmiddelen en vergen specifieke technische en regelgevende kennis en expertise. Het kabinet zal zich inspannen voor de borging hiervan onder de voorgestelde wijziging. Daarbij hecht het kabinet veel waarde aan een duidelijke rol- en verantwoordelijkheidsverdeling tussen de Commissie, de EMA en de </w:t>
      </w:r>
      <w:r w:rsidRPr="00262341" w:rsidR="004A0A3F">
        <w:rPr>
          <w:rFonts w:ascii="Verdana" w:hAnsi="Verdana" w:eastAsia="Verdana" w:cs="Verdana"/>
          <w:sz w:val="18"/>
          <w:szCs w:val="18"/>
        </w:rPr>
        <w:t xml:space="preserve">Europese </w:t>
      </w:r>
      <w:r w:rsidRPr="00262341">
        <w:rPr>
          <w:rFonts w:ascii="Verdana" w:hAnsi="Verdana" w:eastAsia="Verdana" w:cs="Verdana"/>
          <w:sz w:val="18"/>
          <w:szCs w:val="18"/>
        </w:rPr>
        <w:t>c</w:t>
      </w:r>
      <w:r w:rsidRPr="00262341">
        <w:rPr>
          <w:rFonts w:ascii="Verdana" w:hAnsi="Verdana" w:eastAsia="Verdana" w:cs="Verdana"/>
          <w:color w:val="1F1F1F"/>
          <w:sz w:val="18"/>
          <w:szCs w:val="18"/>
        </w:rPr>
        <w:t>oördinatiegroep voor medische hulpmiddelen (</w:t>
      </w:r>
      <w:proofErr w:type="spellStart"/>
      <w:r w:rsidRPr="00262341">
        <w:rPr>
          <w:rFonts w:ascii="Verdana" w:hAnsi="Verdana" w:eastAsia="Verdana" w:cs="Verdana"/>
          <w:i/>
          <w:iCs/>
          <w:color w:val="1F1F1F"/>
          <w:sz w:val="18"/>
          <w:szCs w:val="18"/>
        </w:rPr>
        <w:t>Medical</w:t>
      </w:r>
      <w:proofErr w:type="spellEnd"/>
      <w:r w:rsidRPr="00262341">
        <w:rPr>
          <w:rFonts w:ascii="Verdana" w:hAnsi="Verdana" w:eastAsia="Verdana" w:cs="Verdana"/>
          <w:i/>
          <w:iCs/>
          <w:color w:val="1F1F1F"/>
          <w:sz w:val="18"/>
          <w:szCs w:val="18"/>
        </w:rPr>
        <w:t xml:space="preserve"> Device Coordination Group</w:t>
      </w:r>
      <w:r w:rsidRPr="00262341">
        <w:rPr>
          <w:rFonts w:ascii="Verdana" w:hAnsi="Verdana" w:eastAsia="Verdana" w:cs="Verdana"/>
          <w:color w:val="1F1F1F"/>
          <w:sz w:val="18"/>
          <w:szCs w:val="18"/>
        </w:rPr>
        <w:t xml:space="preserve">, hierna: MDCG). </w:t>
      </w:r>
    </w:p>
    <w:p w:rsidRPr="00262341" w:rsidR="3871E6CD" w:rsidP="00262341" w:rsidRDefault="3871E6CD" w14:paraId="0C0B784B" w14:textId="229BB1DF">
      <w:pPr>
        <w:spacing w:line="360" w:lineRule="auto"/>
        <w:rPr>
          <w:rFonts w:ascii="Verdana" w:hAnsi="Verdana" w:eastAsia="Verdana" w:cs="Verdana"/>
          <w:i/>
          <w:sz w:val="18"/>
          <w:szCs w:val="18"/>
        </w:rPr>
      </w:pPr>
    </w:p>
    <w:p w:rsidRPr="00262341" w:rsidR="430716EB" w:rsidP="00262341" w:rsidRDefault="6E0DAAEF" w14:paraId="7D9CC3A8" w14:textId="70BF5A5D">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Verdere digitalisatie </w:t>
      </w:r>
    </w:p>
    <w:p w:rsidRPr="00262341" w:rsidR="3871E6CD" w:rsidP="00262341" w:rsidRDefault="1E5242F2" w14:paraId="2D560689" w14:textId="69A8A348">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is overwegend positief over de voorstellen voor digitalisatie. Het kabinet is zich echter ook bewust, uit eerdere ervaring met het (opzetten van het) EUDAMED systeem, dat het werkbaar en </w:t>
      </w:r>
      <w:proofErr w:type="spellStart"/>
      <w:r w:rsidRPr="00262341">
        <w:rPr>
          <w:rFonts w:ascii="Verdana" w:hAnsi="Verdana" w:eastAsia="Verdana" w:cs="Verdana"/>
          <w:sz w:val="18"/>
          <w:szCs w:val="18"/>
        </w:rPr>
        <w:t>interoperabel</w:t>
      </w:r>
      <w:proofErr w:type="spellEnd"/>
      <w:r w:rsidRPr="00262341">
        <w:rPr>
          <w:rFonts w:ascii="Verdana" w:hAnsi="Verdana" w:eastAsia="Verdana" w:cs="Verdana"/>
          <w:sz w:val="18"/>
          <w:szCs w:val="18"/>
        </w:rPr>
        <w:t xml:space="preserve"> maken en houden van elektronische systemen een grote uitdaging kan vormen op Europees niveau. Het kabinet is kritisch op het voorstel van de Commissie om de mogelijkheid te creëren om elektronische systemen, naast EUDAMED, op te zetten. EUDAMED moet de centrale database blijven waar marktdeelnemers</w:t>
      </w:r>
      <w:r w:rsidRPr="00262341" w:rsidR="004A0A3F">
        <w:rPr>
          <w:rFonts w:ascii="Verdana" w:hAnsi="Verdana" w:eastAsia="Verdana" w:cs="Verdana"/>
          <w:sz w:val="18"/>
          <w:szCs w:val="18"/>
        </w:rPr>
        <w:t>,</w:t>
      </w:r>
      <w:r w:rsidRPr="00262341">
        <w:rPr>
          <w:rFonts w:ascii="Verdana" w:hAnsi="Verdana" w:eastAsia="Verdana" w:cs="Verdana"/>
          <w:sz w:val="18"/>
          <w:szCs w:val="18"/>
        </w:rPr>
        <w:t xml:space="preserve"> maar ook burgers en toezichthouders</w:t>
      </w:r>
      <w:r w:rsidRPr="00262341" w:rsidR="004A0A3F">
        <w:rPr>
          <w:rFonts w:ascii="Verdana" w:hAnsi="Verdana" w:eastAsia="Verdana" w:cs="Verdana"/>
          <w:sz w:val="18"/>
          <w:szCs w:val="18"/>
        </w:rPr>
        <w:t>,</w:t>
      </w:r>
      <w:r w:rsidRPr="00262341">
        <w:rPr>
          <w:rFonts w:ascii="Verdana" w:hAnsi="Verdana" w:eastAsia="Verdana" w:cs="Verdana"/>
          <w:sz w:val="18"/>
          <w:szCs w:val="18"/>
        </w:rPr>
        <w:t xml:space="preserve"> informatie kunnen verkrijgen over medische hulpmiddelen. Een veelheid aan elektronische systemen is niet in het belang van de transparantie die het kabinet nastreeft. </w:t>
      </w:r>
    </w:p>
    <w:p w:rsidRPr="00262341" w:rsidR="3871E6CD" w:rsidP="00262341" w:rsidRDefault="3871E6CD" w14:paraId="185CD51C" w14:textId="714BA7DE">
      <w:pPr>
        <w:spacing w:line="360" w:lineRule="auto"/>
        <w:rPr>
          <w:rFonts w:ascii="Verdana" w:hAnsi="Verdana" w:eastAsia="Verdana" w:cs="Verdana"/>
          <w:sz w:val="18"/>
          <w:szCs w:val="18"/>
        </w:rPr>
      </w:pPr>
    </w:p>
    <w:p w:rsidRPr="00262341" w:rsidR="26DED561" w:rsidP="00262341" w:rsidRDefault="6E0DAAEF" w14:paraId="4BB270DB" w14:textId="3D07FB72">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Internationale samenwerking </w:t>
      </w:r>
    </w:p>
    <w:p w:rsidRPr="00262341" w:rsidR="3871E6CD" w:rsidP="00262341" w:rsidRDefault="6E0DAAEF" w14:paraId="5EECE9BA" w14:textId="4C8783C4">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is overwegend positief </w:t>
      </w:r>
      <w:r w:rsidRPr="00262341" w:rsidR="6F0DCD31">
        <w:rPr>
          <w:rFonts w:ascii="Verdana" w:hAnsi="Verdana" w:eastAsia="Verdana" w:cs="Verdana"/>
          <w:sz w:val="18"/>
          <w:szCs w:val="18"/>
        </w:rPr>
        <w:t>over</w:t>
      </w:r>
      <w:r w:rsidRPr="00262341">
        <w:rPr>
          <w:rFonts w:ascii="Verdana" w:hAnsi="Verdana" w:eastAsia="Verdana" w:cs="Verdana"/>
          <w:sz w:val="18"/>
          <w:szCs w:val="18"/>
        </w:rPr>
        <w:t xml:space="preserve"> de </w:t>
      </w:r>
      <w:r w:rsidRPr="00262341" w:rsidR="6F0DCD31">
        <w:rPr>
          <w:rFonts w:ascii="Verdana" w:hAnsi="Verdana" w:eastAsia="Verdana" w:cs="Verdana"/>
          <w:sz w:val="18"/>
          <w:szCs w:val="18"/>
        </w:rPr>
        <w:t>voorstellen</w:t>
      </w:r>
      <w:r w:rsidRPr="00262341">
        <w:rPr>
          <w:rFonts w:ascii="Verdana" w:hAnsi="Verdana" w:eastAsia="Verdana" w:cs="Verdana"/>
          <w:sz w:val="18"/>
          <w:szCs w:val="18"/>
        </w:rPr>
        <w:t xml:space="preserve"> voor internationale samenwerking. De inzet op wereldwijde convergentie van regelgeving en internationale samenwerking</w:t>
      </w:r>
      <w:r w:rsidRPr="00262341" w:rsidR="00EF277B">
        <w:rPr>
          <w:rFonts w:ascii="Verdana" w:hAnsi="Verdana" w:eastAsia="Verdana" w:cs="Verdana"/>
          <w:sz w:val="18"/>
          <w:szCs w:val="18"/>
        </w:rPr>
        <w:t>,</w:t>
      </w:r>
      <w:r w:rsidRPr="00262341">
        <w:rPr>
          <w:rFonts w:ascii="Verdana" w:hAnsi="Verdana" w:eastAsia="Verdana" w:cs="Verdana"/>
          <w:sz w:val="18"/>
          <w:szCs w:val="18"/>
        </w:rPr>
        <w:t xml:space="preserve"> bijvoorbeeld </w:t>
      </w:r>
      <w:r w:rsidRPr="00262341" w:rsidR="00EF277B">
        <w:rPr>
          <w:rFonts w:ascii="Verdana" w:hAnsi="Verdana" w:eastAsia="Verdana" w:cs="Verdana"/>
          <w:sz w:val="18"/>
          <w:szCs w:val="18"/>
        </w:rPr>
        <w:t xml:space="preserve">op het gebied van </w:t>
      </w:r>
      <w:r w:rsidRPr="00262341">
        <w:rPr>
          <w:rFonts w:ascii="Verdana" w:hAnsi="Verdana" w:eastAsia="Verdana" w:cs="Verdana"/>
          <w:sz w:val="18"/>
          <w:szCs w:val="18"/>
        </w:rPr>
        <w:t>toezicht</w:t>
      </w:r>
      <w:r w:rsidRPr="00262341" w:rsidR="00EF277B">
        <w:rPr>
          <w:rFonts w:ascii="Verdana" w:hAnsi="Verdana" w:eastAsia="Verdana" w:cs="Verdana"/>
          <w:sz w:val="18"/>
          <w:szCs w:val="18"/>
        </w:rPr>
        <w:t>,</w:t>
      </w:r>
      <w:r w:rsidRPr="00262341">
        <w:rPr>
          <w:rFonts w:ascii="Verdana" w:hAnsi="Verdana" w:eastAsia="Verdana" w:cs="Verdana"/>
          <w:sz w:val="18"/>
          <w:szCs w:val="18"/>
        </w:rPr>
        <w:t xml:space="preserve"> zal niet alleen de Europese</w:t>
      </w:r>
      <w:r w:rsidRPr="00262341" w:rsidR="004A0A3F">
        <w:rPr>
          <w:rFonts w:ascii="Verdana" w:hAnsi="Verdana" w:eastAsia="Verdana" w:cs="Verdana"/>
          <w:sz w:val="18"/>
          <w:szCs w:val="18"/>
        </w:rPr>
        <w:t xml:space="preserve"> patiënten,</w:t>
      </w:r>
      <w:r w:rsidRPr="00262341">
        <w:rPr>
          <w:rFonts w:ascii="Verdana" w:hAnsi="Verdana" w:eastAsia="Verdana" w:cs="Verdana"/>
          <w:sz w:val="18"/>
          <w:szCs w:val="18"/>
        </w:rPr>
        <w:t xml:space="preserve"> maar ook patiënten uit </w:t>
      </w:r>
      <w:r w:rsidRPr="00262341" w:rsidR="6F0DCD31">
        <w:rPr>
          <w:rFonts w:ascii="Verdana" w:hAnsi="Verdana" w:eastAsia="Verdana" w:cs="Verdana"/>
          <w:sz w:val="18"/>
          <w:szCs w:val="18"/>
        </w:rPr>
        <w:t>derde landen</w:t>
      </w:r>
      <w:r w:rsidRPr="00262341">
        <w:rPr>
          <w:rFonts w:ascii="Verdana" w:hAnsi="Verdana" w:eastAsia="Verdana" w:cs="Verdana"/>
          <w:sz w:val="18"/>
          <w:szCs w:val="18"/>
        </w:rPr>
        <w:t xml:space="preserve"> ten goede komen</w:t>
      </w:r>
      <w:r w:rsidRPr="00262341" w:rsidR="004A0A3F">
        <w:rPr>
          <w:rFonts w:ascii="Verdana" w:hAnsi="Verdana" w:eastAsia="Verdana" w:cs="Verdana"/>
          <w:sz w:val="18"/>
          <w:szCs w:val="18"/>
        </w:rPr>
        <w:t>,</w:t>
      </w:r>
      <w:r w:rsidRPr="00262341">
        <w:rPr>
          <w:rFonts w:ascii="Verdana" w:hAnsi="Verdana" w:eastAsia="Verdana" w:cs="Verdana"/>
          <w:sz w:val="18"/>
          <w:szCs w:val="18"/>
        </w:rPr>
        <w:t xml:space="preserve"> door</w:t>
      </w:r>
      <w:r w:rsidRPr="00262341" w:rsidR="004A0A3F">
        <w:rPr>
          <w:rFonts w:ascii="Verdana" w:hAnsi="Verdana" w:eastAsia="Verdana" w:cs="Verdana"/>
          <w:sz w:val="18"/>
          <w:szCs w:val="18"/>
        </w:rPr>
        <w:t>dat</w:t>
      </w:r>
      <w:r w:rsidRPr="00262341">
        <w:rPr>
          <w:rFonts w:ascii="Verdana" w:hAnsi="Verdana" w:eastAsia="Verdana" w:cs="Verdana"/>
          <w:sz w:val="18"/>
          <w:szCs w:val="18"/>
        </w:rPr>
        <w:t xml:space="preserve"> </w:t>
      </w:r>
      <w:r w:rsidRPr="00262341" w:rsidR="6F0DCD31">
        <w:rPr>
          <w:rFonts w:ascii="Verdana" w:hAnsi="Verdana" w:eastAsia="Verdana" w:cs="Verdana"/>
          <w:sz w:val="18"/>
          <w:szCs w:val="18"/>
        </w:rPr>
        <w:t>overlap in regels</w:t>
      </w:r>
      <w:r w:rsidRPr="00262341">
        <w:rPr>
          <w:rFonts w:ascii="Verdana" w:hAnsi="Verdana" w:eastAsia="Verdana" w:cs="Verdana"/>
          <w:sz w:val="18"/>
          <w:szCs w:val="18"/>
        </w:rPr>
        <w:t xml:space="preserve"> </w:t>
      </w:r>
      <w:r w:rsidRPr="00262341" w:rsidR="004A0A3F">
        <w:rPr>
          <w:rFonts w:ascii="Verdana" w:hAnsi="Verdana" w:eastAsia="Verdana" w:cs="Verdana"/>
          <w:sz w:val="18"/>
          <w:szCs w:val="18"/>
        </w:rPr>
        <w:t xml:space="preserve">vermindert </w:t>
      </w:r>
      <w:r w:rsidRPr="00262341">
        <w:rPr>
          <w:rFonts w:ascii="Verdana" w:hAnsi="Verdana" w:eastAsia="Verdana" w:cs="Verdana"/>
          <w:sz w:val="18"/>
          <w:szCs w:val="18"/>
        </w:rPr>
        <w:t xml:space="preserve">en internationale afstemming </w:t>
      </w:r>
      <w:r w:rsidRPr="00262341" w:rsidR="004A0A3F">
        <w:rPr>
          <w:rFonts w:ascii="Verdana" w:hAnsi="Verdana" w:eastAsia="Verdana" w:cs="Verdana"/>
          <w:sz w:val="18"/>
          <w:szCs w:val="18"/>
        </w:rPr>
        <w:t>verbetert</w:t>
      </w:r>
      <w:r w:rsidRPr="00262341">
        <w:rPr>
          <w:rFonts w:ascii="Verdana" w:hAnsi="Verdana" w:eastAsia="Verdana" w:cs="Verdana"/>
          <w:sz w:val="18"/>
          <w:szCs w:val="18"/>
        </w:rPr>
        <w:t>.</w:t>
      </w:r>
    </w:p>
    <w:p w:rsidRPr="00262341" w:rsidR="3871E6CD" w:rsidP="00262341" w:rsidRDefault="3871E6CD" w14:paraId="1DDA5A66" w14:textId="1E6A28EA">
      <w:pPr>
        <w:spacing w:line="360" w:lineRule="auto"/>
        <w:rPr>
          <w:rFonts w:ascii="Verdana" w:hAnsi="Verdana" w:eastAsia="Verdana" w:cs="Verdana"/>
          <w:i/>
          <w:sz w:val="18"/>
          <w:szCs w:val="18"/>
          <w:highlight w:val="yellow"/>
        </w:rPr>
      </w:pPr>
    </w:p>
    <w:p w:rsidRPr="00262341" w:rsidR="26DED561" w:rsidP="00262341" w:rsidRDefault="6E0DAAEF" w14:paraId="0F9DA575" w14:textId="2D157FF1">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Wisselwerking met andere </w:t>
      </w:r>
      <w:r w:rsidRPr="00262341" w:rsidR="6F0DCD31">
        <w:rPr>
          <w:rFonts w:ascii="Verdana" w:hAnsi="Verdana" w:eastAsia="Verdana" w:cs="Verdana"/>
          <w:i/>
          <w:iCs/>
          <w:sz w:val="18"/>
          <w:szCs w:val="18"/>
        </w:rPr>
        <w:t>EU-</w:t>
      </w:r>
      <w:r w:rsidRPr="00262341">
        <w:rPr>
          <w:rFonts w:ascii="Verdana" w:hAnsi="Verdana" w:eastAsia="Verdana" w:cs="Verdana"/>
          <w:i/>
          <w:iCs/>
          <w:sz w:val="18"/>
          <w:szCs w:val="18"/>
        </w:rPr>
        <w:t xml:space="preserve">wetgeving </w:t>
      </w:r>
    </w:p>
    <w:p w:rsidRPr="00262341" w:rsidR="3871E6CD" w:rsidP="00262341" w:rsidRDefault="1E5242F2" w14:paraId="21D055B2" w14:textId="588E51ED">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is blij dat de Commissie erkent dat medische hulpmiddelen, behalve onder de MDR en IVDR, ook onder andere EU-wetgeving kan vallen. Echter mist het kabinet, naast de specifieke EU-wetgeving die in het voorstel worden genoemd, een </w:t>
      </w:r>
      <w:r w:rsidRPr="00262341" w:rsidR="00EF277B">
        <w:rPr>
          <w:rFonts w:ascii="Verdana" w:hAnsi="Verdana" w:eastAsia="Verdana" w:cs="Verdana"/>
          <w:sz w:val="18"/>
          <w:szCs w:val="18"/>
        </w:rPr>
        <w:t>proactief</w:t>
      </w:r>
      <w:r w:rsidRPr="00262341">
        <w:rPr>
          <w:rFonts w:ascii="Verdana" w:hAnsi="Verdana" w:eastAsia="Verdana" w:cs="Verdana"/>
          <w:sz w:val="18"/>
          <w:szCs w:val="18"/>
        </w:rPr>
        <w:t xml:space="preserve"> voorstel van de Commissie om de </w:t>
      </w:r>
      <w:r w:rsidRPr="00262341">
        <w:rPr>
          <w:rFonts w:ascii="Verdana" w:hAnsi="Verdana" w:eastAsia="Verdana" w:cs="Verdana"/>
          <w:sz w:val="18"/>
          <w:szCs w:val="18"/>
        </w:rPr>
        <w:lastRenderedPageBreak/>
        <w:t xml:space="preserve">opstapeling van de eisen uit de MDR-IVDR en andere wetgeving te ondervangen voordat nieuwe Europese wetgeving wordt aangenomen. </w:t>
      </w:r>
    </w:p>
    <w:p w:rsidRPr="00262341" w:rsidR="7F118655" w:rsidP="00262341" w:rsidRDefault="7F118655" w14:paraId="7E15B505" w14:textId="48BECB80">
      <w:pPr>
        <w:spacing w:line="360" w:lineRule="auto"/>
        <w:rPr>
          <w:rFonts w:ascii="Verdana" w:hAnsi="Verdana" w:eastAsia="Verdana" w:cs="Verdana"/>
          <w:sz w:val="18"/>
          <w:szCs w:val="18"/>
        </w:rPr>
      </w:pPr>
    </w:p>
    <w:p w:rsidRPr="00262341" w:rsidR="1E5242F2" w:rsidP="00262341" w:rsidRDefault="1E5242F2" w14:paraId="37F239E7" w14:textId="3C99F5A1">
      <w:pPr>
        <w:spacing w:line="360" w:lineRule="auto"/>
        <w:rPr>
          <w:rFonts w:ascii="Verdana" w:hAnsi="Verdana" w:eastAsia="Verdana" w:cs="Verdana"/>
          <w:sz w:val="18"/>
          <w:szCs w:val="18"/>
        </w:rPr>
      </w:pPr>
      <w:r w:rsidRPr="00262341">
        <w:rPr>
          <w:rFonts w:ascii="Verdana" w:hAnsi="Verdana" w:eastAsia="Verdana" w:cs="Verdana"/>
          <w:sz w:val="18"/>
          <w:szCs w:val="18"/>
        </w:rPr>
        <w:t xml:space="preserve">De Commissie stelt voor om de overlap tussen de CTR en de MDR of IVDR te verminderen. Het kabinet verwelkomt de voorstellen over combinatiestudies, waarbij zowel de CTR als de MDR of de IVDR van toepassing zijn. Wel zal het kabinet zich inzetten voor verduidelijking van de voorgestelde wetteksten en het eenduidige vaststellen van het bijbehorende indienings- en toetsingsregime. Daarbij zullen er ook na de voorgestelde wijzigingen verschillen bestaan in toepassingsbereik en toetsingskaders tussen de MDR/IVDR en de CTR. Een voorbeeld zijn de verschillen in kaders voor kwetsbare </w:t>
      </w:r>
      <w:proofErr w:type="spellStart"/>
      <w:r w:rsidRPr="00262341">
        <w:rPr>
          <w:rFonts w:ascii="Verdana" w:hAnsi="Verdana" w:eastAsia="Verdana" w:cs="Verdana"/>
          <w:sz w:val="18"/>
          <w:szCs w:val="18"/>
        </w:rPr>
        <w:t>onderzoeksdeelnemers</w:t>
      </w:r>
      <w:proofErr w:type="spellEnd"/>
      <w:r w:rsidRPr="00262341">
        <w:rPr>
          <w:rFonts w:ascii="Verdana" w:hAnsi="Verdana" w:eastAsia="Verdana" w:cs="Verdana"/>
          <w:sz w:val="18"/>
          <w:szCs w:val="18"/>
        </w:rPr>
        <w:t>. Dit kan ertoe leiden dat vergelijkbare studies, onder de CTR wel mogelijk zijn, terwijl deze onder het IVDR-kader niet of slechts beperkt kunnen worden uitgevoerd. Deze verschillen doen afbreuk aan de rechtszekerheid en leiden tot uiteenlopende beoordelingskaders voor inhoudelijk vergelijkbaar onderzoek. Het kabinet zal de Commissie vragen waarom deze verordeningen niet volledig met elkaar zijn afgestemd.</w:t>
      </w:r>
    </w:p>
    <w:p w:rsidRPr="00262341" w:rsidR="154B6599" w:rsidP="00262341" w:rsidRDefault="154B6599" w14:paraId="3C7C8195" w14:textId="4C6F1250">
      <w:pPr>
        <w:spacing w:line="360" w:lineRule="auto"/>
        <w:rPr>
          <w:rFonts w:ascii="Verdana" w:hAnsi="Verdana"/>
          <w:sz w:val="18"/>
          <w:szCs w:val="18"/>
        </w:rPr>
      </w:pPr>
    </w:p>
    <w:p w:rsidRPr="00262341" w:rsidR="26DED561" w:rsidP="00262341" w:rsidRDefault="6E0DAAEF" w14:paraId="5E226D50" w14:textId="08DE3146">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kabinet </w:t>
      </w:r>
      <w:r w:rsidRPr="00262341" w:rsidR="00483BC3">
        <w:rPr>
          <w:rFonts w:ascii="Verdana" w:hAnsi="Verdana" w:eastAsia="Verdana" w:cs="Verdana"/>
          <w:sz w:val="18"/>
          <w:szCs w:val="18"/>
        </w:rPr>
        <w:t>ziet risico</w:t>
      </w:r>
      <w:r w:rsidRPr="00262341" w:rsidR="00CF5D85">
        <w:rPr>
          <w:rFonts w:ascii="Verdana" w:hAnsi="Verdana" w:eastAsia="Verdana" w:cs="Verdana"/>
          <w:sz w:val="18"/>
          <w:szCs w:val="18"/>
        </w:rPr>
        <w:t>’</w:t>
      </w:r>
      <w:r w:rsidRPr="00262341" w:rsidR="00483BC3">
        <w:rPr>
          <w:rFonts w:ascii="Verdana" w:hAnsi="Verdana" w:eastAsia="Verdana" w:cs="Verdana"/>
          <w:sz w:val="18"/>
          <w:szCs w:val="18"/>
        </w:rPr>
        <w:t xml:space="preserve">s </w:t>
      </w:r>
      <w:r w:rsidRPr="00262341" w:rsidR="00CF5D85">
        <w:rPr>
          <w:rFonts w:ascii="Verdana" w:hAnsi="Verdana" w:eastAsia="Verdana" w:cs="Verdana"/>
          <w:sz w:val="18"/>
          <w:szCs w:val="18"/>
        </w:rPr>
        <w:t xml:space="preserve">bij het voorstel rondom de AI-verordening </w:t>
      </w:r>
      <w:r w:rsidRPr="00262341" w:rsidR="00EF277B">
        <w:rPr>
          <w:rFonts w:ascii="Verdana" w:hAnsi="Verdana" w:eastAsia="Verdana" w:cs="Verdana"/>
          <w:sz w:val="18"/>
          <w:szCs w:val="18"/>
        </w:rPr>
        <w:t xml:space="preserve">wanneer </w:t>
      </w:r>
      <w:r w:rsidRPr="00262341" w:rsidR="00483BC3">
        <w:rPr>
          <w:rFonts w:ascii="Verdana" w:hAnsi="Verdana" w:eastAsia="Verdana" w:cs="Verdana"/>
          <w:sz w:val="18"/>
          <w:szCs w:val="18"/>
        </w:rPr>
        <w:t xml:space="preserve">de eisen uit </w:t>
      </w:r>
      <w:r w:rsidRPr="00262341" w:rsidR="00EF277B">
        <w:rPr>
          <w:rFonts w:ascii="Verdana" w:hAnsi="Verdana" w:eastAsia="Verdana" w:cs="Verdana"/>
          <w:sz w:val="18"/>
          <w:szCs w:val="18"/>
        </w:rPr>
        <w:t>die verordening</w:t>
      </w:r>
      <w:r w:rsidRPr="00262341" w:rsidR="00483BC3">
        <w:rPr>
          <w:rFonts w:ascii="Verdana" w:hAnsi="Verdana" w:eastAsia="Verdana" w:cs="Verdana"/>
          <w:sz w:val="18"/>
          <w:szCs w:val="18"/>
        </w:rPr>
        <w:t xml:space="preserve"> niet van toepassing zijn op medische hulpmiddelen</w:t>
      </w:r>
      <w:r w:rsidRPr="00262341" w:rsidR="00EF277B">
        <w:rPr>
          <w:rFonts w:ascii="Verdana" w:hAnsi="Verdana" w:eastAsia="Verdana" w:cs="Verdana"/>
          <w:sz w:val="18"/>
          <w:szCs w:val="18"/>
        </w:rPr>
        <w:t>. Het</w:t>
      </w:r>
      <w:r w:rsidRPr="00262341" w:rsidR="00483BC3">
        <w:rPr>
          <w:rFonts w:ascii="Verdana" w:hAnsi="Verdana" w:eastAsia="Verdana" w:cs="Verdana"/>
          <w:sz w:val="18"/>
          <w:szCs w:val="18"/>
        </w:rPr>
        <w:t xml:space="preserve"> </w:t>
      </w:r>
      <w:r w:rsidRPr="00262341" w:rsidR="002747E3">
        <w:rPr>
          <w:rFonts w:ascii="Verdana" w:hAnsi="Verdana" w:eastAsia="Verdana" w:cs="Verdana"/>
          <w:sz w:val="18"/>
          <w:szCs w:val="18"/>
        </w:rPr>
        <w:t xml:space="preserve">kabinet </w:t>
      </w:r>
      <w:r w:rsidRPr="00262341" w:rsidR="00483BC3">
        <w:rPr>
          <w:rFonts w:ascii="Verdana" w:hAnsi="Verdana" w:eastAsia="Verdana" w:cs="Verdana"/>
          <w:sz w:val="18"/>
          <w:szCs w:val="18"/>
        </w:rPr>
        <w:t>acht</w:t>
      </w:r>
      <w:r w:rsidRPr="00262341">
        <w:rPr>
          <w:rFonts w:ascii="Verdana" w:hAnsi="Verdana" w:eastAsia="Verdana" w:cs="Verdana"/>
          <w:sz w:val="18"/>
          <w:szCs w:val="18"/>
        </w:rPr>
        <w:t xml:space="preserve"> het</w:t>
      </w:r>
      <w:r w:rsidRPr="00262341" w:rsidR="00483BC3">
        <w:rPr>
          <w:rFonts w:ascii="Verdana" w:hAnsi="Verdana" w:eastAsia="Verdana" w:cs="Verdana"/>
          <w:sz w:val="18"/>
          <w:szCs w:val="18"/>
        </w:rPr>
        <w:t xml:space="preserve"> daarom</w:t>
      </w:r>
      <w:r w:rsidRPr="00262341">
        <w:rPr>
          <w:rFonts w:ascii="Verdana" w:hAnsi="Verdana" w:eastAsia="Verdana" w:cs="Verdana"/>
          <w:sz w:val="18"/>
          <w:szCs w:val="18"/>
        </w:rPr>
        <w:t xml:space="preserve"> essentieel </w:t>
      </w:r>
      <w:r w:rsidRPr="00262341" w:rsidR="00EF277B">
        <w:rPr>
          <w:rFonts w:ascii="Verdana" w:hAnsi="Verdana" w:eastAsia="Verdana" w:cs="Verdana"/>
          <w:sz w:val="18"/>
          <w:szCs w:val="18"/>
        </w:rPr>
        <w:t xml:space="preserve">te beoordelen </w:t>
      </w:r>
      <w:r w:rsidRPr="00262341">
        <w:rPr>
          <w:rFonts w:ascii="Verdana" w:hAnsi="Verdana" w:eastAsia="Verdana" w:cs="Verdana"/>
          <w:sz w:val="18"/>
          <w:szCs w:val="18"/>
        </w:rPr>
        <w:t>welke aanvullende eisen</w:t>
      </w:r>
      <w:r w:rsidRPr="00262341" w:rsidR="0064426B">
        <w:rPr>
          <w:rFonts w:ascii="Verdana" w:hAnsi="Verdana" w:eastAsia="Verdana" w:cs="Verdana"/>
          <w:sz w:val="18"/>
          <w:szCs w:val="18"/>
        </w:rPr>
        <w:t xml:space="preserve">, die </w:t>
      </w:r>
      <w:r w:rsidRPr="00262341" w:rsidR="00EF277B">
        <w:rPr>
          <w:rFonts w:ascii="Verdana" w:hAnsi="Verdana" w:eastAsia="Verdana" w:cs="Verdana"/>
          <w:sz w:val="18"/>
          <w:szCs w:val="18"/>
        </w:rPr>
        <w:t>niet-</w:t>
      </w:r>
      <w:r w:rsidRPr="00262341" w:rsidR="0064426B">
        <w:rPr>
          <w:rFonts w:ascii="Verdana" w:hAnsi="Verdana" w:eastAsia="Verdana" w:cs="Verdana"/>
          <w:sz w:val="18"/>
          <w:szCs w:val="18"/>
        </w:rPr>
        <w:t xml:space="preserve">essentiële elementen bevatten van de AI-verordening, </w:t>
      </w:r>
      <w:r w:rsidRPr="00262341" w:rsidR="00EF277B">
        <w:rPr>
          <w:rFonts w:ascii="Verdana" w:hAnsi="Verdana" w:eastAsia="Verdana" w:cs="Verdana"/>
          <w:sz w:val="18"/>
          <w:szCs w:val="18"/>
        </w:rPr>
        <w:t xml:space="preserve">gesteld </w:t>
      </w:r>
      <w:r w:rsidRPr="00262341">
        <w:rPr>
          <w:rFonts w:ascii="Verdana" w:hAnsi="Verdana" w:eastAsia="Verdana" w:cs="Verdana"/>
          <w:sz w:val="18"/>
          <w:szCs w:val="18"/>
        </w:rPr>
        <w:t xml:space="preserve">moeten worden aan </w:t>
      </w:r>
      <w:r w:rsidRPr="00262341" w:rsidR="00A715A6">
        <w:rPr>
          <w:rFonts w:ascii="Verdana" w:hAnsi="Verdana" w:eastAsia="Verdana" w:cs="Verdana"/>
          <w:sz w:val="18"/>
          <w:szCs w:val="18"/>
        </w:rPr>
        <w:t>AI-systemen die medische hulpmiddelen zijn of een veiligheidscomponent van medische hulpmiddelen</w:t>
      </w:r>
      <w:r w:rsidRPr="00262341" w:rsidR="00EF277B">
        <w:rPr>
          <w:rFonts w:ascii="Verdana" w:hAnsi="Verdana" w:eastAsia="Verdana" w:cs="Verdana"/>
          <w:sz w:val="18"/>
          <w:szCs w:val="18"/>
        </w:rPr>
        <w:t xml:space="preserve"> vormen</w:t>
      </w:r>
      <w:r w:rsidRPr="00262341" w:rsidR="00A715A6">
        <w:rPr>
          <w:rFonts w:ascii="Verdana" w:hAnsi="Verdana" w:eastAsia="Verdana" w:cs="Verdana"/>
          <w:sz w:val="18"/>
          <w:szCs w:val="18"/>
        </w:rPr>
        <w:t>.</w:t>
      </w:r>
      <w:r w:rsidRPr="00262341" w:rsidR="0064426B">
        <w:rPr>
          <w:rFonts w:ascii="Verdana" w:hAnsi="Verdana" w:eastAsia="Verdana" w:cs="Verdana"/>
          <w:sz w:val="18"/>
          <w:szCs w:val="18"/>
        </w:rPr>
        <w:t xml:space="preserve"> Dit met het oog op bescherming </w:t>
      </w:r>
      <w:r w:rsidRPr="00262341" w:rsidR="00734134">
        <w:rPr>
          <w:rFonts w:ascii="Verdana" w:hAnsi="Verdana" w:eastAsia="Verdana" w:cs="Verdana"/>
          <w:sz w:val="18"/>
          <w:szCs w:val="18"/>
        </w:rPr>
        <w:t>omtrent</w:t>
      </w:r>
      <w:r w:rsidRPr="00262341" w:rsidR="0064426B">
        <w:rPr>
          <w:rFonts w:ascii="Verdana" w:hAnsi="Verdana" w:eastAsia="Verdana" w:cs="Verdana"/>
          <w:sz w:val="18"/>
          <w:szCs w:val="18"/>
        </w:rPr>
        <w:t xml:space="preserve"> grondrechten en de veilige inzet van medische hulpmiddelen.</w:t>
      </w:r>
      <w:r w:rsidRPr="00262341" w:rsidR="00335C9B">
        <w:rPr>
          <w:rFonts w:ascii="Verdana" w:hAnsi="Verdana" w:eastAsia="Verdana" w:cs="Verdana"/>
          <w:sz w:val="18"/>
          <w:szCs w:val="18"/>
        </w:rPr>
        <w:t xml:space="preserve"> </w:t>
      </w:r>
      <w:r w:rsidRPr="00262341">
        <w:rPr>
          <w:rFonts w:ascii="Verdana" w:hAnsi="Verdana" w:eastAsia="Verdana" w:cs="Verdana"/>
          <w:sz w:val="18"/>
          <w:szCs w:val="18"/>
        </w:rPr>
        <w:t>Daarnaast benadrukt het kabinet het belang van rechtszekerheid. De voorgestelde verschuiving vergroot de onduidelijkheid voor betrokken partijen, mede in het licht van contrasterende voorstellen in de Digitale Omnibus van 19 november 2025</w:t>
      </w:r>
      <w:r w:rsidRPr="00262341" w:rsidR="00ED710E">
        <w:rPr>
          <w:rFonts w:ascii="Verdana" w:hAnsi="Verdana" w:eastAsia="Verdana" w:cs="Verdana"/>
          <w:sz w:val="18"/>
          <w:szCs w:val="18"/>
        </w:rPr>
        <w:t>.</w:t>
      </w:r>
      <w:r w:rsidRPr="00262341" w:rsidR="00B71CAD">
        <w:rPr>
          <w:rStyle w:val="FootnoteReference"/>
          <w:rFonts w:ascii="Verdana" w:hAnsi="Verdana" w:eastAsia="Verdana" w:cs="Verdana"/>
          <w:sz w:val="18"/>
          <w:szCs w:val="18"/>
        </w:rPr>
        <w:footnoteReference w:id="11"/>
      </w:r>
      <w:r w:rsidRPr="00262341">
        <w:rPr>
          <w:rFonts w:ascii="Verdana" w:hAnsi="Verdana" w:eastAsia="Verdana" w:cs="Verdana"/>
          <w:sz w:val="18"/>
          <w:szCs w:val="18"/>
        </w:rPr>
        <w:t xml:space="preserve"> </w:t>
      </w:r>
      <w:r w:rsidRPr="00262341" w:rsidR="00C50333">
        <w:rPr>
          <w:rFonts w:ascii="Verdana" w:hAnsi="Verdana" w:eastAsia="Verdana" w:cs="Verdana"/>
          <w:sz w:val="18"/>
          <w:szCs w:val="18"/>
        </w:rPr>
        <w:t>Als gevolg hiervan zijn partijen terughoudend</w:t>
      </w:r>
      <w:r w:rsidRPr="00262341">
        <w:rPr>
          <w:rFonts w:ascii="Verdana" w:hAnsi="Verdana" w:eastAsia="Verdana" w:cs="Verdana"/>
          <w:sz w:val="18"/>
          <w:szCs w:val="18"/>
        </w:rPr>
        <w:t xml:space="preserve"> om aan de eisen te voldoen. Het kabinet acht het daarom wenselijk dat de Commissie op korte termijn duidelijkheid verschaft over de gekozen route en de bijbehorende eisen</w:t>
      </w:r>
      <w:r w:rsidRPr="00262341" w:rsidR="00F775BB">
        <w:rPr>
          <w:rFonts w:ascii="Verdana" w:hAnsi="Verdana" w:eastAsia="Verdana" w:cs="Verdana"/>
          <w:sz w:val="18"/>
          <w:szCs w:val="18"/>
        </w:rPr>
        <w:t>.</w:t>
      </w:r>
    </w:p>
    <w:p w:rsidRPr="00262341" w:rsidR="00511176" w:rsidP="00262341" w:rsidRDefault="00511176" w14:paraId="5C3E9478" w14:textId="77777777">
      <w:pPr>
        <w:spacing w:line="360" w:lineRule="auto"/>
        <w:rPr>
          <w:rFonts w:ascii="Verdana" w:hAnsi="Verdana" w:eastAsia="Verdana" w:cs="Verdana"/>
          <w:sz w:val="18"/>
          <w:szCs w:val="18"/>
        </w:rPr>
      </w:pPr>
    </w:p>
    <w:p w:rsidRPr="00262341" w:rsidR="00E3589E" w:rsidP="00262341" w:rsidRDefault="154B6599" w14:paraId="2BDACA10" w14:textId="4A1FCCE9">
      <w:pPr>
        <w:spacing w:line="360" w:lineRule="auto"/>
        <w:rPr>
          <w:rFonts w:ascii="Verdana" w:hAnsi="Verdana" w:eastAsia="Verdana" w:cs="Verdana"/>
          <w:i/>
          <w:iCs/>
          <w:sz w:val="18"/>
          <w:szCs w:val="18"/>
        </w:rPr>
      </w:pPr>
      <w:r w:rsidRPr="00262341">
        <w:rPr>
          <w:rFonts w:ascii="Verdana" w:hAnsi="Verdana" w:eastAsia="Verdana" w:cs="Verdana"/>
          <w:i/>
          <w:iCs/>
          <w:sz w:val="18"/>
          <w:szCs w:val="18"/>
        </w:rPr>
        <w:t xml:space="preserve">c) Eerste inschatting van krachtenveld </w:t>
      </w:r>
    </w:p>
    <w:p w:rsidRPr="00262341" w:rsidR="44297AFB" w:rsidP="00262341" w:rsidRDefault="43B7FD55" w14:paraId="5488027C" w14:textId="45D86E68">
      <w:pPr>
        <w:spacing w:line="360" w:lineRule="auto"/>
        <w:rPr>
          <w:rFonts w:ascii="Verdana" w:hAnsi="Verdana" w:eastAsia="Verdana" w:cs="Verdana"/>
          <w:sz w:val="18"/>
          <w:szCs w:val="18"/>
        </w:rPr>
      </w:pPr>
      <w:r w:rsidRPr="00262341">
        <w:rPr>
          <w:rFonts w:ascii="Verdana" w:hAnsi="Verdana" w:eastAsia="Verdana" w:cs="Verdana"/>
          <w:sz w:val="18"/>
          <w:szCs w:val="18"/>
        </w:rPr>
        <w:t>Het voorstel om de huidige MDR en IVDR-kaders te vereenvoudigen, om beschikbaarheid en innovatie te stimuleren, wordt breed gedragen</w:t>
      </w:r>
      <w:r w:rsidRPr="00262341" w:rsidR="3D6AAFAC">
        <w:rPr>
          <w:rFonts w:ascii="Verdana" w:hAnsi="Verdana" w:eastAsia="Verdana" w:cs="Verdana"/>
          <w:sz w:val="18"/>
          <w:szCs w:val="18"/>
        </w:rPr>
        <w:t xml:space="preserve"> door de lidstaten.</w:t>
      </w:r>
      <w:r w:rsidRPr="00262341">
        <w:rPr>
          <w:rFonts w:ascii="Verdana" w:hAnsi="Verdana" w:eastAsia="Verdana" w:cs="Verdana"/>
          <w:sz w:val="18"/>
          <w:szCs w:val="18"/>
        </w:rPr>
        <w:t xml:space="preserve"> In een consensusverklaring van de Competente autoriteiten voor medische hulpmiddelen (CAMD) en de </w:t>
      </w:r>
      <w:r w:rsidRPr="00262341">
        <w:rPr>
          <w:rFonts w:ascii="Verdana" w:hAnsi="Verdana" w:eastAsia="Verdana" w:cs="Verdana"/>
          <w:i/>
          <w:iCs/>
          <w:sz w:val="18"/>
          <w:szCs w:val="18"/>
        </w:rPr>
        <w:t xml:space="preserve">Heads of </w:t>
      </w:r>
      <w:proofErr w:type="spellStart"/>
      <w:r w:rsidRPr="00262341">
        <w:rPr>
          <w:rFonts w:ascii="Verdana" w:hAnsi="Verdana" w:eastAsia="Verdana" w:cs="Verdana"/>
          <w:i/>
          <w:iCs/>
          <w:sz w:val="18"/>
          <w:szCs w:val="18"/>
        </w:rPr>
        <w:t>Medicines</w:t>
      </w:r>
      <w:proofErr w:type="spellEnd"/>
      <w:r w:rsidRPr="00262341">
        <w:rPr>
          <w:rFonts w:ascii="Verdana" w:hAnsi="Verdana" w:eastAsia="Verdana" w:cs="Verdana"/>
          <w:i/>
          <w:iCs/>
          <w:sz w:val="18"/>
          <w:szCs w:val="18"/>
        </w:rPr>
        <w:t xml:space="preserve"> </w:t>
      </w:r>
      <w:proofErr w:type="spellStart"/>
      <w:r w:rsidRPr="00262341">
        <w:rPr>
          <w:rFonts w:ascii="Verdana" w:hAnsi="Verdana" w:eastAsia="Verdana" w:cs="Verdana"/>
          <w:i/>
          <w:iCs/>
          <w:sz w:val="18"/>
          <w:szCs w:val="18"/>
        </w:rPr>
        <w:t>Agencies</w:t>
      </w:r>
      <w:proofErr w:type="spellEnd"/>
      <w:r w:rsidRPr="00262341">
        <w:rPr>
          <w:rFonts w:ascii="Verdana" w:hAnsi="Verdana" w:eastAsia="Verdana" w:cs="Verdana"/>
          <w:i/>
          <w:iCs/>
          <w:sz w:val="18"/>
          <w:szCs w:val="18"/>
        </w:rPr>
        <w:t xml:space="preserve"> (</w:t>
      </w:r>
      <w:r w:rsidRPr="00262341">
        <w:rPr>
          <w:rFonts w:ascii="Verdana" w:hAnsi="Verdana" w:eastAsia="Verdana" w:cs="Verdana"/>
          <w:sz w:val="18"/>
          <w:szCs w:val="18"/>
        </w:rPr>
        <w:t>HMA) uit juli 2024</w:t>
      </w:r>
      <w:r w:rsidRPr="00262341" w:rsidR="0091512C">
        <w:rPr>
          <w:rFonts w:ascii="Verdana" w:hAnsi="Verdana" w:eastAsia="Verdana" w:cs="Verdana"/>
          <w:sz w:val="18"/>
          <w:szCs w:val="18"/>
        </w:rPr>
        <w:t>,</w:t>
      </w:r>
      <w:r w:rsidRPr="00262341" w:rsidR="00B71CAD">
        <w:rPr>
          <w:rStyle w:val="FootnoteReference"/>
          <w:rFonts w:ascii="Verdana" w:hAnsi="Verdana" w:eastAsia="Verdana" w:cs="Verdana"/>
          <w:sz w:val="18"/>
          <w:szCs w:val="18"/>
        </w:rPr>
        <w:footnoteReference w:id="12"/>
      </w:r>
      <w:r w:rsidRPr="00262341">
        <w:rPr>
          <w:rFonts w:ascii="Verdana" w:hAnsi="Verdana" w:eastAsia="Verdana" w:cs="Verdana"/>
          <w:sz w:val="18"/>
          <w:szCs w:val="18"/>
        </w:rPr>
        <w:t xml:space="preserve"> werd opgeroepen tot een zorgvuldige analyse van de benodigde middelen en capaciteit om de MDR en IVDR veilig en efficiënt te herzien. </w:t>
      </w:r>
      <w:r w:rsidRPr="00262341" w:rsidR="00EF277B">
        <w:rPr>
          <w:rFonts w:ascii="Verdana" w:hAnsi="Verdana" w:eastAsia="Verdana" w:cs="Verdana"/>
          <w:sz w:val="18"/>
          <w:szCs w:val="18"/>
        </w:rPr>
        <w:t>Ook</w:t>
      </w:r>
      <w:r w:rsidRPr="00262341">
        <w:rPr>
          <w:rFonts w:ascii="Verdana" w:hAnsi="Verdana" w:eastAsia="Verdana" w:cs="Verdana"/>
          <w:sz w:val="18"/>
          <w:szCs w:val="18"/>
        </w:rPr>
        <w:t xml:space="preserve"> wordt in deze consensusverklaring het belang van beschikbaarheid, veiligheid, innovatie, en governance en coördinatie onderstreept. In juli 2025 werd een nieuwe consensusverklaring gepubliceerd</w:t>
      </w:r>
      <w:r w:rsidRPr="00262341" w:rsidR="00B71CAD">
        <w:rPr>
          <w:rStyle w:val="FootnoteReference"/>
          <w:rFonts w:ascii="Verdana" w:hAnsi="Verdana" w:eastAsia="Verdana" w:cs="Verdana"/>
          <w:sz w:val="18"/>
          <w:szCs w:val="18"/>
        </w:rPr>
        <w:footnoteReference w:id="13"/>
      </w:r>
      <w:r w:rsidRPr="00262341" w:rsidR="00C760E8">
        <w:rPr>
          <w:rFonts w:ascii="Verdana" w:hAnsi="Verdana" w:eastAsia="Verdana" w:cs="Verdana"/>
          <w:sz w:val="18"/>
          <w:szCs w:val="18"/>
        </w:rPr>
        <w:t xml:space="preserve"> waarin</w:t>
      </w:r>
      <w:r w:rsidRPr="00262341">
        <w:rPr>
          <w:rFonts w:ascii="Verdana" w:hAnsi="Verdana" w:eastAsia="Verdana" w:cs="Verdana"/>
          <w:sz w:val="18"/>
          <w:szCs w:val="18"/>
        </w:rPr>
        <w:t xml:space="preserve"> </w:t>
      </w:r>
      <w:r w:rsidRPr="00262341">
        <w:rPr>
          <w:rFonts w:ascii="Verdana" w:hAnsi="Verdana" w:eastAsia="Verdana" w:cs="Verdana"/>
          <w:sz w:val="18"/>
          <w:szCs w:val="18"/>
        </w:rPr>
        <w:lastRenderedPageBreak/>
        <w:t>werd gewaarschuwd dat snelle wijzigingen de regelgeving complexer kunnen maken. Ook is er tijdens de Raad Werkgelegenheid, Sociaal Beleid, Volksgezondheid en Consumentenzaken (</w:t>
      </w:r>
      <w:r w:rsidRPr="00262341">
        <w:rPr>
          <w:rFonts w:ascii="Verdana" w:hAnsi="Verdana" w:eastAsia="Verdana" w:cs="Verdana"/>
          <w:i/>
          <w:sz w:val="18"/>
          <w:szCs w:val="18"/>
        </w:rPr>
        <w:t>EPSCO</w:t>
      </w:r>
      <w:r w:rsidRPr="00262341">
        <w:rPr>
          <w:rFonts w:ascii="Verdana" w:hAnsi="Verdana" w:eastAsia="Verdana" w:cs="Verdana"/>
          <w:sz w:val="18"/>
          <w:szCs w:val="18"/>
        </w:rPr>
        <w:t xml:space="preserve">) </w:t>
      </w:r>
      <w:r w:rsidRPr="00262341" w:rsidR="052E0899">
        <w:rPr>
          <w:rFonts w:ascii="Verdana" w:hAnsi="Verdana" w:eastAsia="Verdana" w:cs="Verdana"/>
          <w:sz w:val="18"/>
          <w:szCs w:val="18"/>
        </w:rPr>
        <w:t xml:space="preserve">in december 2024 </w:t>
      </w:r>
      <w:r w:rsidRPr="00262341">
        <w:rPr>
          <w:rFonts w:ascii="Verdana" w:hAnsi="Verdana" w:eastAsia="Verdana" w:cs="Verdana"/>
          <w:sz w:val="18"/>
          <w:szCs w:val="18"/>
        </w:rPr>
        <w:t xml:space="preserve">door een aantal </w:t>
      </w:r>
      <w:r w:rsidRPr="00262341" w:rsidR="052E0899">
        <w:rPr>
          <w:rFonts w:ascii="Verdana" w:hAnsi="Verdana" w:eastAsia="Verdana" w:cs="Verdana"/>
          <w:sz w:val="18"/>
          <w:szCs w:val="18"/>
        </w:rPr>
        <w:t>lidstaten</w:t>
      </w:r>
      <w:r w:rsidRPr="00262341">
        <w:rPr>
          <w:rFonts w:ascii="Verdana" w:hAnsi="Verdana" w:eastAsia="Verdana" w:cs="Verdana"/>
          <w:sz w:val="18"/>
          <w:szCs w:val="18"/>
        </w:rPr>
        <w:t xml:space="preserve"> opgeroepen om de MDR en IVDR te hervormen</w:t>
      </w:r>
      <w:r w:rsidRPr="00262341" w:rsidR="00ED710E">
        <w:rPr>
          <w:rFonts w:ascii="Verdana" w:hAnsi="Verdana" w:eastAsia="Verdana" w:cs="Verdana"/>
          <w:sz w:val="18"/>
          <w:szCs w:val="18"/>
        </w:rPr>
        <w:t>.</w:t>
      </w:r>
      <w:r w:rsidRPr="00262341" w:rsidR="00B71CAD">
        <w:rPr>
          <w:rStyle w:val="FootnoteReference"/>
          <w:rFonts w:ascii="Verdana" w:hAnsi="Verdana" w:eastAsia="Verdana" w:cs="Verdana"/>
          <w:sz w:val="18"/>
          <w:szCs w:val="18"/>
        </w:rPr>
        <w:footnoteReference w:id="14"/>
      </w:r>
      <w:r w:rsidRPr="00262341">
        <w:rPr>
          <w:rFonts w:ascii="Verdana" w:hAnsi="Verdana" w:eastAsia="Verdana" w:cs="Verdana"/>
          <w:sz w:val="18"/>
          <w:szCs w:val="18"/>
        </w:rPr>
        <w:t xml:space="preserve"> </w:t>
      </w:r>
    </w:p>
    <w:p w:rsidRPr="00262341" w:rsidR="44297AFB" w:rsidP="00262341" w:rsidRDefault="44297AFB" w14:paraId="4B4B32EC" w14:textId="40BAC6DA">
      <w:pPr>
        <w:spacing w:line="360" w:lineRule="auto"/>
        <w:rPr>
          <w:rFonts w:ascii="Verdana" w:hAnsi="Verdana" w:eastAsia="Verdana" w:cs="Verdana"/>
          <w:sz w:val="18"/>
          <w:szCs w:val="18"/>
        </w:rPr>
      </w:pPr>
      <w:r w:rsidRPr="00262341">
        <w:rPr>
          <w:rFonts w:ascii="Verdana" w:hAnsi="Verdana" w:eastAsia="Verdana" w:cs="Verdana"/>
          <w:sz w:val="18"/>
          <w:szCs w:val="18"/>
        </w:rPr>
        <w:t xml:space="preserve"> </w:t>
      </w:r>
    </w:p>
    <w:p w:rsidRPr="00262341" w:rsidR="2CC347F6" w:rsidP="00262341" w:rsidRDefault="43B7FD55" w14:paraId="3E9673BF" w14:textId="36F13863">
      <w:pPr>
        <w:spacing w:line="360" w:lineRule="auto"/>
        <w:rPr>
          <w:rFonts w:ascii="Verdana" w:hAnsi="Verdana" w:eastAsia="Verdana" w:cs="Verdana"/>
          <w:sz w:val="18"/>
          <w:szCs w:val="18"/>
        </w:rPr>
      </w:pPr>
      <w:r w:rsidRPr="00262341">
        <w:rPr>
          <w:rFonts w:ascii="Verdana" w:hAnsi="Verdana" w:eastAsia="Verdana" w:cs="Verdana"/>
          <w:sz w:val="18"/>
          <w:szCs w:val="18"/>
        </w:rPr>
        <w:t>In juli 2025 publiceerde ook het Europees Parlement een resolutie over de hervorming van het Europese regelgevingskader voor medische hulpmiddelen</w:t>
      </w:r>
      <w:r w:rsidRPr="00262341" w:rsidR="00ED710E">
        <w:rPr>
          <w:rFonts w:ascii="Verdana" w:hAnsi="Verdana" w:eastAsia="Verdana" w:cs="Verdana"/>
          <w:sz w:val="18"/>
          <w:szCs w:val="18"/>
        </w:rPr>
        <w:t>.</w:t>
      </w:r>
      <w:r w:rsidRPr="00262341" w:rsidR="00B71CAD">
        <w:rPr>
          <w:rStyle w:val="FootnoteReference"/>
          <w:rFonts w:ascii="Verdana" w:hAnsi="Verdana" w:eastAsia="Verdana" w:cs="Verdana"/>
          <w:sz w:val="18"/>
          <w:szCs w:val="18"/>
        </w:rPr>
        <w:footnoteReference w:id="15"/>
      </w:r>
      <w:r w:rsidRPr="00262341" w:rsidR="00ED710E">
        <w:rPr>
          <w:rFonts w:ascii="Verdana" w:hAnsi="Verdana" w:eastAsia="Verdana" w:cs="Verdana"/>
          <w:sz w:val="18"/>
          <w:szCs w:val="18"/>
        </w:rPr>
        <w:t xml:space="preserve"> </w:t>
      </w:r>
      <w:r w:rsidRPr="00262341">
        <w:rPr>
          <w:rFonts w:ascii="Verdana" w:hAnsi="Verdana" w:eastAsia="Verdana" w:cs="Verdana"/>
          <w:sz w:val="18"/>
          <w:szCs w:val="18"/>
        </w:rPr>
        <w:t xml:space="preserve">Het Europees Parlement erkent dat de huidige regelgeving tot vertragingen, hoge kosten en complexe procedures leiden, vooral voor </w:t>
      </w:r>
      <w:r w:rsidRPr="00262341" w:rsidR="00ED710E">
        <w:rPr>
          <w:rFonts w:ascii="Verdana" w:hAnsi="Verdana" w:eastAsia="Verdana" w:cs="Verdana"/>
          <w:sz w:val="18"/>
          <w:szCs w:val="18"/>
        </w:rPr>
        <w:t>mkb</w:t>
      </w:r>
      <w:r w:rsidRPr="00262341">
        <w:rPr>
          <w:rFonts w:ascii="Verdana" w:hAnsi="Verdana" w:eastAsia="Verdana" w:cs="Verdana"/>
          <w:sz w:val="18"/>
          <w:szCs w:val="18"/>
        </w:rPr>
        <w:t xml:space="preserve">. Het Parlement pleit voor maatregelen zoals het afschaffen van </w:t>
      </w:r>
      <w:proofErr w:type="spellStart"/>
      <w:r w:rsidRPr="00262341">
        <w:rPr>
          <w:rFonts w:ascii="Verdana" w:hAnsi="Verdana" w:eastAsia="Verdana" w:cs="Verdana"/>
          <w:sz w:val="18"/>
          <w:szCs w:val="18"/>
        </w:rPr>
        <w:t>hercertificering</w:t>
      </w:r>
      <w:proofErr w:type="spellEnd"/>
      <w:r w:rsidRPr="00262341">
        <w:rPr>
          <w:rFonts w:ascii="Verdana" w:hAnsi="Verdana" w:eastAsia="Verdana" w:cs="Verdana"/>
          <w:sz w:val="18"/>
          <w:szCs w:val="18"/>
        </w:rPr>
        <w:t xml:space="preserve"> voor lage-risicoproducten maar ook versnelde goedkeuring van innovaties met behoud van patiëntveiligheid. Daarnaast werd het belang van een centrale </w:t>
      </w:r>
      <w:r w:rsidRPr="00262341">
        <w:rPr>
          <w:rFonts w:ascii="Verdana" w:hAnsi="Verdana" w:eastAsia="Verdana" w:cs="Verdana"/>
          <w:i/>
          <w:sz w:val="18"/>
          <w:szCs w:val="18"/>
        </w:rPr>
        <w:t>governance</w:t>
      </w:r>
      <w:r w:rsidRPr="00262341">
        <w:rPr>
          <w:rFonts w:ascii="Verdana" w:hAnsi="Verdana" w:eastAsia="Verdana" w:cs="Verdana"/>
          <w:sz w:val="18"/>
          <w:szCs w:val="18"/>
        </w:rPr>
        <w:t xml:space="preserve">, </w:t>
      </w:r>
      <w:r w:rsidRPr="00262341">
        <w:rPr>
          <w:rFonts w:ascii="Verdana" w:hAnsi="Verdana" w:eastAsia="Verdana" w:cs="Verdana"/>
          <w:i/>
          <w:sz w:val="18"/>
          <w:szCs w:val="18"/>
        </w:rPr>
        <w:t>post-market surveillance</w:t>
      </w:r>
      <w:r w:rsidRPr="00262341">
        <w:rPr>
          <w:rFonts w:ascii="Verdana" w:hAnsi="Verdana" w:eastAsia="Verdana" w:cs="Verdana"/>
          <w:sz w:val="18"/>
          <w:szCs w:val="18"/>
        </w:rPr>
        <w:t xml:space="preserve"> en internationale samenwerking benadrukt. </w:t>
      </w:r>
    </w:p>
    <w:p w:rsidRPr="00262341" w:rsidR="44297AFB" w:rsidP="00262341" w:rsidRDefault="44297AFB" w14:paraId="280DC881" w14:textId="678934AA">
      <w:pPr>
        <w:spacing w:line="360" w:lineRule="auto"/>
        <w:rPr>
          <w:rFonts w:ascii="Verdana" w:hAnsi="Verdana" w:eastAsia="Verdana" w:cs="Verdana"/>
          <w:sz w:val="18"/>
          <w:szCs w:val="18"/>
        </w:rPr>
      </w:pPr>
    </w:p>
    <w:p w:rsidRPr="00262341" w:rsidR="00A15B58" w:rsidP="00262341" w:rsidRDefault="6E0DAAEF" w14:paraId="4916B704" w14:textId="77777777">
      <w:pPr>
        <w:numPr>
          <w:ilvl w:val="0"/>
          <w:numId w:val="40"/>
        </w:numPr>
        <w:spacing w:line="360" w:lineRule="auto"/>
        <w:rPr>
          <w:rFonts w:ascii="Verdana" w:hAnsi="Verdana"/>
          <w:i/>
          <w:iCs/>
          <w:color w:val="000000" w:themeColor="text1"/>
          <w:sz w:val="18"/>
          <w:szCs w:val="18"/>
        </w:rPr>
      </w:pPr>
      <w:r w:rsidRPr="00262341">
        <w:rPr>
          <w:rFonts w:ascii="Verdana" w:hAnsi="Verdana" w:eastAsia="Verdana" w:cs="Verdana"/>
          <w:b/>
          <w:bCs/>
          <w:sz w:val="18"/>
          <w:szCs w:val="18"/>
        </w:rPr>
        <w:t xml:space="preserve">Beoordeling bevoegdheid, subsidiariteit en proportionaliteit </w:t>
      </w:r>
    </w:p>
    <w:p w:rsidRPr="00262341" w:rsidR="00A15B58" w:rsidP="00262341" w:rsidRDefault="6E0DAAEF" w14:paraId="0777DFC3" w14:textId="77777777">
      <w:pPr>
        <w:pStyle w:val="Spreekpunten"/>
        <w:numPr>
          <w:ilvl w:val="0"/>
          <w:numId w:val="11"/>
        </w:numPr>
        <w:rPr>
          <w:rFonts w:ascii="Verdana" w:hAnsi="Verdana"/>
          <w:i/>
          <w:iCs/>
          <w:color w:val="000000" w:themeColor="text1"/>
          <w:sz w:val="18"/>
          <w:szCs w:val="18"/>
          <w:lang w:val="nl-NL" w:eastAsia="zh-CN"/>
        </w:rPr>
      </w:pPr>
      <w:r w:rsidRPr="00262341">
        <w:rPr>
          <w:rFonts w:ascii="Verdana" w:hAnsi="Verdana" w:eastAsia="Verdana" w:cs="Verdana"/>
          <w:i/>
          <w:iCs/>
          <w:sz w:val="18"/>
          <w:szCs w:val="18"/>
          <w:lang w:val="nl-NL" w:eastAsia="zh-CN"/>
        </w:rPr>
        <w:t>Bevoegdheid</w:t>
      </w:r>
    </w:p>
    <w:p w:rsidR="00D54CA6" w:rsidP="00262341" w:rsidRDefault="04E33BA9" w14:paraId="2EB2A657" w14:textId="0EB64928">
      <w:pPr>
        <w:pStyle w:val="Spreekpunten"/>
        <w:numPr>
          <w:ilvl w:val="0"/>
          <w:numId w:val="0"/>
        </w:numPr>
        <w:rPr>
          <w:rFonts w:ascii="Verdana" w:hAnsi="Verdana" w:eastAsia="Verdana" w:cs="Verdana"/>
          <w:sz w:val="18"/>
          <w:szCs w:val="18"/>
          <w:lang w:val="nl-NL"/>
        </w:rPr>
      </w:pPr>
      <w:r w:rsidRPr="00262341">
        <w:rPr>
          <w:rFonts w:ascii="Verdana" w:hAnsi="Verdana" w:eastAsia="Verdana" w:cs="Verdana"/>
          <w:sz w:val="18"/>
          <w:szCs w:val="18"/>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w:t>
      </w:r>
    </w:p>
    <w:p w:rsidRPr="00262341" w:rsidR="004B4D9A" w:rsidP="00262341" w:rsidRDefault="004B4D9A" w14:paraId="4E1ACC97" w14:textId="77777777">
      <w:pPr>
        <w:pStyle w:val="Spreekpunten"/>
        <w:numPr>
          <w:ilvl w:val="0"/>
          <w:numId w:val="0"/>
        </w:numPr>
        <w:rPr>
          <w:rFonts w:ascii="Verdana" w:hAnsi="Verdana" w:eastAsia="Verdana" w:cs="Verdana"/>
          <w:sz w:val="18"/>
          <w:szCs w:val="18"/>
          <w:lang w:val="nl-NL" w:eastAsia="zh-CN"/>
        </w:rPr>
      </w:pPr>
    </w:p>
    <w:p w:rsidR="04E33BA9" w:rsidP="00262341" w:rsidRDefault="43B7FD55" w14:paraId="1C129D9C" w14:textId="007EA787">
      <w:pPr>
        <w:spacing w:line="360" w:lineRule="auto"/>
        <w:rPr>
          <w:rFonts w:ascii="Verdana" w:hAnsi="Verdana" w:eastAsia="Verdana" w:cs="Verdana"/>
          <w:color w:val="000000" w:themeColor="text1"/>
          <w:sz w:val="18"/>
          <w:szCs w:val="18"/>
        </w:rPr>
      </w:pPr>
      <w:r w:rsidRPr="00262341">
        <w:rPr>
          <w:rFonts w:ascii="Verdana" w:hAnsi="Verdana" w:eastAsia="Verdana" w:cs="Verdana"/>
          <w:sz w:val="18"/>
          <w:szCs w:val="18"/>
        </w:rPr>
        <w:t>Het voorstel is gebaseerd op artikel 114 en artikel 168, vierde lid, onder c, van het Verdrag betreffende de werking van de Europese Unie (VWEU). Op grond van artikel 114 VWEU stelt de EU de maatregelen vast die de instelling en de werking van de interne markt betreffen. Artikel 168, vierde lid, onder c, VWEU geeft de EU de bevoegdheid om</w:t>
      </w:r>
      <w:r w:rsidRPr="00262341">
        <w:rPr>
          <w:rFonts w:ascii="Verdana" w:hAnsi="Verdana" w:eastAsia="Verdana" w:cs="Verdana"/>
          <w:color w:val="000000" w:themeColor="text1"/>
          <w:sz w:val="18"/>
          <w:szCs w:val="18"/>
        </w:rPr>
        <w:t xml:space="preserve"> maatregelen te nemen waarbij hoge kwaliteits- en veiligheidseisen worden gesteld aan geneesmiddelen en medische hulpmiddelen om gemeenschappelijke veiligheidskwesties het hoofd te bieden.</w:t>
      </w:r>
    </w:p>
    <w:p w:rsidRPr="00262341" w:rsidR="004B4D9A" w:rsidP="00262341" w:rsidRDefault="004B4D9A" w14:paraId="0B797494" w14:textId="77777777">
      <w:pPr>
        <w:spacing w:line="360" w:lineRule="auto"/>
        <w:rPr>
          <w:rFonts w:ascii="Verdana" w:hAnsi="Verdana" w:eastAsia="Verdana" w:cs="Verdana"/>
          <w:sz w:val="18"/>
          <w:szCs w:val="18"/>
        </w:rPr>
      </w:pPr>
    </w:p>
    <w:p w:rsidR="26DED561" w:rsidP="00262341" w:rsidRDefault="04E33BA9" w14:paraId="7C9BB770" w14:textId="0A7CE43D">
      <w:pPr>
        <w:spacing w:line="360" w:lineRule="auto"/>
        <w:rPr>
          <w:rFonts w:ascii="Verdana" w:hAnsi="Verdana" w:eastAsia="Verdana" w:cs="Verdana"/>
          <w:sz w:val="18"/>
          <w:szCs w:val="18"/>
        </w:rPr>
      </w:pPr>
      <w:r w:rsidRPr="00262341">
        <w:rPr>
          <w:rFonts w:ascii="Verdana" w:hAnsi="Verdana" w:eastAsia="Verdana" w:cs="Verdana"/>
          <w:sz w:val="18"/>
          <w:szCs w:val="18"/>
        </w:rPr>
        <w:t xml:space="preserve">Op het gebied van de interne markt heeft de Unie, op grond van artikel 4, tweede lid, onder a, VWEU een gedeelde bevoegdheid met de lidstaten. </w:t>
      </w:r>
    </w:p>
    <w:p w:rsidRPr="00262341" w:rsidR="004B4D9A" w:rsidP="00262341" w:rsidRDefault="004B4D9A" w14:paraId="604CC8FB" w14:textId="77777777">
      <w:pPr>
        <w:spacing w:line="360" w:lineRule="auto"/>
        <w:rPr>
          <w:rFonts w:ascii="Verdana" w:hAnsi="Verdana" w:eastAsia="Verdana" w:cs="Verdana"/>
          <w:sz w:val="18"/>
          <w:szCs w:val="18"/>
          <w:highlight w:val="yellow"/>
        </w:rPr>
      </w:pPr>
    </w:p>
    <w:p w:rsidRPr="00262341" w:rsidR="26DED561" w:rsidP="00262341" w:rsidRDefault="1CD0BEB8" w14:paraId="76706E29" w14:textId="0A7CE43D">
      <w:pPr>
        <w:spacing w:line="360" w:lineRule="auto"/>
        <w:rPr>
          <w:rFonts w:ascii="Verdana" w:hAnsi="Verdana" w:eastAsia="Verdana" w:cs="Verdana"/>
          <w:sz w:val="18"/>
          <w:szCs w:val="18"/>
          <w:highlight w:val="yellow"/>
        </w:rPr>
      </w:pPr>
      <w:r w:rsidRPr="00262341">
        <w:rPr>
          <w:rFonts w:ascii="Verdana" w:hAnsi="Verdana" w:eastAsia="Verdana" w:cs="Verdana"/>
          <w:sz w:val="18"/>
          <w:szCs w:val="18"/>
        </w:rPr>
        <w:t xml:space="preserve">Op grond van artikel 4, tweede lid, onder k, VWEU heeft de Unie eveneens een gedeelde bevoegdheid met de lidstaten bij gemeenschappelijke veiligheidskwesties op het gebied van de volksgezondheid. Het kabinet kan zich vinden in de voorgestelde rechtsgrondslagen. </w:t>
      </w:r>
    </w:p>
    <w:p w:rsidRPr="00262341" w:rsidR="00A84CE3" w:rsidP="00262341" w:rsidRDefault="00A84CE3" w14:paraId="1A46A0F8" w14:textId="77777777">
      <w:pPr>
        <w:pStyle w:val="Spreekpunten"/>
        <w:numPr>
          <w:ilvl w:val="0"/>
          <w:numId w:val="0"/>
        </w:numPr>
        <w:ind w:left="357"/>
        <w:rPr>
          <w:rFonts w:ascii="Verdana" w:hAnsi="Verdana" w:eastAsia="Verdana" w:cs="Verdana"/>
          <w:i/>
          <w:sz w:val="18"/>
          <w:szCs w:val="18"/>
          <w:lang w:val="nl-NL" w:eastAsia="zh-CN"/>
        </w:rPr>
      </w:pPr>
    </w:p>
    <w:p w:rsidRPr="00262341" w:rsidR="0015107F" w:rsidP="00262341" w:rsidRDefault="6E0DAAEF" w14:paraId="77A58BE9" w14:textId="40761649">
      <w:pPr>
        <w:pStyle w:val="Spreekpunten"/>
        <w:numPr>
          <w:ilvl w:val="0"/>
          <w:numId w:val="11"/>
        </w:numPr>
        <w:rPr>
          <w:rFonts w:ascii="Verdana" w:hAnsi="Verdana"/>
          <w:i/>
          <w:iCs/>
          <w:color w:val="000000" w:themeColor="text1"/>
          <w:sz w:val="18"/>
          <w:szCs w:val="18"/>
          <w:lang w:val="nl-NL" w:eastAsia="zh-CN"/>
        </w:rPr>
      </w:pPr>
      <w:r w:rsidRPr="00262341">
        <w:rPr>
          <w:rFonts w:ascii="Verdana" w:hAnsi="Verdana" w:eastAsia="Verdana" w:cs="Verdana"/>
          <w:i/>
          <w:iCs/>
          <w:sz w:val="18"/>
          <w:szCs w:val="18"/>
          <w:lang w:val="nl-NL" w:eastAsia="zh-CN"/>
        </w:rPr>
        <w:t>Subsidiariteit</w:t>
      </w:r>
    </w:p>
    <w:p w:rsidR="0015107F" w:rsidP="00262341" w:rsidRDefault="6E0DAAEF" w14:paraId="5E2153D9" w14:textId="13E714C4">
      <w:pPr>
        <w:pStyle w:val="Spreekpunten"/>
        <w:numPr>
          <w:ilvl w:val="0"/>
          <w:numId w:val="0"/>
        </w:numPr>
        <w:rPr>
          <w:rFonts w:ascii="Verdana" w:hAnsi="Verdana" w:eastAsia="Verdana" w:cs="Verdana"/>
          <w:sz w:val="18"/>
          <w:szCs w:val="18"/>
          <w:lang w:val="nl-NL" w:eastAsia="zh-CN"/>
        </w:rPr>
      </w:pPr>
      <w:r w:rsidRPr="00262341">
        <w:rPr>
          <w:rFonts w:ascii="Verdana" w:hAnsi="Verdana" w:eastAsia="Verdana" w:cs="Verdana"/>
          <w:sz w:val="18"/>
          <w:szCs w:val="18"/>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w:t>
      </w:r>
      <w:r w:rsidRPr="00262341">
        <w:rPr>
          <w:rFonts w:ascii="Verdana" w:hAnsi="Verdana" w:eastAsia="Verdana" w:cs="Verdana"/>
          <w:sz w:val="18"/>
          <w:szCs w:val="18"/>
          <w:lang w:val="nl-NL"/>
        </w:rPr>
        <w:lastRenderedPageBreak/>
        <w:t xml:space="preserve">maar vanwege de omvang of de gevolgen van het overwogen optreden beter door de Unie kan worden bereikt (het subsidiariteitsbeginsel). Het oordeel van het kabinet ten aanzien van de subsidiariteit is </w:t>
      </w:r>
      <w:r w:rsidRPr="00262341">
        <w:rPr>
          <w:rFonts w:ascii="Verdana" w:hAnsi="Verdana" w:eastAsia="Verdana" w:cs="Verdana"/>
          <w:sz w:val="18"/>
          <w:szCs w:val="18"/>
          <w:lang w:val="nl-NL" w:eastAsia="zh-CN"/>
        </w:rPr>
        <w:t>positief.</w:t>
      </w:r>
    </w:p>
    <w:p w:rsidRPr="00262341" w:rsidR="004B4D9A" w:rsidP="00262341" w:rsidRDefault="004B4D9A" w14:paraId="03397E97" w14:textId="77777777">
      <w:pPr>
        <w:pStyle w:val="Spreekpunten"/>
        <w:numPr>
          <w:ilvl w:val="0"/>
          <w:numId w:val="0"/>
        </w:numPr>
        <w:rPr>
          <w:rFonts w:ascii="Verdana" w:hAnsi="Verdana" w:eastAsia="Verdana" w:cs="Verdana"/>
          <w:sz w:val="18"/>
          <w:szCs w:val="18"/>
          <w:lang w:val="nl-NL" w:eastAsia="zh-CN"/>
        </w:rPr>
      </w:pPr>
    </w:p>
    <w:p w:rsidRPr="00262341" w:rsidR="00BA5B9C" w:rsidP="00262341" w:rsidRDefault="43B7FD55" w14:paraId="7460CE8C" w14:textId="570523B0">
      <w:pPr>
        <w:spacing w:line="360" w:lineRule="auto"/>
        <w:rPr>
          <w:rFonts w:ascii="Verdana" w:hAnsi="Verdana" w:eastAsia="Verdana" w:cs="Verdana"/>
          <w:sz w:val="18"/>
          <w:szCs w:val="18"/>
        </w:rPr>
      </w:pPr>
      <w:r w:rsidRPr="00262341">
        <w:rPr>
          <w:rFonts w:ascii="Verdana" w:hAnsi="Verdana" w:eastAsia="Verdana" w:cs="Verdana"/>
          <w:sz w:val="18"/>
          <w:szCs w:val="18"/>
        </w:rPr>
        <w:t xml:space="preserve">Dit voorstel heeft, </w:t>
      </w:r>
      <w:r w:rsidRPr="00262341" w:rsidR="002F4701">
        <w:rPr>
          <w:rFonts w:ascii="Verdana" w:hAnsi="Verdana" w:eastAsia="Verdana" w:cs="Verdana"/>
          <w:sz w:val="18"/>
          <w:szCs w:val="18"/>
        </w:rPr>
        <w:t>de vereenvoudiging en de vermindering van de administratieve lasten en regels voor medische hulpmiddelen en in-vitro diagnostische medische hulpmiddelen</w:t>
      </w:r>
      <w:r w:rsidRPr="00262341" w:rsidR="0087132D">
        <w:rPr>
          <w:rFonts w:ascii="Verdana" w:hAnsi="Verdana" w:eastAsia="Verdana" w:cs="Verdana"/>
          <w:sz w:val="18"/>
          <w:szCs w:val="18"/>
        </w:rPr>
        <w:t xml:space="preserve"> tot doel</w:t>
      </w:r>
      <w:r w:rsidRPr="00262341" w:rsidR="002F4701">
        <w:rPr>
          <w:rFonts w:ascii="Verdana" w:hAnsi="Verdana" w:eastAsia="Verdana" w:cs="Verdana"/>
          <w:sz w:val="18"/>
          <w:szCs w:val="18"/>
        </w:rPr>
        <w:t xml:space="preserve">, </w:t>
      </w:r>
      <w:r w:rsidRPr="00262341" w:rsidR="0087132D">
        <w:rPr>
          <w:rFonts w:ascii="Verdana" w:hAnsi="Verdana" w:eastAsia="Verdana" w:cs="Verdana"/>
          <w:sz w:val="18"/>
          <w:szCs w:val="18"/>
        </w:rPr>
        <w:t>waarbij tegelijkertijd een hoge mate</w:t>
      </w:r>
      <w:r w:rsidRPr="00262341" w:rsidR="002F4701">
        <w:rPr>
          <w:rFonts w:ascii="Verdana" w:hAnsi="Verdana" w:eastAsia="Verdana" w:cs="Verdana"/>
          <w:sz w:val="18"/>
          <w:szCs w:val="18"/>
        </w:rPr>
        <w:t xml:space="preserve"> van </w:t>
      </w:r>
      <w:r w:rsidRPr="00262341" w:rsidR="0087132D">
        <w:rPr>
          <w:rFonts w:ascii="Verdana" w:hAnsi="Verdana" w:eastAsia="Verdana" w:cs="Verdana"/>
          <w:sz w:val="18"/>
          <w:szCs w:val="18"/>
        </w:rPr>
        <w:t>patiëntveiligheid</w:t>
      </w:r>
      <w:r w:rsidRPr="00262341" w:rsidR="002F4701">
        <w:rPr>
          <w:rFonts w:ascii="Verdana" w:hAnsi="Verdana" w:eastAsia="Verdana" w:cs="Verdana"/>
          <w:sz w:val="18"/>
          <w:szCs w:val="18"/>
        </w:rPr>
        <w:t xml:space="preserve"> en </w:t>
      </w:r>
      <w:r w:rsidRPr="00262341" w:rsidR="0087132D">
        <w:rPr>
          <w:rFonts w:ascii="Verdana" w:hAnsi="Verdana" w:eastAsia="Verdana" w:cs="Verdana"/>
          <w:sz w:val="18"/>
          <w:szCs w:val="18"/>
        </w:rPr>
        <w:t>volksgezondheid geborgd dient te worden</w:t>
      </w:r>
      <w:r w:rsidRPr="00262341" w:rsidR="002F4701">
        <w:rPr>
          <w:rFonts w:ascii="Verdana" w:hAnsi="Verdana" w:eastAsia="Verdana" w:cs="Verdana"/>
          <w:sz w:val="18"/>
          <w:szCs w:val="18"/>
        </w:rPr>
        <w:t xml:space="preserve"> </w:t>
      </w:r>
      <w:r w:rsidRPr="00262341">
        <w:rPr>
          <w:rFonts w:ascii="Verdana" w:hAnsi="Verdana" w:eastAsia="Verdana" w:cs="Verdana"/>
          <w:sz w:val="18"/>
          <w:szCs w:val="18"/>
        </w:rPr>
        <w:t xml:space="preserve">. In het licht van </w:t>
      </w:r>
      <w:r w:rsidRPr="00262341" w:rsidR="002F4701">
        <w:rPr>
          <w:rFonts w:ascii="Verdana" w:hAnsi="Verdana" w:eastAsia="Verdana" w:cs="Verdana"/>
          <w:sz w:val="18"/>
          <w:szCs w:val="18"/>
        </w:rPr>
        <w:t>het grensoverschrijdende karakter</w:t>
      </w:r>
      <w:r w:rsidRPr="00262341">
        <w:rPr>
          <w:rFonts w:ascii="Verdana" w:hAnsi="Verdana" w:eastAsia="Verdana" w:cs="Verdana"/>
          <w:sz w:val="18"/>
          <w:szCs w:val="18"/>
        </w:rPr>
        <w:t xml:space="preserve"> van de interne markt is het noodzakelijk om eisen aan de kwaliteit en veiligheid van medische hulpmiddelen en </w:t>
      </w:r>
      <w:proofErr w:type="spellStart"/>
      <w:r w:rsidRPr="00262341">
        <w:rPr>
          <w:rFonts w:ascii="Verdana" w:hAnsi="Verdana" w:eastAsia="Verdana" w:cs="Verdana"/>
          <w:sz w:val="18"/>
          <w:szCs w:val="18"/>
        </w:rPr>
        <w:t>IVD’s</w:t>
      </w:r>
      <w:proofErr w:type="spellEnd"/>
      <w:r w:rsidRPr="00262341">
        <w:rPr>
          <w:rFonts w:ascii="Verdana" w:hAnsi="Verdana" w:eastAsia="Verdana" w:cs="Verdana"/>
          <w:sz w:val="18"/>
          <w:szCs w:val="18"/>
        </w:rPr>
        <w:t xml:space="preserve"> op Europees niveau vast te stellen. Daarnaast is het noodzakelijk om eisen aan de kwaliteit en veiligheid van medische hulpmiddelen en </w:t>
      </w:r>
      <w:proofErr w:type="spellStart"/>
      <w:r w:rsidRPr="00262341">
        <w:rPr>
          <w:rFonts w:ascii="Verdana" w:hAnsi="Verdana" w:eastAsia="Verdana" w:cs="Verdana"/>
          <w:sz w:val="18"/>
          <w:szCs w:val="18"/>
        </w:rPr>
        <w:t>IVD’s</w:t>
      </w:r>
      <w:proofErr w:type="spellEnd"/>
      <w:r w:rsidRPr="00262341">
        <w:rPr>
          <w:rFonts w:ascii="Verdana" w:hAnsi="Verdana" w:eastAsia="Verdana" w:cs="Verdana"/>
          <w:sz w:val="18"/>
          <w:szCs w:val="18"/>
        </w:rPr>
        <w:t xml:space="preserve"> te harmoniseren om </w:t>
      </w:r>
      <w:r w:rsidRPr="00262341" w:rsidR="009716C2">
        <w:rPr>
          <w:rFonts w:ascii="Verdana" w:hAnsi="Verdana" w:eastAsia="Verdana" w:cs="Verdana"/>
          <w:sz w:val="18"/>
          <w:szCs w:val="18"/>
        </w:rPr>
        <w:t xml:space="preserve">binnen de EU </w:t>
      </w:r>
      <w:r w:rsidRPr="00262341">
        <w:rPr>
          <w:rFonts w:ascii="Verdana" w:hAnsi="Verdana" w:eastAsia="Verdana" w:cs="Verdana"/>
          <w:sz w:val="18"/>
          <w:szCs w:val="18"/>
        </w:rPr>
        <w:t xml:space="preserve">gemeenschappelijke veiligheidskwesties op het gebied van volksgezondheid aan te pakken. </w:t>
      </w:r>
      <w:r w:rsidRPr="00262341" w:rsidR="002F4701">
        <w:rPr>
          <w:rFonts w:ascii="Verdana" w:hAnsi="Verdana" w:eastAsia="Verdana" w:cs="Verdana"/>
          <w:sz w:val="18"/>
          <w:szCs w:val="18"/>
        </w:rPr>
        <w:t xml:space="preserve">Bovendien kan een </w:t>
      </w:r>
      <w:r w:rsidRPr="00262341" w:rsidR="003A1830">
        <w:rPr>
          <w:rFonts w:ascii="Verdana" w:hAnsi="Verdana" w:eastAsia="Verdana" w:cs="Verdana"/>
          <w:sz w:val="18"/>
          <w:szCs w:val="18"/>
        </w:rPr>
        <w:t xml:space="preserve">wijziging van bestaande EU-regelgeving enkel op EU-niveau plaatsvinden. </w:t>
      </w:r>
      <w:r w:rsidRPr="00262341" w:rsidR="002F4701">
        <w:rPr>
          <w:rFonts w:ascii="Verdana" w:hAnsi="Verdana" w:eastAsia="Verdana" w:cs="Verdana"/>
          <w:sz w:val="18"/>
          <w:szCs w:val="18"/>
        </w:rPr>
        <w:t>Gelet op bovenstaande kunnen</w:t>
      </w:r>
      <w:r w:rsidRPr="00262341" w:rsidR="6E0DAAEF">
        <w:rPr>
          <w:rFonts w:ascii="Verdana" w:hAnsi="Verdana" w:eastAsia="Verdana" w:cs="Verdana"/>
          <w:sz w:val="18"/>
          <w:szCs w:val="18"/>
        </w:rPr>
        <w:t xml:space="preserve"> de doelstellingen van dit voorstel niet door de lidstaten of op regionaal of lokaal niveau worden bereikt. Om deze redenen is optreden op het niveau van de EU gerechtvaardigd. </w:t>
      </w:r>
    </w:p>
    <w:p w:rsidRPr="00262341" w:rsidR="00C92EA1" w:rsidP="00262341" w:rsidRDefault="00C92EA1" w14:paraId="709A9D1C" w14:textId="77777777">
      <w:pPr>
        <w:spacing w:line="360" w:lineRule="auto"/>
        <w:rPr>
          <w:rFonts w:ascii="Verdana" w:hAnsi="Verdana" w:eastAsia="Verdana" w:cs="Verdana"/>
          <w:sz w:val="18"/>
          <w:szCs w:val="18"/>
        </w:rPr>
      </w:pPr>
    </w:p>
    <w:p w:rsidRPr="00262341" w:rsidR="00D54CA6" w:rsidP="00262341" w:rsidRDefault="154B6599" w14:paraId="51AA2D04" w14:textId="4B5BC6E1">
      <w:pPr>
        <w:pStyle w:val="Spreekpunten"/>
        <w:numPr>
          <w:ilvl w:val="0"/>
          <w:numId w:val="11"/>
        </w:numPr>
        <w:rPr>
          <w:rFonts w:ascii="Verdana" w:hAnsi="Verdana" w:eastAsia="Verdana"/>
          <w:i/>
          <w:iCs/>
          <w:color w:val="000000" w:themeColor="text1"/>
          <w:sz w:val="18"/>
          <w:szCs w:val="18"/>
          <w:lang w:val="nl-NL" w:eastAsia="zh-CN"/>
        </w:rPr>
      </w:pPr>
      <w:r w:rsidRPr="00262341">
        <w:rPr>
          <w:rFonts w:ascii="Verdana" w:hAnsi="Verdana" w:eastAsia="Verdana" w:cs="Verdana"/>
          <w:i/>
          <w:iCs/>
          <w:sz w:val="18"/>
          <w:szCs w:val="18"/>
          <w:lang w:val="nl-NL" w:eastAsia="zh-CN"/>
        </w:rPr>
        <w:t>Proportionaliteit</w:t>
      </w:r>
    </w:p>
    <w:p w:rsidRPr="00262341" w:rsidR="39DB4BFF" w:rsidP="00262341" w:rsidRDefault="74D09478" w14:paraId="52C1377F" w14:textId="62406D3E">
      <w:pPr>
        <w:spacing w:line="360" w:lineRule="auto"/>
        <w:rPr>
          <w:rFonts w:ascii="Verdana" w:hAnsi="Verdana" w:eastAsia="Verdana" w:cs="Verdana"/>
          <w:sz w:val="18"/>
          <w:szCs w:val="18"/>
          <w:highlight w:val="yellow"/>
        </w:rPr>
      </w:pPr>
      <w:r w:rsidRPr="00262341">
        <w:rPr>
          <w:rFonts w:ascii="Verdana" w:hAnsi="Verdana" w:eastAsia="Verdana" w:cs="Verdana"/>
          <w:sz w:val="18"/>
          <w:szCs w:val="18"/>
        </w:rPr>
        <w:t>Als onderdeel van de toets of de EU mag optreden conform de EU-verdragen</w:t>
      </w:r>
      <w:r w:rsidRPr="00262341" w:rsidR="003F7FA5">
        <w:rPr>
          <w:rFonts w:ascii="Verdana" w:hAnsi="Verdana" w:eastAsia="Verdana" w:cs="Verdana"/>
          <w:sz w:val="18"/>
          <w:szCs w:val="18"/>
        </w:rPr>
        <w:t>,</w:t>
      </w:r>
      <w:r w:rsidRPr="00262341">
        <w:rPr>
          <w:rFonts w:ascii="Verdana" w:hAnsi="Verdana" w:eastAsia="Verdana" w:cs="Verdana"/>
          <w:sz w:val="18"/>
          <w:szCs w:val="18"/>
        </w:rPr>
        <w:t xml:space="preserve">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w:t>
      </w:r>
      <w:r w:rsidRPr="00262341" w:rsidR="005715B2">
        <w:rPr>
          <w:rFonts w:ascii="Verdana" w:hAnsi="Verdana" w:eastAsia="Verdana" w:cs="Verdana"/>
          <w:sz w:val="18"/>
          <w:szCs w:val="18"/>
        </w:rPr>
        <w:t>en</w:t>
      </w:r>
      <w:r w:rsidRPr="00262341">
        <w:rPr>
          <w:rFonts w:ascii="Verdana" w:hAnsi="Verdana" w:eastAsia="Verdana" w:cs="Verdana"/>
          <w:sz w:val="18"/>
          <w:szCs w:val="18"/>
        </w:rPr>
        <w:t xml:space="preserve">. </w:t>
      </w:r>
    </w:p>
    <w:p w:rsidRPr="00262341" w:rsidR="00AC7EEE" w:rsidP="00262341" w:rsidRDefault="43B7FD55" w14:paraId="296DC074" w14:textId="43B53609">
      <w:pPr>
        <w:spacing w:line="360" w:lineRule="auto"/>
        <w:rPr>
          <w:rFonts w:ascii="Verdana" w:hAnsi="Verdana" w:eastAsia="Verdana" w:cs="Verdana"/>
          <w:sz w:val="18"/>
          <w:szCs w:val="18"/>
        </w:rPr>
      </w:pPr>
      <w:r w:rsidRPr="00262341">
        <w:rPr>
          <w:rFonts w:ascii="Verdana" w:hAnsi="Verdana" w:eastAsia="Verdana" w:cs="Verdana"/>
          <w:sz w:val="18"/>
          <w:szCs w:val="18"/>
        </w:rPr>
        <w:t>Het voorstel heeft</w:t>
      </w:r>
      <w:r w:rsidRPr="00262341" w:rsidR="00262341">
        <w:rPr>
          <w:rFonts w:ascii="Verdana" w:hAnsi="Verdana" w:eastAsia="Verdana" w:cs="Verdana"/>
          <w:sz w:val="18"/>
          <w:szCs w:val="18"/>
        </w:rPr>
        <w:t xml:space="preserve"> </w:t>
      </w:r>
      <w:r w:rsidRPr="00262341" w:rsidR="0087132D">
        <w:rPr>
          <w:rFonts w:ascii="Verdana" w:hAnsi="Verdana" w:eastAsia="Verdana" w:cs="Verdana"/>
          <w:sz w:val="18"/>
          <w:szCs w:val="18"/>
        </w:rPr>
        <w:t>de vereenvoudiging en de vermindering van de administratieve lasten en regels voor medische hulpmiddelen en in-vitro diagnostische medische hulpmiddelen tot doel,</w:t>
      </w:r>
      <w:r w:rsidRPr="00262341" w:rsidR="00262341">
        <w:rPr>
          <w:rFonts w:ascii="Verdana" w:hAnsi="Verdana" w:eastAsia="Verdana" w:cs="Verdana"/>
          <w:sz w:val="18"/>
          <w:szCs w:val="18"/>
        </w:rPr>
        <w:t xml:space="preserve"> </w:t>
      </w:r>
      <w:r w:rsidRPr="00262341">
        <w:rPr>
          <w:rFonts w:ascii="Verdana" w:hAnsi="Verdana" w:eastAsia="Verdana" w:cs="Verdana"/>
          <w:sz w:val="18"/>
          <w:szCs w:val="18"/>
        </w:rPr>
        <w:t>terwijl tegelijkertijd een hoge mate van patiëntveiligheid</w:t>
      </w:r>
      <w:r w:rsidRPr="00262341" w:rsidR="006F008C">
        <w:rPr>
          <w:rFonts w:ascii="Verdana" w:hAnsi="Verdana" w:eastAsia="Verdana" w:cs="Verdana"/>
          <w:sz w:val="18"/>
          <w:szCs w:val="18"/>
        </w:rPr>
        <w:t xml:space="preserve"> en volksgezondheid</w:t>
      </w:r>
      <w:r w:rsidRPr="00262341">
        <w:rPr>
          <w:rFonts w:ascii="Verdana" w:hAnsi="Verdana" w:eastAsia="Verdana" w:cs="Verdana"/>
          <w:sz w:val="18"/>
          <w:szCs w:val="18"/>
        </w:rPr>
        <w:t xml:space="preserve"> geborgd dient te worden. </w:t>
      </w:r>
    </w:p>
    <w:p w:rsidRPr="00262341" w:rsidR="005715B2" w:rsidP="00262341" w:rsidRDefault="00AC7EEE" w14:paraId="286F30B6" w14:textId="5C1F810A">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voorgestelde optreden is deels geschikt om deze doelstelling te bereiken, omdat het kabinet de meerderheid van de voorstellen geschikt acht. Zo zullen bijvoorbeeld de voorstellen op internationale samenwerking en de speciale paden voor doorbraak- en weeshulpmiddelen bijdragen aan vereenvoudiging van de wetgeving en de vermindering van administratieve lasten. Internationale samenwerking zal zorgen voor betere afstemming van internationale wetgeving waardoor fabrikanten die hun medische hulpmiddelen in meerdere rechtsgebieden op de markt brengen uiteindelijk minder administratieve lasten hebben. De voorgestelde begeleiding van fabrikanten van doorbraak- en weeshulpmiddelen zal het bovendien eenvoudiger maken dit soort hulmiddelen op de markt te brengen. Bovendien gaat het voorgestelde optreden, dat geschikt wordt geacht, niet verder dan noodzakelijk, omdat bij de meerderheid van de voorstellen, zoals bij bovengenoemde voorbeelden, een hoge mate van patiëntveiligheid en bescherming van de volksgezondheid nog steeds voldoende geborgd blijft. </w:t>
      </w:r>
    </w:p>
    <w:p w:rsidRPr="00262341" w:rsidR="005715B2" w:rsidP="00262341" w:rsidRDefault="005715B2" w14:paraId="206AC975" w14:textId="77777777">
      <w:pPr>
        <w:spacing w:line="360" w:lineRule="auto"/>
        <w:rPr>
          <w:rFonts w:ascii="Verdana" w:hAnsi="Verdana" w:eastAsia="Verdana" w:cs="Verdana"/>
          <w:sz w:val="18"/>
          <w:szCs w:val="18"/>
        </w:rPr>
      </w:pPr>
    </w:p>
    <w:p w:rsidRPr="00262341" w:rsidR="000B3002" w:rsidP="00262341" w:rsidRDefault="43B7FD55" w14:paraId="75F80A77" w14:textId="174DD82C">
      <w:pPr>
        <w:spacing w:line="360" w:lineRule="auto"/>
        <w:rPr>
          <w:rFonts w:ascii="Verdana" w:hAnsi="Verdana" w:eastAsia="Verdana" w:cs="Verdana"/>
          <w:sz w:val="18"/>
          <w:szCs w:val="18"/>
        </w:rPr>
      </w:pPr>
      <w:r w:rsidRPr="00262341">
        <w:rPr>
          <w:rFonts w:ascii="Verdana" w:hAnsi="Verdana" w:eastAsia="Verdana" w:cs="Verdana"/>
          <w:sz w:val="18"/>
          <w:szCs w:val="18"/>
        </w:rPr>
        <w:t>Het kabinet is van mening dat sommige voorstellen verder gaan dan noodzakelijk om de doelstellingen te bereiken</w:t>
      </w:r>
      <w:r w:rsidRPr="00262341" w:rsidR="003F7FA5">
        <w:rPr>
          <w:rFonts w:ascii="Verdana" w:hAnsi="Verdana" w:eastAsia="Verdana" w:cs="Verdana"/>
          <w:sz w:val="18"/>
          <w:szCs w:val="18"/>
        </w:rPr>
        <w:t>,</w:t>
      </w:r>
      <w:r w:rsidRPr="00262341">
        <w:rPr>
          <w:rFonts w:ascii="Verdana" w:hAnsi="Verdana" w:eastAsia="Verdana" w:cs="Verdana"/>
          <w:sz w:val="18"/>
          <w:szCs w:val="18"/>
        </w:rPr>
        <w:t xml:space="preserve"> omdat sommige voorstellen voor vereenvoudiging als een niet</w:t>
      </w:r>
      <w:r w:rsidRPr="00262341" w:rsidR="003F7FA5">
        <w:rPr>
          <w:rFonts w:ascii="Verdana" w:hAnsi="Verdana" w:eastAsia="Verdana" w:cs="Verdana"/>
          <w:sz w:val="18"/>
          <w:szCs w:val="18"/>
        </w:rPr>
        <w:t>-</w:t>
      </w:r>
      <w:r w:rsidRPr="00262341">
        <w:rPr>
          <w:rFonts w:ascii="Verdana" w:hAnsi="Verdana" w:eastAsia="Verdana" w:cs="Verdana"/>
          <w:sz w:val="18"/>
          <w:szCs w:val="18"/>
        </w:rPr>
        <w:t xml:space="preserve">proportioneel compromis worden gezien </w:t>
      </w:r>
      <w:r w:rsidRPr="00262341" w:rsidR="003F7FA5">
        <w:rPr>
          <w:rFonts w:ascii="Verdana" w:hAnsi="Verdana" w:eastAsia="Verdana" w:cs="Verdana"/>
          <w:sz w:val="18"/>
          <w:szCs w:val="18"/>
        </w:rPr>
        <w:t xml:space="preserve">ten aanzien van </w:t>
      </w:r>
      <w:r w:rsidRPr="00262341">
        <w:rPr>
          <w:rFonts w:ascii="Verdana" w:hAnsi="Verdana" w:eastAsia="Verdana" w:cs="Verdana"/>
          <w:sz w:val="18"/>
          <w:szCs w:val="18"/>
        </w:rPr>
        <w:t>de (borging van) veiligheid</w:t>
      </w:r>
      <w:r w:rsidRPr="00262341" w:rsidR="003F7FA5">
        <w:rPr>
          <w:rFonts w:ascii="Verdana" w:hAnsi="Verdana" w:eastAsia="Verdana" w:cs="Verdana"/>
          <w:sz w:val="18"/>
          <w:szCs w:val="18"/>
        </w:rPr>
        <w:t>. Dit</w:t>
      </w:r>
      <w:r w:rsidRPr="00262341" w:rsidR="000B3002">
        <w:rPr>
          <w:rFonts w:ascii="Verdana" w:hAnsi="Verdana" w:eastAsia="Verdana" w:cs="Verdana"/>
          <w:sz w:val="18"/>
          <w:szCs w:val="18"/>
        </w:rPr>
        <w:t xml:space="preserve"> is de eerste kanttekening van het kabinet</w:t>
      </w:r>
      <w:r w:rsidRPr="00262341" w:rsidR="003F7FA5">
        <w:rPr>
          <w:rFonts w:ascii="Verdana" w:hAnsi="Verdana" w:eastAsia="Verdana" w:cs="Verdana"/>
          <w:sz w:val="18"/>
          <w:szCs w:val="18"/>
        </w:rPr>
        <w:t>.</w:t>
      </w:r>
      <w:r w:rsidRPr="00262341">
        <w:rPr>
          <w:rFonts w:ascii="Verdana" w:hAnsi="Verdana" w:eastAsia="Verdana" w:cs="Verdana"/>
          <w:sz w:val="18"/>
          <w:szCs w:val="18"/>
        </w:rPr>
        <w:t xml:space="preserve"> </w:t>
      </w:r>
      <w:r w:rsidRPr="00262341">
        <w:rPr>
          <w:rFonts w:ascii="Verdana" w:hAnsi="Verdana" w:eastAsia="Verdana" w:cs="Verdana"/>
          <w:color w:val="000000" w:themeColor="text1"/>
          <w:sz w:val="18"/>
          <w:szCs w:val="18"/>
        </w:rPr>
        <w:t xml:space="preserve">Zo is het kabinet van mening dat het verwijderen van de </w:t>
      </w:r>
      <w:proofErr w:type="spellStart"/>
      <w:r w:rsidRPr="00262341">
        <w:rPr>
          <w:rFonts w:ascii="Verdana" w:hAnsi="Verdana" w:eastAsia="Verdana" w:cs="Verdana"/>
          <w:color w:val="000000" w:themeColor="text1"/>
          <w:sz w:val="18"/>
          <w:szCs w:val="18"/>
        </w:rPr>
        <w:t>hercertificering</w:t>
      </w:r>
      <w:proofErr w:type="spellEnd"/>
      <w:r w:rsidRPr="00262341">
        <w:rPr>
          <w:rFonts w:ascii="Verdana" w:hAnsi="Verdana" w:eastAsia="Verdana" w:cs="Verdana"/>
          <w:color w:val="000000" w:themeColor="text1"/>
          <w:sz w:val="18"/>
          <w:szCs w:val="18"/>
        </w:rPr>
        <w:t xml:space="preserve"> van KMS, in combinatie met het verwijderen van de vereiste systematische </w:t>
      </w:r>
      <w:r w:rsidRPr="00262341">
        <w:rPr>
          <w:rFonts w:ascii="Verdana" w:hAnsi="Verdana" w:eastAsia="Verdana" w:cs="Verdana"/>
          <w:color w:val="000000" w:themeColor="text1"/>
          <w:sz w:val="18"/>
          <w:szCs w:val="18"/>
        </w:rPr>
        <w:lastRenderedPageBreak/>
        <w:t>technische documentatiebeoordeling tijdens surveillanceactiviteiten</w:t>
      </w:r>
      <w:r w:rsidRPr="00262341" w:rsidR="003F7FA5">
        <w:rPr>
          <w:rFonts w:ascii="Verdana" w:hAnsi="Verdana" w:eastAsia="Verdana" w:cs="Verdana"/>
          <w:color w:val="000000" w:themeColor="text1"/>
          <w:sz w:val="18"/>
          <w:szCs w:val="18"/>
        </w:rPr>
        <w:t>,</w:t>
      </w:r>
      <w:r w:rsidRPr="00262341">
        <w:rPr>
          <w:rFonts w:ascii="Verdana" w:hAnsi="Verdana" w:eastAsia="Verdana" w:cs="Verdana"/>
          <w:color w:val="000000" w:themeColor="text1"/>
          <w:sz w:val="18"/>
          <w:szCs w:val="18"/>
        </w:rPr>
        <w:t xml:space="preserve"> verder gaat dan noodzakelijk om de doelstelling van het voorstel te behalen. Ondanks dat genoemde maatregelen een versimpeling van de regelgeving met zich meebrengen, staan deze niet in verhouding tot de originele doelstellingen van de verordeningen, namelijk het waarborgen van een hoog niveau van gezondheidsbescherming en patiëntveiligheid. De maatregelen brengen het risico met zich mee dat aan beide doelen juist afbreuk wordt gedaan. Daarom zijn deze maatregelen, aldus het kabinet, niet proportioneel</w:t>
      </w:r>
      <w:r w:rsidRPr="00262341" w:rsidR="00C3B6BF">
        <w:rPr>
          <w:rFonts w:ascii="Verdana" w:hAnsi="Verdana" w:eastAsia="Verdana" w:cs="Verdana"/>
          <w:color w:val="000000" w:themeColor="text1"/>
          <w:sz w:val="18"/>
          <w:szCs w:val="18"/>
        </w:rPr>
        <w:t>.</w:t>
      </w:r>
    </w:p>
    <w:p w:rsidRPr="00262341" w:rsidR="00CB03C7" w:rsidP="00262341" w:rsidRDefault="00CB03C7" w14:paraId="03B496BC" w14:textId="77777777">
      <w:pPr>
        <w:spacing w:line="360" w:lineRule="auto"/>
        <w:rPr>
          <w:rFonts w:ascii="Verdana" w:hAnsi="Verdana" w:eastAsia="Verdana" w:cs="Verdana"/>
          <w:sz w:val="18"/>
          <w:szCs w:val="18"/>
        </w:rPr>
      </w:pPr>
    </w:p>
    <w:p w:rsidRPr="00262341" w:rsidR="3518C77A" w:rsidP="00262341" w:rsidRDefault="000B3002" w14:paraId="11101B50" w14:textId="61F3E998">
      <w:pPr>
        <w:spacing w:line="360" w:lineRule="auto"/>
        <w:rPr>
          <w:rFonts w:ascii="Verdana" w:hAnsi="Verdana" w:eastAsia="Verdana" w:cs="Verdana"/>
          <w:sz w:val="18"/>
          <w:szCs w:val="18"/>
        </w:rPr>
      </w:pPr>
      <w:r w:rsidRPr="00262341">
        <w:rPr>
          <w:rFonts w:ascii="Verdana" w:hAnsi="Verdana" w:eastAsia="Verdana" w:cs="Verdana"/>
          <w:sz w:val="18"/>
          <w:szCs w:val="18"/>
        </w:rPr>
        <w:t xml:space="preserve">Als tweede kanttekening </w:t>
      </w:r>
      <w:r w:rsidRPr="00262341" w:rsidR="6E0DAAEF">
        <w:rPr>
          <w:rFonts w:ascii="Verdana" w:hAnsi="Verdana" w:eastAsia="Verdana" w:cs="Verdana"/>
          <w:sz w:val="18"/>
          <w:szCs w:val="18"/>
        </w:rPr>
        <w:t xml:space="preserve">ziet het kabinet het voorstel om tarieven van </w:t>
      </w:r>
      <w:proofErr w:type="spellStart"/>
      <w:r w:rsidRPr="00262341" w:rsidR="6E0DAAEF">
        <w:rPr>
          <w:rFonts w:ascii="Verdana" w:hAnsi="Verdana" w:eastAsia="Verdana" w:cs="Verdana"/>
          <w:i/>
          <w:sz w:val="18"/>
          <w:szCs w:val="18"/>
        </w:rPr>
        <w:t>notified</w:t>
      </w:r>
      <w:proofErr w:type="spellEnd"/>
      <w:r w:rsidRPr="00262341" w:rsidR="6E0DAAEF">
        <w:rPr>
          <w:rFonts w:ascii="Verdana" w:hAnsi="Verdana" w:eastAsia="Verdana" w:cs="Verdana"/>
          <w:i/>
          <w:sz w:val="18"/>
          <w:szCs w:val="18"/>
        </w:rPr>
        <w:t xml:space="preserve"> </w:t>
      </w:r>
      <w:proofErr w:type="spellStart"/>
      <w:r w:rsidRPr="00262341" w:rsidR="6E0DAAEF">
        <w:rPr>
          <w:rFonts w:ascii="Verdana" w:hAnsi="Verdana" w:eastAsia="Verdana" w:cs="Verdana"/>
          <w:i/>
          <w:sz w:val="18"/>
          <w:szCs w:val="18"/>
        </w:rPr>
        <w:t>bodies</w:t>
      </w:r>
      <w:proofErr w:type="spellEnd"/>
      <w:r w:rsidRPr="00262341" w:rsidR="6E0DAAEF">
        <w:rPr>
          <w:rFonts w:ascii="Verdana" w:hAnsi="Verdana" w:eastAsia="Verdana" w:cs="Verdana"/>
          <w:sz w:val="18"/>
          <w:szCs w:val="18"/>
        </w:rPr>
        <w:t xml:space="preserve"> voor te schrijven en vast te zetten als niet proportioneel. </w:t>
      </w:r>
      <w:r w:rsidRPr="00262341" w:rsidR="0D808920">
        <w:rPr>
          <w:rFonts w:ascii="Verdana" w:hAnsi="Verdana" w:eastAsia="Verdana" w:cs="Verdana"/>
          <w:sz w:val="18"/>
          <w:szCs w:val="18"/>
        </w:rPr>
        <w:t>H</w:t>
      </w:r>
      <w:r w:rsidRPr="00262341" w:rsidR="0D808920">
        <w:rPr>
          <w:rFonts w:ascii="Verdana" w:hAnsi="Verdana" w:eastAsia="Verdana" w:cs="Verdana"/>
          <w:color w:val="000000" w:themeColor="text1"/>
          <w:sz w:val="18"/>
          <w:szCs w:val="18"/>
        </w:rPr>
        <w:t xml:space="preserve">et vastzetten (verlagen) van de tarieven welke </w:t>
      </w:r>
      <w:proofErr w:type="spellStart"/>
      <w:r w:rsidRPr="00262341" w:rsidR="0D808920">
        <w:rPr>
          <w:rFonts w:ascii="Verdana" w:hAnsi="Verdana" w:eastAsia="Verdana" w:cs="Verdana"/>
          <w:i/>
          <w:color w:val="000000" w:themeColor="text1"/>
          <w:sz w:val="18"/>
          <w:szCs w:val="18"/>
        </w:rPr>
        <w:t>notified</w:t>
      </w:r>
      <w:proofErr w:type="spellEnd"/>
      <w:r w:rsidRPr="00262341" w:rsidR="0D808920">
        <w:rPr>
          <w:rFonts w:ascii="Verdana" w:hAnsi="Verdana" w:eastAsia="Verdana" w:cs="Verdana"/>
          <w:i/>
          <w:color w:val="000000" w:themeColor="text1"/>
          <w:sz w:val="18"/>
          <w:szCs w:val="18"/>
        </w:rPr>
        <w:t xml:space="preserve"> </w:t>
      </w:r>
      <w:proofErr w:type="spellStart"/>
      <w:r w:rsidRPr="00262341" w:rsidR="0D808920">
        <w:rPr>
          <w:rFonts w:ascii="Verdana" w:hAnsi="Verdana" w:eastAsia="Verdana" w:cs="Verdana"/>
          <w:i/>
          <w:color w:val="000000" w:themeColor="text1"/>
          <w:sz w:val="18"/>
          <w:szCs w:val="18"/>
        </w:rPr>
        <w:t>bodies</w:t>
      </w:r>
      <w:proofErr w:type="spellEnd"/>
      <w:r w:rsidRPr="00262341" w:rsidR="0D808920">
        <w:rPr>
          <w:rFonts w:ascii="Verdana" w:hAnsi="Verdana" w:eastAsia="Verdana" w:cs="Verdana"/>
          <w:color w:val="000000" w:themeColor="text1"/>
          <w:sz w:val="18"/>
          <w:szCs w:val="18"/>
        </w:rPr>
        <w:t xml:space="preserve"> in rekening kunnen brengen aan fabrikanten zorgt in beginsel voor meer innovatie en beschikbaarheid van hulpmiddelen. Echter staat </w:t>
      </w:r>
      <w:r w:rsidRPr="00262341" w:rsidR="1CA2B821">
        <w:rPr>
          <w:rFonts w:ascii="Verdana" w:hAnsi="Verdana" w:eastAsia="Verdana" w:cs="Verdana"/>
          <w:color w:val="000000" w:themeColor="text1"/>
          <w:sz w:val="18"/>
          <w:szCs w:val="18"/>
        </w:rPr>
        <w:t xml:space="preserve">dit </w:t>
      </w:r>
      <w:r w:rsidRPr="00262341" w:rsidR="0D808920">
        <w:rPr>
          <w:rFonts w:ascii="Verdana" w:hAnsi="Verdana" w:eastAsia="Verdana" w:cs="Verdana"/>
          <w:color w:val="000000" w:themeColor="text1"/>
          <w:sz w:val="18"/>
          <w:szCs w:val="18"/>
        </w:rPr>
        <w:t xml:space="preserve">niet in verhouding tot de andere doelstellingen van de verordeningen, namelijk het waarborgen van een hoog niveau van gezondheidsbescherming en patiëntveiligheid. Minder beschikbare financiële middelen bij </w:t>
      </w:r>
      <w:proofErr w:type="spellStart"/>
      <w:r w:rsidRPr="00262341" w:rsidR="0D808920">
        <w:rPr>
          <w:rFonts w:ascii="Verdana" w:hAnsi="Verdana" w:eastAsia="Verdana" w:cs="Verdana"/>
          <w:i/>
          <w:color w:val="000000" w:themeColor="text1"/>
          <w:sz w:val="18"/>
          <w:szCs w:val="18"/>
        </w:rPr>
        <w:t>notified</w:t>
      </w:r>
      <w:proofErr w:type="spellEnd"/>
      <w:r w:rsidRPr="00262341" w:rsidR="0D808920">
        <w:rPr>
          <w:rFonts w:ascii="Verdana" w:hAnsi="Verdana" w:eastAsia="Verdana" w:cs="Verdana"/>
          <w:i/>
          <w:color w:val="000000" w:themeColor="text1"/>
          <w:sz w:val="18"/>
          <w:szCs w:val="18"/>
        </w:rPr>
        <w:t xml:space="preserve"> </w:t>
      </w:r>
      <w:proofErr w:type="spellStart"/>
      <w:r w:rsidRPr="00262341" w:rsidR="0D808920">
        <w:rPr>
          <w:rFonts w:ascii="Verdana" w:hAnsi="Verdana" w:eastAsia="Verdana" w:cs="Verdana"/>
          <w:i/>
          <w:color w:val="000000" w:themeColor="text1"/>
          <w:sz w:val="18"/>
          <w:szCs w:val="18"/>
        </w:rPr>
        <w:t>bodies</w:t>
      </w:r>
      <w:proofErr w:type="spellEnd"/>
      <w:r w:rsidRPr="00262341" w:rsidR="0D808920">
        <w:rPr>
          <w:rFonts w:ascii="Verdana" w:hAnsi="Verdana" w:eastAsia="Verdana" w:cs="Verdana"/>
          <w:color w:val="000000" w:themeColor="text1"/>
          <w:sz w:val="18"/>
          <w:szCs w:val="18"/>
        </w:rPr>
        <w:t xml:space="preserve"> </w:t>
      </w:r>
      <w:r w:rsidRPr="00262341" w:rsidR="003F7FA5">
        <w:rPr>
          <w:rFonts w:ascii="Verdana" w:hAnsi="Verdana" w:eastAsia="Verdana" w:cs="Verdana"/>
          <w:color w:val="000000" w:themeColor="text1"/>
          <w:sz w:val="18"/>
          <w:szCs w:val="18"/>
        </w:rPr>
        <w:t xml:space="preserve">kunnen leiden </w:t>
      </w:r>
      <w:r w:rsidRPr="00262341" w:rsidR="0D808920">
        <w:rPr>
          <w:rFonts w:ascii="Verdana" w:hAnsi="Verdana" w:eastAsia="Verdana" w:cs="Verdana"/>
          <w:color w:val="000000" w:themeColor="text1"/>
          <w:sz w:val="18"/>
          <w:szCs w:val="18"/>
        </w:rPr>
        <w:t xml:space="preserve">tot minder mankracht en expertise, wat </w:t>
      </w:r>
      <w:r w:rsidRPr="00262341" w:rsidR="003F7FA5">
        <w:rPr>
          <w:rFonts w:ascii="Verdana" w:hAnsi="Verdana" w:eastAsia="Verdana" w:cs="Verdana"/>
          <w:color w:val="000000" w:themeColor="text1"/>
          <w:sz w:val="18"/>
          <w:szCs w:val="18"/>
        </w:rPr>
        <w:t>mogelijk</w:t>
      </w:r>
      <w:r w:rsidRPr="00262341" w:rsidR="0D808920">
        <w:rPr>
          <w:rFonts w:ascii="Verdana" w:hAnsi="Verdana" w:eastAsia="Verdana" w:cs="Verdana"/>
          <w:color w:val="000000" w:themeColor="text1"/>
          <w:sz w:val="18"/>
          <w:szCs w:val="18"/>
        </w:rPr>
        <w:t xml:space="preserve"> een negatieve </w:t>
      </w:r>
      <w:r w:rsidRPr="00262341" w:rsidR="003F7FA5">
        <w:rPr>
          <w:rFonts w:ascii="Verdana" w:hAnsi="Verdana" w:eastAsia="Verdana" w:cs="Verdana"/>
          <w:color w:val="000000" w:themeColor="text1"/>
          <w:sz w:val="18"/>
          <w:szCs w:val="18"/>
        </w:rPr>
        <w:t xml:space="preserve">impact </w:t>
      </w:r>
      <w:r w:rsidRPr="00262341" w:rsidR="0D808920">
        <w:rPr>
          <w:rFonts w:ascii="Verdana" w:hAnsi="Verdana" w:eastAsia="Verdana" w:cs="Verdana"/>
          <w:color w:val="000000" w:themeColor="text1"/>
          <w:sz w:val="18"/>
          <w:szCs w:val="18"/>
        </w:rPr>
        <w:t>heeft op de doorlooptijd</w:t>
      </w:r>
      <w:r w:rsidRPr="00262341" w:rsidR="003F7FA5">
        <w:rPr>
          <w:rFonts w:ascii="Verdana" w:hAnsi="Verdana" w:eastAsia="Verdana" w:cs="Verdana"/>
          <w:color w:val="000000" w:themeColor="text1"/>
          <w:sz w:val="18"/>
          <w:szCs w:val="18"/>
        </w:rPr>
        <w:t>en</w:t>
      </w:r>
      <w:r w:rsidRPr="00262341" w:rsidR="0D808920">
        <w:rPr>
          <w:rFonts w:ascii="Verdana" w:hAnsi="Verdana" w:eastAsia="Verdana" w:cs="Verdana"/>
          <w:color w:val="000000" w:themeColor="text1"/>
          <w:sz w:val="18"/>
          <w:szCs w:val="18"/>
        </w:rPr>
        <w:t xml:space="preserve"> voor certificering en beschikbare expertise </w:t>
      </w:r>
      <w:r w:rsidRPr="00262341" w:rsidR="003F7FA5">
        <w:rPr>
          <w:rFonts w:ascii="Verdana" w:hAnsi="Verdana" w:eastAsia="Verdana" w:cs="Verdana"/>
          <w:color w:val="000000" w:themeColor="text1"/>
          <w:sz w:val="18"/>
          <w:szCs w:val="18"/>
        </w:rPr>
        <w:t>om</w:t>
      </w:r>
      <w:r w:rsidRPr="00262341" w:rsidR="0D808920">
        <w:rPr>
          <w:rFonts w:ascii="Verdana" w:hAnsi="Verdana" w:eastAsia="Verdana" w:cs="Verdana"/>
          <w:color w:val="000000" w:themeColor="text1"/>
          <w:sz w:val="18"/>
          <w:szCs w:val="18"/>
        </w:rPr>
        <w:t xml:space="preserve"> een hoog niveau van keuring en </w:t>
      </w:r>
      <w:r w:rsidRPr="00262341" w:rsidR="4D9FA54C">
        <w:rPr>
          <w:rFonts w:ascii="Verdana" w:hAnsi="Verdana" w:eastAsia="Verdana" w:cs="Verdana"/>
          <w:color w:val="000000" w:themeColor="text1"/>
          <w:sz w:val="18"/>
          <w:szCs w:val="18"/>
        </w:rPr>
        <w:t>de</w:t>
      </w:r>
      <w:r w:rsidRPr="00262341" w:rsidR="0D808920">
        <w:rPr>
          <w:rFonts w:ascii="Verdana" w:hAnsi="Verdana" w:eastAsia="Verdana" w:cs="Verdana"/>
          <w:color w:val="000000" w:themeColor="text1"/>
          <w:sz w:val="18"/>
          <w:szCs w:val="18"/>
        </w:rPr>
        <w:t xml:space="preserve"> kwaliteit van de hulpmiddelen</w:t>
      </w:r>
      <w:r w:rsidRPr="00262341" w:rsidR="003F7FA5">
        <w:rPr>
          <w:rFonts w:ascii="Verdana" w:hAnsi="Verdana" w:eastAsia="Verdana" w:cs="Verdana"/>
          <w:color w:val="000000" w:themeColor="text1"/>
          <w:sz w:val="18"/>
          <w:szCs w:val="18"/>
        </w:rPr>
        <w:t xml:space="preserve"> te waarborgen</w:t>
      </w:r>
      <w:r w:rsidRPr="00262341" w:rsidR="0D808920">
        <w:rPr>
          <w:rFonts w:ascii="Verdana" w:hAnsi="Verdana" w:eastAsia="Verdana" w:cs="Verdana"/>
          <w:color w:val="000000" w:themeColor="text1"/>
          <w:sz w:val="18"/>
          <w:szCs w:val="18"/>
        </w:rPr>
        <w:t xml:space="preserve">. </w:t>
      </w:r>
      <w:r w:rsidRPr="00262341" w:rsidR="0D808920">
        <w:rPr>
          <w:rFonts w:ascii="Verdana" w:hAnsi="Verdana" w:eastAsia="Verdana" w:cs="Verdana"/>
          <w:sz w:val="18"/>
          <w:szCs w:val="18"/>
        </w:rPr>
        <w:t xml:space="preserve">Dit komt de beschikbaarheid en innovatie, de doelstellingen van </w:t>
      </w:r>
      <w:r w:rsidRPr="00262341" w:rsidR="008E7098">
        <w:rPr>
          <w:rFonts w:ascii="Verdana" w:hAnsi="Verdana" w:eastAsia="Verdana" w:cs="Verdana"/>
          <w:sz w:val="18"/>
          <w:szCs w:val="18"/>
        </w:rPr>
        <w:t xml:space="preserve">het </w:t>
      </w:r>
      <w:r w:rsidRPr="00262341" w:rsidR="0D808920">
        <w:rPr>
          <w:rFonts w:ascii="Verdana" w:hAnsi="Verdana" w:eastAsia="Verdana" w:cs="Verdana"/>
          <w:sz w:val="18"/>
          <w:szCs w:val="18"/>
        </w:rPr>
        <w:t xml:space="preserve">voorstel, niet </w:t>
      </w:r>
      <w:r w:rsidRPr="00262341" w:rsidR="2D1B287D">
        <w:rPr>
          <w:rFonts w:ascii="Verdana" w:hAnsi="Verdana" w:eastAsia="Verdana" w:cs="Verdana"/>
          <w:sz w:val="18"/>
          <w:szCs w:val="18"/>
        </w:rPr>
        <w:t>ten goede.</w:t>
      </w:r>
      <w:r w:rsidRPr="00262341" w:rsidR="0D808920">
        <w:rPr>
          <w:rFonts w:ascii="Verdana" w:hAnsi="Verdana" w:eastAsia="Verdana" w:cs="Verdana"/>
          <w:sz w:val="18"/>
          <w:szCs w:val="18"/>
        </w:rPr>
        <w:t xml:space="preserve"> </w:t>
      </w:r>
      <w:r w:rsidRPr="00262341" w:rsidR="0FA6DED7">
        <w:rPr>
          <w:rFonts w:ascii="Verdana" w:hAnsi="Verdana" w:eastAsia="Verdana" w:cs="Verdana"/>
          <w:sz w:val="18"/>
          <w:szCs w:val="18"/>
        </w:rPr>
        <w:t xml:space="preserve">Een alternatieve, minder ingrijpende manier om transparantie over </w:t>
      </w:r>
      <w:r w:rsidRPr="00262341" w:rsidR="008E7098">
        <w:rPr>
          <w:rFonts w:ascii="Verdana" w:hAnsi="Verdana" w:eastAsia="Verdana" w:cs="Verdana"/>
          <w:sz w:val="18"/>
          <w:szCs w:val="18"/>
        </w:rPr>
        <w:t xml:space="preserve">de </w:t>
      </w:r>
      <w:r w:rsidRPr="00262341" w:rsidR="0FA6DED7">
        <w:rPr>
          <w:rFonts w:ascii="Verdana" w:hAnsi="Verdana" w:eastAsia="Verdana" w:cs="Verdana"/>
          <w:sz w:val="18"/>
          <w:szCs w:val="18"/>
        </w:rPr>
        <w:t xml:space="preserve">tarieven van </w:t>
      </w:r>
      <w:proofErr w:type="spellStart"/>
      <w:r w:rsidRPr="00262341" w:rsidR="0FA6DED7">
        <w:rPr>
          <w:rFonts w:ascii="Verdana" w:hAnsi="Verdana" w:eastAsia="Verdana" w:cs="Verdana"/>
          <w:i/>
          <w:sz w:val="18"/>
          <w:szCs w:val="18"/>
        </w:rPr>
        <w:t>notified</w:t>
      </w:r>
      <w:proofErr w:type="spellEnd"/>
      <w:r w:rsidRPr="00262341" w:rsidR="0FA6DED7">
        <w:rPr>
          <w:rFonts w:ascii="Verdana" w:hAnsi="Verdana" w:eastAsia="Verdana" w:cs="Verdana"/>
          <w:i/>
          <w:sz w:val="18"/>
          <w:szCs w:val="18"/>
        </w:rPr>
        <w:t xml:space="preserve"> </w:t>
      </w:r>
      <w:proofErr w:type="spellStart"/>
      <w:r w:rsidRPr="00262341" w:rsidR="0FA6DED7">
        <w:rPr>
          <w:rFonts w:ascii="Verdana" w:hAnsi="Verdana" w:eastAsia="Verdana" w:cs="Verdana"/>
          <w:i/>
          <w:sz w:val="18"/>
          <w:szCs w:val="18"/>
        </w:rPr>
        <w:t>bodies</w:t>
      </w:r>
      <w:proofErr w:type="spellEnd"/>
      <w:r w:rsidRPr="00262341" w:rsidR="0FA6DED7">
        <w:rPr>
          <w:rFonts w:ascii="Verdana" w:hAnsi="Verdana" w:eastAsia="Verdana" w:cs="Verdana"/>
          <w:sz w:val="18"/>
          <w:szCs w:val="18"/>
        </w:rPr>
        <w:t xml:space="preserve"> te bewerkstelligen, terwijl de capaciteit van </w:t>
      </w:r>
      <w:proofErr w:type="spellStart"/>
      <w:r w:rsidRPr="00262341" w:rsidR="0FA6DED7">
        <w:rPr>
          <w:rFonts w:ascii="Verdana" w:hAnsi="Verdana" w:eastAsia="Verdana" w:cs="Verdana"/>
          <w:i/>
          <w:sz w:val="18"/>
          <w:szCs w:val="18"/>
        </w:rPr>
        <w:t>notified</w:t>
      </w:r>
      <w:proofErr w:type="spellEnd"/>
      <w:r w:rsidRPr="00262341" w:rsidR="0FA6DED7">
        <w:rPr>
          <w:rFonts w:ascii="Verdana" w:hAnsi="Verdana" w:eastAsia="Verdana" w:cs="Verdana"/>
          <w:i/>
          <w:sz w:val="18"/>
          <w:szCs w:val="18"/>
        </w:rPr>
        <w:t xml:space="preserve"> </w:t>
      </w:r>
      <w:proofErr w:type="spellStart"/>
      <w:r w:rsidRPr="00262341" w:rsidR="0FA6DED7">
        <w:rPr>
          <w:rFonts w:ascii="Verdana" w:hAnsi="Verdana" w:eastAsia="Verdana" w:cs="Verdana"/>
          <w:i/>
          <w:sz w:val="18"/>
          <w:szCs w:val="18"/>
        </w:rPr>
        <w:t>bodies</w:t>
      </w:r>
      <w:proofErr w:type="spellEnd"/>
      <w:r w:rsidRPr="00262341" w:rsidR="0FA6DED7">
        <w:rPr>
          <w:rFonts w:ascii="Verdana" w:hAnsi="Verdana" w:eastAsia="Verdana" w:cs="Verdana"/>
          <w:sz w:val="18"/>
          <w:szCs w:val="18"/>
        </w:rPr>
        <w:t xml:space="preserve"> op </w:t>
      </w:r>
      <w:r w:rsidRPr="00262341" w:rsidR="008E7098">
        <w:rPr>
          <w:rFonts w:ascii="Verdana" w:hAnsi="Verdana" w:eastAsia="Verdana" w:cs="Verdana"/>
          <w:sz w:val="18"/>
          <w:szCs w:val="18"/>
        </w:rPr>
        <w:t xml:space="preserve">peil </w:t>
      </w:r>
      <w:r w:rsidRPr="00262341" w:rsidR="0FA6DED7">
        <w:rPr>
          <w:rFonts w:ascii="Verdana" w:hAnsi="Verdana" w:eastAsia="Verdana" w:cs="Verdana"/>
          <w:sz w:val="18"/>
          <w:szCs w:val="18"/>
        </w:rPr>
        <w:t xml:space="preserve">blijft, is een verplichting aan </w:t>
      </w:r>
      <w:proofErr w:type="spellStart"/>
      <w:r w:rsidRPr="00262341" w:rsidR="0FA6DED7">
        <w:rPr>
          <w:rFonts w:ascii="Verdana" w:hAnsi="Verdana" w:eastAsia="Verdana" w:cs="Verdana"/>
          <w:i/>
          <w:sz w:val="18"/>
          <w:szCs w:val="18"/>
        </w:rPr>
        <w:t>notified</w:t>
      </w:r>
      <w:proofErr w:type="spellEnd"/>
      <w:r w:rsidRPr="00262341" w:rsidR="0FA6DED7">
        <w:rPr>
          <w:rFonts w:ascii="Verdana" w:hAnsi="Verdana" w:eastAsia="Verdana" w:cs="Verdana"/>
          <w:i/>
          <w:sz w:val="18"/>
          <w:szCs w:val="18"/>
        </w:rPr>
        <w:t xml:space="preserve"> </w:t>
      </w:r>
      <w:proofErr w:type="spellStart"/>
      <w:r w:rsidRPr="00262341" w:rsidR="0FA6DED7">
        <w:rPr>
          <w:rFonts w:ascii="Verdana" w:hAnsi="Verdana" w:eastAsia="Verdana" w:cs="Verdana"/>
          <w:i/>
          <w:sz w:val="18"/>
          <w:szCs w:val="18"/>
        </w:rPr>
        <w:t>bodies</w:t>
      </w:r>
      <w:proofErr w:type="spellEnd"/>
      <w:r w:rsidRPr="00262341" w:rsidR="0FA6DED7">
        <w:rPr>
          <w:rFonts w:ascii="Verdana" w:hAnsi="Verdana" w:eastAsia="Verdana" w:cs="Verdana"/>
          <w:sz w:val="18"/>
          <w:szCs w:val="18"/>
        </w:rPr>
        <w:t xml:space="preserve"> om de soorten en hoogtes van gevraagde vergoedingen weer te geven op een centrale website. Hierdoor krijgen fabrikanten een duidelijk overzicht van </w:t>
      </w:r>
      <w:r w:rsidRPr="00262341" w:rsidR="008E7098">
        <w:rPr>
          <w:rFonts w:ascii="Verdana" w:hAnsi="Verdana" w:eastAsia="Verdana" w:cs="Verdana"/>
          <w:sz w:val="18"/>
          <w:szCs w:val="18"/>
        </w:rPr>
        <w:t xml:space="preserve">de </w:t>
      </w:r>
      <w:r w:rsidRPr="00262341" w:rsidR="0FA6DED7">
        <w:rPr>
          <w:rFonts w:ascii="Verdana" w:hAnsi="Verdana" w:eastAsia="Verdana" w:cs="Verdana"/>
          <w:sz w:val="18"/>
          <w:szCs w:val="18"/>
        </w:rPr>
        <w:t xml:space="preserve">kosten en kunnen zij </w:t>
      </w:r>
      <w:r w:rsidRPr="00262341" w:rsidR="008E7098">
        <w:rPr>
          <w:rFonts w:ascii="Verdana" w:hAnsi="Verdana" w:eastAsia="Verdana" w:cs="Verdana"/>
          <w:sz w:val="18"/>
          <w:szCs w:val="18"/>
        </w:rPr>
        <w:t>deze</w:t>
      </w:r>
      <w:r w:rsidRPr="00262341" w:rsidR="0FA6DED7">
        <w:rPr>
          <w:rFonts w:ascii="Verdana" w:hAnsi="Verdana" w:eastAsia="Verdana" w:cs="Verdana"/>
          <w:sz w:val="18"/>
          <w:szCs w:val="18"/>
        </w:rPr>
        <w:t xml:space="preserve"> gemakkelijk vergelijken</w:t>
      </w:r>
      <w:r w:rsidRPr="00262341" w:rsidR="00F50BEA">
        <w:rPr>
          <w:rFonts w:ascii="Verdana" w:hAnsi="Verdana" w:eastAsia="Verdana" w:cs="Verdana"/>
          <w:sz w:val="18"/>
          <w:szCs w:val="18"/>
        </w:rPr>
        <w:t xml:space="preserve"> tussen </w:t>
      </w:r>
      <w:proofErr w:type="spellStart"/>
      <w:r w:rsidRPr="00262341" w:rsidR="00F50BEA">
        <w:rPr>
          <w:rFonts w:ascii="Verdana" w:hAnsi="Verdana" w:eastAsia="Verdana" w:cs="Verdana"/>
          <w:i/>
          <w:sz w:val="18"/>
          <w:szCs w:val="18"/>
        </w:rPr>
        <w:t>notified</w:t>
      </w:r>
      <w:proofErr w:type="spellEnd"/>
      <w:r w:rsidRPr="00262341" w:rsidR="00F50BEA">
        <w:rPr>
          <w:rFonts w:ascii="Verdana" w:hAnsi="Verdana" w:eastAsia="Verdana" w:cs="Verdana"/>
          <w:i/>
          <w:sz w:val="18"/>
          <w:szCs w:val="18"/>
        </w:rPr>
        <w:t xml:space="preserve"> </w:t>
      </w:r>
      <w:proofErr w:type="spellStart"/>
      <w:r w:rsidRPr="00262341" w:rsidR="00F50BEA">
        <w:rPr>
          <w:rFonts w:ascii="Verdana" w:hAnsi="Verdana" w:eastAsia="Verdana" w:cs="Verdana"/>
          <w:i/>
          <w:sz w:val="18"/>
          <w:szCs w:val="18"/>
        </w:rPr>
        <w:t>bodies</w:t>
      </w:r>
      <w:proofErr w:type="spellEnd"/>
      <w:r w:rsidRPr="00262341" w:rsidR="0FA6DED7">
        <w:rPr>
          <w:rFonts w:ascii="Verdana" w:hAnsi="Verdana" w:eastAsia="Verdana" w:cs="Verdana"/>
          <w:sz w:val="18"/>
          <w:szCs w:val="18"/>
        </w:rPr>
        <w:t xml:space="preserve">. </w:t>
      </w:r>
      <w:r w:rsidRPr="00262341" w:rsidR="4F690AA7">
        <w:rPr>
          <w:rFonts w:ascii="Verdana" w:hAnsi="Verdana" w:eastAsia="Verdana" w:cs="Verdana"/>
          <w:sz w:val="18"/>
          <w:szCs w:val="18"/>
        </w:rPr>
        <w:t xml:space="preserve">Ongeveer 6% van de kosten voor de industrie gaan momenteel naar vergoedingen voor </w:t>
      </w:r>
      <w:proofErr w:type="spellStart"/>
      <w:r w:rsidRPr="00262341" w:rsidR="4F690AA7">
        <w:rPr>
          <w:rFonts w:ascii="Verdana" w:hAnsi="Verdana" w:eastAsia="Verdana" w:cs="Verdana"/>
          <w:i/>
          <w:sz w:val="18"/>
          <w:szCs w:val="18"/>
        </w:rPr>
        <w:t>notified</w:t>
      </w:r>
      <w:proofErr w:type="spellEnd"/>
      <w:r w:rsidRPr="00262341" w:rsidR="4F690AA7">
        <w:rPr>
          <w:rFonts w:ascii="Verdana" w:hAnsi="Verdana" w:eastAsia="Verdana" w:cs="Verdana"/>
          <w:i/>
          <w:sz w:val="18"/>
          <w:szCs w:val="18"/>
        </w:rPr>
        <w:t xml:space="preserve"> </w:t>
      </w:r>
      <w:proofErr w:type="spellStart"/>
      <w:r w:rsidRPr="00262341" w:rsidR="4F690AA7">
        <w:rPr>
          <w:rFonts w:ascii="Verdana" w:hAnsi="Verdana" w:eastAsia="Verdana" w:cs="Verdana"/>
          <w:i/>
          <w:sz w:val="18"/>
          <w:szCs w:val="18"/>
        </w:rPr>
        <w:t>bodies</w:t>
      </w:r>
      <w:proofErr w:type="spellEnd"/>
      <w:r w:rsidRPr="00262341" w:rsidR="4F690AA7">
        <w:rPr>
          <w:rFonts w:ascii="Verdana" w:hAnsi="Verdana" w:eastAsia="Verdana" w:cs="Verdana"/>
          <w:sz w:val="18"/>
          <w:szCs w:val="18"/>
        </w:rPr>
        <w:t xml:space="preserve"> voor de certificatie van het kwaliteitsmanagementsysteem en de technische documentatie</w:t>
      </w:r>
      <w:r w:rsidRPr="00262341" w:rsidR="00A26F98">
        <w:rPr>
          <w:rFonts w:ascii="Verdana" w:hAnsi="Verdana" w:eastAsia="Verdana" w:cs="Verdana"/>
          <w:sz w:val="18"/>
          <w:szCs w:val="18"/>
        </w:rPr>
        <w:t>.</w:t>
      </w:r>
      <w:r w:rsidRPr="00262341" w:rsidR="00B71CAD">
        <w:rPr>
          <w:rStyle w:val="FootnoteReference"/>
          <w:rFonts w:ascii="Verdana" w:hAnsi="Verdana" w:eastAsia="Verdana" w:cs="Verdana"/>
          <w:sz w:val="18"/>
          <w:szCs w:val="18"/>
        </w:rPr>
        <w:footnoteReference w:id="16"/>
      </w:r>
      <w:r w:rsidRPr="00262341" w:rsidR="4F690AA7">
        <w:rPr>
          <w:rFonts w:ascii="Verdana" w:hAnsi="Verdana" w:eastAsia="Verdana" w:cs="Verdana"/>
          <w:sz w:val="18"/>
          <w:szCs w:val="18"/>
        </w:rPr>
        <w:t xml:space="preserve"> Hoewel het kabinet erkent dat dit een investering is, staat het voorstel om de vergoedingen die </w:t>
      </w:r>
      <w:proofErr w:type="spellStart"/>
      <w:r w:rsidRPr="00262341" w:rsidR="4F690AA7">
        <w:rPr>
          <w:rFonts w:ascii="Verdana" w:hAnsi="Verdana" w:eastAsia="Verdana" w:cs="Verdana"/>
          <w:i/>
          <w:sz w:val="18"/>
          <w:szCs w:val="18"/>
        </w:rPr>
        <w:t>notified</w:t>
      </w:r>
      <w:proofErr w:type="spellEnd"/>
      <w:r w:rsidRPr="00262341" w:rsidR="4F690AA7">
        <w:rPr>
          <w:rFonts w:ascii="Verdana" w:hAnsi="Verdana" w:eastAsia="Verdana" w:cs="Verdana"/>
          <w:i/>
          <w:sz w:val="18"/>
          <w:szCs w:val="18"/>
        </w:rPr>
        <w:t xml:space="preserve"> </w:t>
      </w:r>
      <w:proofErr w:type="spellStart"/>
      <w:r w:rsidRPr="00262341" w:rsidR="4F690AA7">
        <w:rPr>
          <w:rFonts w:ascii="Verdana" w:hAnsi="Verdana" w:eastAsia="Verdana" w:cs="Verdana"/>
          <w:i/>
          <w:sz w:val="18"/>
          <w:szCs w:val="18"/>
        </w:rPr>
        <w:t>bodies</w:t>
      </w:r>
      <w:proofErr w:type="spellEnd"/>
      <w:r w:rsidRPr="00262341" w:rsidR="4F690AA7">
        <w:rPr>
          <w:rFonts w:ascii="Verdana" w:hAnsi="Verdana" w:eastAsia="Verdana" w:cs="Verdana"/>
          <w:sz w:val="18"/>
          <w:szCs w:val="18"/>
        </w:rPr>
        <w:t xml:space="preserve"> mogen vragen vast te zetten niet in verhouding tot wat het oplevert voor de beschikbaarheid of patiëntveiligheid. </w:t>
      </w:r>
    </w:p>
    <w:p w:rsidRPr="00262341" w:rsidR="00CB03C7" w:rsidP="00262341" w:rsidRDefault="00CB03C7" w14:paraId="37A82F47" w14:textId="77777777">
      <w:pPr>
        <w:spacing w:line="360" w:lineRule="auto"/>
        <w:rPr>
          <w:rFonts w:ascii="Verdana" w:hAnsi="Verdana" w:eastAsia="Verdana" w:cs="Verdana"/>
          <w:sz w:val="18"/>
          <w:szCs w:val="18"/>
        </w:rPr>
      </w:pPr>
    </w:p>
    <w:p w:rsidR="00262341" w:rsidP="00262341" w:rsidRDefault="00907032" w14:paraId="413BEAC2" w14:textId="5FD2ABBC">
      <w:pPr>
        <w:spacing w:after="120" w:line="360" w:lineRule="auto"/>
        <w:rPr>
          <w:rFonts w:ascii="Verdana" w:hAnsi="Verdana" w:eastAsia="Verdana" w:cs="Verdana"/>
          <w:color w:val="FF0000"/>
          <w:sz w:val="18"/>
          <w:szCs w:val="18"/>
        </w:rPr>
      </w:pPr>
      <w:r w:rsidRPr="00262341">
        <w:rPr>
          <w:rFonts w:ascii="Verdana" w:hAnsi="Verdana" w:eastAsia="Verdana" w:cs="Verdana"/>
          <w:sz w:val="18"/>
          <w:szCs w:val="18"/>
        </w:rPr>
        <w:t>Een derde kanttekening is dat h</w:t>
      </w:r>
      <w:r w:rsidRPr="00262341" w:rsidR="005715B2">
        <w:rPr>
          <w:rFonts w:ascii="Verdana" w:hAnsi="Verdana" w:eastAsia="Verdana" w:cs="Verdana"/>
          <w:sz w:val="18"/>
          <w:szCs w:val="18"/>
        </w:rPr>
        <w:t>et</w:t>
      </w:r>
      <w:r w:rsidRPr="00262341" w:rsidR="74D09478">
        <w:rPr>
          <w:rFonts w:ascii="Verdana" w:hAnsi="Verdana" w:eastAsia="Verdana" w:cs="Verdana"/>
          <w:sz w:val="18"/>
          <w:szCs w:val="18"/>
        </w:rPr>
        <w:t xml:space="preserve"> kabinet ook van mening </w:t>
      </w:r>
      <w:r w:rsidRPr="00262341">
        <w:rPr>
          <w:rFonts w:ascii="Verdana" w:hAnsi="Verdana" w:eastAsia="Verdana" w:cs="Verdana"/>
          <w:sz w:val="18"/>
          <w:szCs w:val="18"/>
        </w:rPr>
        <w:t xml:space="preserve">is </w:t>
      </w:r>
      <w:r w:rsidRPr="00262341" w:rsidR="74D09478">
        <w:rPr>
          <w:rFonts w:ascii="Verdana" w:hAnsi="Verdana" w:eastAsia="Verdana" w:cs="Verdana"/>
          <w:sz w:val="18"/>
          <w:szCs w:val="18"/>
        </w:rPr>
        <w:t>dat er meer zaken in de huidige wetgeving vereenvoudigd kunnen worden. Hierbij is te denken aan het vereenvoudigen van de classificatieregel voor software</w:t>
      </w:r>
      <w:r w:rsidRPr="00262341" w:rsidR="008E7098">
        <w:rPr>
          <w:rFonts w:ascii="Verdana" w:hAnsi="Verdana" w:eastAsia="Verdana" w:cs="Verdana"/>
          <w:sz w:val="18"/>
          <w:szCs w:val="18"/>
        </w:rPr>
        <w:t>,</w:t>
      </w:r>
      <w:r w:rsidRPr="00262341" w:rsidR="74D09478">
        <w:rPr>
          <w:rFonts w:ascii="Verdana" w:hAnsi="Verdana" w:eastAsia="Verdana" w:cs="Verdana"/>
          <w:sz w:val="18"/>
          <w:szCs w:val="18"/>
        </w:rPr>
        <w:t xml:space="preserve"> het vereenvoudigen van </w:t>
      </w:r>
      <w:r w:rsidRPr="00262341" w:rsidR="008E7098">
        <w:rPr>
          <w:rFonts w:ascii="Verdana" w:hAnsi="Verdana" w:eastAsia="Verdana" w:cs="Verdana"/>
          <w:sz w:val="18"/>
          <w:szCs w:val="18"/>
        </w:rPr>
        <w:t>IVDR-aanwijzingscodes</w:t>
      </w:r>
      <w:r w:rsidRPr="00262341" w:rsidR="74D09478">
        <w:rPr>
          <w:rFonts w:ascii="Verdana" w:hAnsi="Verdana" w:eastAsia="Verdana" w:cs="Verdana"/>
          <w:sz w:val="18"/>
          <w:szCs w:val="18"/>
        </w:rPr>
        <w:t xml:space="preserve"> voor </w:t>
      </w:r>
      <w:proofErr w:type="spellStart"/>
      <w:r w:rsidRPr="00262341" w:rsidR="74D09478">
        <w:rPr>
          <w:rFonts w:ascii="Verdana" w:hAnsi="Verdana" w:eastAsia="Verdana" w:cs="Verdana"/>
          <w:i/>
          <w:sz w:val="18"/>
          <w:szCs w:val="18"/>
        </w:rPr>
        <w:t>notified</w:t>
      </w:r>
      <w:proofErr w:type="spellEnd"/>
      <w:r w:rsidRPr="00262341" w:rsidR="74D09478">
        <w:rPr>
          <w:rFonts w:ascii="Verdana" w:hAnsi="Verdana" w:eastAsia="Verdana" w:cs="Verdana"/>
          <w:i/>
          <w:sz w:val="18"/>
          <w:szCs w:val="18"/>
        </w:rPr>
        <w:t xml:space="preserve"> </w:t>
      </w:r>
      <w:proofErr w:type="spellStart"/>
      <w:r w:rsidRPr="00262341" w:rsidR="74D09478">
        <w:rPr>
          <w:rFonts w:ascii="Verdana" w:hAnsi="Verdana" w:eastAsia="Verdana" w:cs="Verdana"/>
          <w:i/>
          <w:sz w:val="18"/>
          <w:szCs w:val="18"/>
        </w:rPr>
        <w:t>bodies</w:t>
      </w:r>
      <w:proofErr w:type="spellEnd"/>
      <w:r w:rsidRPr="00262341" w:rsidR="008E7098">
        <w:rPr>
          <w:rFonts w:ascii="Verdana" w:hAnsi="Verdana" w:eastAsia="Verdana" w:cs="Verdana"/>
          <w:sz w:val="18"/>
          <w:szCs w:val="18"/>
        </w:rPr>
        <w:t>,</w:t>
      </w:r>
      <w:r w:rsidRPr="00262341" w:rsidR="74D09478">
        <w:rPr>
          <w:rFonts w:ascii="Verdana" w:hAnsi="Verdana" w:eastAsia="Verdana" w:cs="Verdana"/>
          <w:sz w:val="18"/>
          <w:szCs w:val="18"/>
        </w:rPr>
        <w:t xml:space="preserve"> en het opnemen van aanvullende groepen in Annex XVI. Ook mist het kabinet een proactief voorstel van de Commissie om de opstapeling van de eisen uit de MDR-IVDR en andere wetgeving (e.g. batterijenverordening) te ondervangen. Dit terwijl deze opstapeling van eisen één van de grootste uitdagingen vormt voor innovatie en efficiënte markttoelating. Het kabinet erkent dat de MDR en IVDR niet de enige wetgeving zijn waarin deze opstapeling van eisen zouden moeten worden ondervangen, en zal zich om deze reden ook proactief inzetten om dit punt te adresseren in de “</w:t>
      </w:r>
      <w:r w:rsidRPr="00262341" w:rsidR="74D09478">
        <w:rPr>
          <w:rFonts w:ascii="Verdana" w:hAnsi="Verdana" w:eastAsia="Verdana" w:cs="Verdana"/>
          <w:i/>
          <w:iCs/>
          <w:sz w:val="18"/>
          <w:szCs w:val="18"/>
        </w:rPr>
        <w:t xml:space="preserve">new </w:t>
      </w:r>
      <w:proofErr w:type="spellStart"/>
      <w:r w:rsidRPr="00262341" w:rsidR="74D09478">
        <w:rPr>
          <w:rFonts w:ascii="Verdana" w:hAnsi="Verdana" w:eastAsia="Verdana" w:cs="Verdana"/>
          <w:i/>
          <w:iCs/>
          <w:sz w:val="18"/>
          <w:szCs w:val="18"/>
        </w:rPr>
        <w:t>legislative</w:t>
      </w:r>
      <w:proofErr w:type="spellEnd"/>
      <w:r w:rsidRPr="00262341" w:rsidR="74D09478">
        <w:rPr>
          <w:rFonts w:ascii="Verdana" w:hAnsi="Verdana" w:eastAsia="Verdana" w:cs="Verdana"/>
          <w:i/>
          <w:iCs/>
          <w:sz w:val="18"/>
          <w:szCs w:val="18"/>
        </w:rPr>
        <w:t xml:space="preserve"> framework’’</w:t>
      </w:r>
      <w:r w:rsidRPr="00262341" w:rsidR="74D09478">
        <w:rPr>
          <w:rFonts w:ascii="Verdana" w:hAnsi="Verdana" w:eastAsia="Verdana" w:cs="Verdana"/>
          <w:sz w:val="18"/>
          <w:szCs w:val="18"/>
        </w:rPr>
        <w:t xml:space="preserve"> (NLF).</w:t>
      </w:r>
      <w:r w:rsidRPr="00262341" w:rsidR="74D09478">
        <w:rPr>
          <w:rFonts w:ascii="Verdana" w:hAnsi="Verdana" w:eastAsia="Verdana" w:cs="Verdana"/>
          <w:color w:val="FF0000"/>
          <w:sz w:val="18"/>
          <w:szCs w:val="18"/>
        </w:rPr>
        <w:t xml:space="preserve"> </w:t>
      </w:r>
    </w:p>
    <w:p w:rsidRPr="00E72E12" w:rsidR="00574F02" w:rsidP="00262341" w:rsidRDefault="00574F02" w14:paraId="71762E0F" w14:textId="77777777">
      <w:pPr>
        <w:spacing w:after="120" w:line="360" w:lineRule="auto"/>
        <w:rPr>
          <w:rFonts w:ascii="Verdana" w:hAnsi="Verdana" w:eastAsia="Verdana" w:cs="Verdana"/>
          <w:color w:val="FF0000"/>
          <w:sz w:val="18"/>
          <w:szCs w:val="18"/>
        </w:rPr>
      </w:pPr>
    </w:p>
    <w:p w:rsidRPr="00262341" w:rsidR="00CB7FF8" w:rsidP="00262341" w:rsidRDefault="6E0DAAEF" w14:paraId="6B1AD17E" w14:textId="77777777">
      <w:pPr>
        <w:numPr>
          <w:ilvl w:val="0"/>
          <w:numId w:val="40"/>
        </w:numPr>
        <w:spacing w:line="360" w:lineRule="auto"/>
        <w:rPr>
          <w:rFonts w:ascii="Verdana" w:hAnsi="Verdana"/>
          <w:b/>
          <w:bCs/>
          <w:color w:val="000000" w:themeColor="text1"/>
          <w:sz w:val="18"/>
          <w:szCs w:val="18"/>
        </w:rPr>
      </w:pPr>
      <w:r w:rsidRPr="00262341">
        <w:rPr>
          <w:rFonts w:ascii="Verdana" w:hAnsi="Verdana" w:eastAsia="Verdana" w:cs="Verdana"/>
          <w:b/>
          <w:bCs/>
          <w:sz w:val="18"/>
          <w:szCs w:val="18"/>
        </w:rPr>
        <w:lastRenderedPageBreak/>
        <w:t xml:space="preserve">Financiële consequenties, gevolgen voor regeldruk, concurrentiekracht en geopolitieke aspecten </w:t>
      </w:r>
    </w:p>
    <w:p w:rsidRPr="00262341" w:rsidR="00CB7FF8" w:rsidP="00262341" w:rsidRDefault="6E0DAAEF" w14:paraId="7EE3B054" w14:textId="13A713C6">
      <w:pPr>
        <w:numPr>
          <w:ilvl w:val="0"/>
          <w:numId w:val="12"/>
        </w:numPr>
        <w:spacing w:line="360" w:lineRule="auto"/>
        <w:outlineLvl w:val="0"/>
        <w:rPr>
          <w:rFonts w:ascii="Verdana" w:hAnsi="Verdana"/>
          <w:i/>
          <w:iCs/>
          <w:color w:val="000000" w:themeColor="text1"/>
          <w:sz w:val="18"/>
          <w:szCs w:val="18"/>
        </w:rPr>
      </w:pPr>
      <w:r w:rsidRPr="00262341">
        <w:rPr>
          <w:rFonts w:ascii="Verdana" w:hAnsi="Verdana" w:eastAsia="Verdana" w:cs="Verdana"/>
          <w:i/>
          <w:iCs/>
          <w:sz w:val="18"/>
          <w:szCs w:val="18"/>
        </w:rPr>
        <w:t xml:space="preserve">Consequenties EU-begroting </w:t>
      </w:r>
    </w:p>
    <w:p w:rsidRPr="00262341" w:rsidR="293496AB" w:rsidP="00262341" w:rsidRDefault="6E0DAAEF" w14:paraId="6EAB3CB0" w14:textId="527B402E">
      <w:pPr>
        <w:spacing w:line="360" w:lineRule="auto"/>
        <w:rPr>
          <w:rFonts w:ascii="Verdana" w:hAnsi="Verdana" w:eastAsia="Verdana" w:cs="Verdana"/>
          <w:sz w:val="18"/>
          <w:szCs w:val="18"/>
        </w:rPr>
      </w:pPr>
      <w:r w:rsidRPr="00262341">
        <w:rPr>
          <w:rFonts w:ascii="Verdana" w:hAnsi="Verdana" w:eastAsia="Verdana" w:cs="Verdana"/>
          <w:sz w:val="18"/>
          <w:szCs w:val="18"/>
        </w:rPr>
        <w:t>Het kabinet is van mening dat de benodigde EU-middelen gevonden dienen te worden binnen de in de Raad afgesproken financiële kaders van de EU-begroting 2021-2027 en dat deze moeten passen bij een prudente ontwikkeling van de jaarbegroting.</w:t>
      </w:r>
    </w:p>
    <w:p w:rsidRPr="00262341" w:rsidR="293496AB" w:rsidP="00262341" w:rsidRDefault="293496AB" w14:paraId="5C43EE27" w14:textId="29529B2D">
      <w:pPr>
        <w:spacing w:line="360" w:lineRule="auto"/>
        <w:rPr>
          <w:rFonts w:ascii="Verdana" w:hAnsi="Verdana" w:eastAsia="Verdana" w:cs="Verdana"/>
          <w:sz w:val="18"/>
          <w:szCs w:val="18"/>
        </w:rPr>
      </w:pPr>
    </w:p>
    <w:p w:rsidRPr="00262341" w:rsidR="293496AB" w:rsidP="00262341" w:rsidRDefault="43B7FD55" w14:paraId="53C18E84" w14:textId="38E6ED84">
      <w:pPr>
        <w:spacing w:line="360" w:lineRule="auto"/>
        <w:rPr>
          <w:rFonts w:ascii="Verdana" w:hAnsi="Verdana" w:eastAsia="Verdana" w:cs="Verdana"/>
          <w:sz w:val="18"/>
          <w:szCs w:val="18"/>
        </w:rPr>
      </w:pPr>
      <w:r w:rsidRPr="00262341">
        <w:rPr>
          <w:rFonts w:ascii="Verdana" w:hAnsi="Verdana" w:eastAsia="Verdana" w:cs="Verdana"/>
          <w:sz w:val="18"/>
          <w:szCs w:val="18"/>
        </w:rPr>
        <w:t>Het voorstel heeft budgettaire gevolgen voor de EU, met name wat betreft de extra middelen die nodig zijn om te zorgen voor de additionele voorstellen</w:t>
      </w:r>
      <w:r w:rsidRPr="00262341" w:rsidR="008E7098">
        <w:rPr>
          <w:rFonts w:ascii="Verdana" w:hAnsi="Verdana" w:eastAsia="Verdana" w:cs="Verdana"/>
          <w:sz w:val="18"/>
          <w:szCs w:val="18"/>
        </w:rPr>
        <w:t>,</w:t>
      </w:r>
      <w:r w:rsidRPr="00262341">
        <w:rPr>
          <w:rFonts w:ascii="Verdana" w:hAnsi="Verdana" w:eastAsia="Verdana" w:cs="Verdana"/>
          <w:sz w:val="18"/>
          <w:szCs w:val="18"/>
        </w:rPr>
        <w:t xml:space="preserve"> waaronder een sterker toezicht op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toegang tot externe aanvullende wetenschappelijke, technische en regelgevende expertise, en ondersteuning van de EMA. De Commissie geeft aan dat deze activiteiten ten minste gedeeltelijk kunnen worden gefinancierd door middel van vergoedingen vanuit de industrie 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w:t>
      </w:r>
    </w:p>
    <w:p w:rsidRPr="00262341" w:rsidR="293496AB" w:rsidP="00262341" w:rsidRDefault="293496AB" w14:paraId="55AF36DE" w14:textId="002C67B0">
      <w:pPr>
        <w:spacing w:line="360" w:lineRule="auto"/>
        <w:rPr>
          <w:rFonts w:ascii="Verdana" w:hAnsi="Verdana" w:eastAsia="Verdana" w:cs="Verdana"/>
          <w:sz w:val="18"/>
          <w:szCs w:val="18"/>
        </w:rPr>
      </w:pPr>
    </w:p>
    <w:p w:rsidRPr="00262341" w:rsidR="293496AB" w:rsidP="00262341" w:rsidRDefault="6E0DAAEF" w14:paraId="3B038558" w14:textId="488AA681">
      <w:pPr>
        <w:spacing w:line="360" w:lineRule="auto"/>
        <w:rPr>
          <w:rFonts w:ascii="Verdana" w:hAnsi="Verdana" w:eastAsia="Verdana" w:cs="Verdana"/>
          <w:sz w:val="18"/>
          <w:szCs w:val="18"/>
        </w:rPr>
      </w:pPr>
      <w:r w:rsidRPr="00262341">
        <w:rPr>
          <w:rFonts w:ascii="Verdana" w:hAnsi="Verdana" w:eastAsia="Verdana" w:cs="Verdana"/>
          <w:sz w:val="18"/>
          <w:szCs w:val="18"/>
        </w:rPr>
        <w:t>Andere activiteiten, met name die betrekking hebben op een betere coördinatie tussen nationale autoriteiten om de werking van de interne markt te verbeteren en de naleving voor economische actoren te vereenvoudigen, kunnen in dit stadium echter niet worden gefinancierd uit vergoedingen. Een specifieke regel voor gebruikersvergoedingen is nodig, zoals dergelijke regels bestaan in andere sectoren in de EU en andere rechtsgebieden. Volgens de Commissie zal de impact</w:t>
      </w:r>
      <w:r w:rsidRPr="00262341" w:rsidR="00511176">
        <w:rPr>
          <w:rFonts w:ascii="Verdana" w:hAnsi="Verdana" w:eastAsia="Verdana" w:cs="Verdana"/>
          <w:sz w:val="18"/>
          <w:szCs w:val="18"/>
        </w:rPr>
        <w:t xml:space="preserve"> </w:t>
      </w:r>
      <w:r w:rsidRPr="00262341">
        <w:rPr>
          <w:rFonts w:ascii="Verdana" w:hAnsi="Verdana" w:eastAsia="Verdana" w:cs="Verdana"/>
          <w:sz w:val="18"/>
          <w:szCs w:val="18"/>
        </w:rPr>
        <w:t>van de kosten van verbeterde coördinatie</w:t>
      </w:r>
      <w:r w:rsidRPr="00262341" w:rsidR="008E7098">
        <w:rPr>
          <w:rFonts w:ascii="Verdana" w:hAnsi="Verdana" w:eastAsia="Verdana" w:cs="Verdana"/>
          <w:sz w:val="18"/>
          <w:szCs w:val="18"/>
        </w:rPr>
        <w:t xml:space="preserve"> op de EU-begroting</w:t>
      </w:r>
      <w:r w:rsidRPr="00262341">
        <w:rPr>
          <w:rFonts w:ascii="Verdana" w:hAnsi="Verdana" w:eastAsia="Verdana" w:cs="Verdana"/>
          <w:sz w:val="18"/>
          <w:szCs w:val="18"/>
        </w:rPr>
        <w:t xml:space="preserve">, </w:t>
      </w:r>
      <w:r w:rsidRPr="00262341" w:rsidR="008E7098">
        <w:rPr>
          <w:rFonts w:ascii="Verdana" w:hAnsi="Verdana" w:eastAsia="Verdana" w:cs="Verdana"/>
          <w:sz w:val="18"/>
          <w:szCs w:val="18"/>
        </w:rPr>
        <w:t xml:space="preserve">er </w:t>
      </w:r>
      <w:r w:rsidRPr="00262341">
        <w:rPr>
          <w:rFonts w:ascii="Verdana" w:hAnsi="Verdana" w:eastAsia="Verdana" w:cs="Verdana"/>
          <w:sz w:val="18"/>
          <w:szCs w:val="18"/>
        </w:rPr>
        <w:t xml:space="preserve">uiteindelijk </w:t>
      </w:r>
      <w:r w:rsidRPr="00262341" w:rsidR="008E7098">
        <w:rPr>
          <w:rFonts w:ascii="Verdana" w:hAnsi="Verdana" w:eastAsia="Verdana" w:cs="Verdana"/>
          <w:sz w:val="18"/>
          <w:szCs w:val="18"/>
        </w:rPr>
        <w:t xml:space="preserve">toe leiden dat </w:t>
      </w:r>
      <w:r w:rsidRPr="00262341">
        <w:rPr>
          <w:rFonts w:ascii="Verdana" w:hAnsi="Verdana" w:eastAsia="Verdana" w:cs="Verdana"/>
          <w:sz w:val="18"/>
          <w:szCs w:val="18"/>
        </w:rPr>
        <w:t xml:space="preserve">de kosten voor economische actoren </w:t>
      </w:r>
      <w:r w:rsidRPr="00262341" w:rsidR="008E7098">
        <w:rPr>
          <w:rFonts w:ascii="Verdana" w:hAnsi="Verdana" w:eastAsia="Verdana" w:cs="Verdana"/>
          <w:sz w:val="18"/>
          <w:szCs w:val="18"/>
        </w:rPr>
        <w:t xml:space="preserve">dalen, </w:t>
      </w:r>
      <w:r w:rsidRPr="00262341">
        <w:rPr>
          <w:rFonts w:ascii="Verdana" w:hAnsi="Verdana" w:eastAsia="Verdana" w:cs="Verdana"/>
          <w:sz w:val="18"/>
          <w:szCs w:val="18"/>
        </w:rPr>
        <w:t>dankzij de voordelen die voortvloeien uit uniforme praktijken op de interne markt, gestroomlijnde procedures en een robuustere en voorspelbaardere regelgevingsinfrastructuur die het concurrentievermogen versterkt en innovatie stimuleert.</w:t>
      </w:r>
    </w:p>
    <w:p w:rsidRPr="00262341" w:rsidR="293496AB" w:rsidP="00262341" w:rsidRDefault="26DED561" w14:paraId="4CC2FB80" w14:textId="2A39951C">
      <w:pPr>
        <w:spacing w:line="360" w:lineRule="auto"/>
        <w:rPr>
          <w:rFonts w:ascii="Verdana" w:hAnsi="Verdana" w:eastAsia="Verdana" w:cs="Verdana"/>
          <w:sz w:val="18"/>
          <w:szCs w:val="18"/>
        </w:rPr>
      </w:pPr>
      <w:r w:rsidRPr="00262341">
        <w:rPr>
          <w:rFonts w:ascii="Verdana" w:hAnsi="Verdana" w:eastAsia="Verdana" w:cs="Verdana"/>
          <w:sz w:val="18"/>
          <w:szCs w:val="18"/>
        </w:rPr>
        <w:t xml:space="preserve"> </w:t>
      </w:r>
    </w:p>
    <w:p w:rsidRPr="00262341" w:rsidR="293496AB" w:rsidP="00262341" w:rsidRDefault="6E0DAAEF" w14:paraId="29D5C5FB" w14:textId="0CAD3BDB">
      <w:pPr>
        <w:spacing w:line="360" w:lineRule="auto"/>
        <w:rPr>
          <w:rFonts w:ascii="Verdana" w:hAnsi="Verdana" w:eastAsia="Verdana" w:cs="Verdana"/>
          <w:sz w:val="18"/>
          <w:szCs w:val="18"/>
        </w:rPr>
      </w:pPr>
      <w:r w:rsidRPr="00262341">
        <w:rPr>
          <w:rFonts w:ascii="Verdana" w:hAnsi="Verdana" w:eastAsia="Verdana" w:cs="Verdana"/>
          <w:sz w:val="18"/>
          <w:szCs w:val="18"/>
        </w:rPr>
        <w:t xml:space="preserve">De indicatieve totale budgettaire impact van het voorstel bedraagt €63 miljoen voor de periode van 2028-2034. Dit bedrag dekt ook de verhoging van de EU-bijdrage aan het EMA van €33 miljoen als gevolg van de hogere kosten die dit voorstel met zich meebrengt voor het EMA. </w:t>
      </w:r>
    </w:p>
    <w:p w:rsidRPr="00262341" w:rsidR="293496AB" w:rsidP="00262341" w:rsidRDefault="6E0DAAEF" w14:paraId="120A3354" w14:textId="7443F420">
      <w:pPr>
        <w:spacing w:line="360" w:lineRule="auto"/>
        <w:rPr>
          <w:rFonts w:ascii="Verdana" w:hAnsi="Verdana" w:eastAsia="Verdana" w:cs="Verdana"/>
          <w:sz w:val="18"/>
          <w:szCs w:val="18"/>
        </w:rPr>
      </w:pPr>
      <w:r w:rsidRPr="00262341">
        <w:rPr>
          <w:rFonts w:ascii="Verdana" w:hAnsi="Verdana" w:eastAsia="Verdana" w:cs="Verdana"/>
          <w:sz w:val="18"/>
          <w:szCs w:val="18"/>
          <w:lang w:val="nl"/>
        </w:rPr>
        <w:t xml:space="preserve">Het initiatief zal volledig worden gefinancierd door herverdeling van middelen uit programma's onder het meerjarig financieel kader 2028-2034. </w:t>
      </w:r>
      <w:r w:rsidRPr="00262341">
        <w:rPr>
          <w:rFonts w:ascii="Verdana" w:hAnsi="Verdana" w:eastAsia="Verdana" w:cs="Verdana"/>
          <w:sz w:val="18"/>
          <w:szCs w:val="18"/>
        </w:rPr>
        <w:t xml:space="preserve">Het kabinet wil niet </w:t>
      </w:r>
      <w:r w:rsidRPr="00262341" w:rsidR="008E7098">
        <w:rPr>
          <w:rFonts w:ascii="Verdana" w:hAnsi="Verdana" w:eastAsia="Verdana" w:cs="Verdana"/>
          <w:sz w:val="18"/>
          <w:szCs w:val="18"/>
        </w:rPr>
        <w:t>vooruitlopen</w:t>
      </w:r>
      <w:r w:rsidRPr="00262341">
        <w:rPr>
          <w:rFonts w:ascii="Verdana" w:hAnsi="Verdana" w:eastAsia="Verdana" w:cs="Verdana"/>
          <w:sz w:val="18"/>
          <w:szCs w:val="18"/>
        </w:rPr>
        <w:t xml:space="preserve"> op de integrale afweging van middelen na 2027.</w:t>
      </w:r>
    </w:p>
    <w:p w:rsidRPr="00262341" w:rsidR="293496AB" w:rsidP="00262341" w:rsidRDefault="293496AB" w14:paraId="6E32E485" w14:textId="3E1BC59E">
      <w:pPr>
        <w:spacing w:line="360" w:lineRule="auto"/>
        <w:outlineLvl w:val="0"/>
        <w:rPr>
          <w:rFonts w:ascii="Verdana" w:hAnsi="Verdana" w:eastAsia="Verdana" w:cs="Verdana"/>
          <w:sz w:val="18"/>
          <w:szCs w:val="18"/>
        </w:rPr>
      </w:pPr>
    </w:p>
    <w:p w:rsidRPr="00262341" w:rsidR="293496AB" w:rsidP="00262341" w:rsidRDefault="00FF5459" w14:paraId="746865BB" w14:textId="62698E2B">
      <w:pPr>
        <w:spacing w:line="360" w:lineRule="auto"/>
        <w:rPr>
          <w:rFonts w:ascii="Verdana" w:hAnsi="Verdana" w:eastAsia="Verdana" w:cs="Verdana"/>
          <w:sz w:val="18"/>
          <w:szCs w:val="18"/>
        </w:rPr>
      </w:pPr>
      <w:r w:rsidRPr="00262341">
        <w:rPr>
          <w:rFonts w:ascii="Verdana" w:hAnsi="Verdana" w:eastAsia="Verdana" w:cs="Verdana"/>
          <w:sz w:val="18"/>
          <w:szCs w:val="18"/>
        </w:rPr>
        <w:t xml:space="preserve">De Commissie geeft aan </w:t>
      </w:r>
      <w:r w:rsidRPr="00262341" w:rsidR="154B6599">
        <w:rPr>
          <w:rFonts w:ascii="Verdana" w:hAnsi="Verdana" w:eastAsia="Verdana" w:cs="Verdana"/>
          <w:sz w:val="18"/>
          <w:szCs w:val="18"/>
        </w:rPr>
        <w:t>13 extra fte nodig te hebben o</w:t>
      </w:r>
      <w:r w:rsidRPr="00262341" w:rsidR="154B6599">
        <w:rPr>
          <w:rFonts w:ascii="Verdana" w:hAnsi="Verdana" w:eastAsia="Verdana" w:cs="Verdana"/>
          <w:sz w:val="18"/>
          <w:szCs w:val="18"/>
          <w:lang w:val="nl"/>
        </w:rPr>
        <w:t>m gezamenlijke beoordelingen van notified bodies, gezamenlijke monitoringactiviteiten en verbeterde coördinatie-inspanningen te ondersteunen. Daarbij geeft zij aan dat een extra 12 fte nodig is om de implementatie rond strenger EU-toezicht op notified bodies en andere relevante regelgevende activiteiten te waarborgen. Bij het aantal fte en bijgaande kosten stelt het kabinet vraagtekens bij de nood hiervan</w:t>
      </w:r>
      <w:r w:rsidRPr="00262341" w:rsidR="008E7098">
        <w:rPr>
          <w:rFonts w:ascii="Verdana" w:hAnsi="Verdana" w:eastAsia="Verdana" w:cs="Verdana"/>
          <w:sz w:val="18"/>
          <w:szCs w:val="18"/>
          <w:lang w:val="nl"/>
        </w:rPr>
        <w:t>,</w:t>
      </w:r>
      <w:r w:rsidRPr="00262341" w:rsidR="154B6599">
        <w:rPr>
          <w:rFonts w:ascii="Verdana" w:hAnsi="Verdana" w:eastAsia="Verdana" w:cs="Verdana"/>
          <w:sz w:val="18"/>
          <w:szCs w:val="18"/>
          <w:lang w:val="nl"/>
        </w:rPr>
        <w:t xml:space="preserve"> gezien de financiële gevolgen groter zijn dan noodzakelijk om de Verdragsdoelstellingen te verwezenlijken</w:t>
      </w:r>
      <w:r w:rsidRPr="00262341" w:rsidR="5E8C48B2">
        <w:rPr>
          <w:rFonts w:ascii="Verdana" w:hAnsi="Verdana" w:eastAsia="Verdana" w:cs="Verdana"/>
          <w:sz w:val="18"/>
          <w:szCs w:val="18"/>
          <w:lang w:val="nl"/>
        </w:rPr>
        <w:t xml:space="preserve">. </w:t>
      </w:r>
    </w:p>
    <w:p w:rsidRPr="00262341" w:rsidR="293496AB" w:rsidP="00262341" w:rsidRDefault="293496AB" w14:paraId="4B253470" w14:textId="0B09DC9B">
      <w:pPr>
        <w:spacing w:line="360" w:lineRule="auto"/>
        <w:rPr>
          <w:rFonts w:ascii="Verdana" w:hAnsi="Verdana" w:eastAsia="Verdana" w:cs="Verdana"/>
          <w:sz w:val="18"/>
          <w:szCs w:val="18"/>
          <w:lang w:val="nl"/>
        </w:rPr>
      </w:pPr>
    </w:p>
    <w:p w:rsidRPr="00262341" w:rsidR="293496AB" w:rsidP="00262341" w:rsidRDefault="26DED561" w14:paraId="1A51BC0A" w14:textId="6B75F9A2">
      <w:pPr>
        <w:spacing w:line="360" w:lineRule="auto"/>
        <w:rPr>
          <w:rFonts w:ascii="Verdana" w:hAnsi="Verdana" w:eastAsia="Verdana" w:cs="Verdana"/>
          <w:sz w:val="18"/>
          <w:szCs w:val="18"/>
        </w:rPr>
      </w:pPr>
      <w:r w:rsidRPr="00262341">
        <w:rPr>
          <w:rFonts w:ascii="Verdana" w:hAnsi="Verdana" w:eastAsia="Verdana" w:cs="Verdana"/>
          <w:sz w:val="18"/>
          <w:szCs w:val="18"/>
          <w:lang w:val="nl"/>
        </w:rPr>
        <w:t xml:space="preserve">Voor de additionele taken die de </w:t>
      </w:r>
      <w:r w:rsidRPr="00262341" w:rsidR="3518C77A">
        <w:rPr>
          <w:rFonts w:ascii="Verdana" w:hAnsi="Verdana" w:eastAsia="Verdana" w:cs="Verdana"/>
          <w:sz w:val="18"/>
          <w:szCs w:val="18"/>
          <w:lang w:val="nl"/>
        </w:rPr>
        <w:t>Commissie</w:t>
      </w:r>
      <w:r w:rsidRPr="00262341">
        <w:rPr>
          <w:rFonts w:ascii="Verdana" w:hAnsi="Verdana" w:eastAsia="Verdana" w:cs="Verdana"/>
          <w:sz w:val="18"/>
          <w:szCs w:val="18"/>
          <w:lang w:val="nl"/>
        </w:rPr>
        <w:t xml:space="preserve"> bij de EMA wil beleggen, zoals h</w:t>
      </w:r>
      <w:r w:rsidRPr="00262341">
        <w:rPr>
          <w:rFonts w:ascii="Verdana" w:hAnsi="Verdana" w:eastAsia="Verdana" w:cs="Verdana"/>
          <w:sz w:val="18"/>
          <w:szCs w:val="18"/>
        </w:rPr>
        <w:t xml:space="preserve">et beheren van een toenemend aantal expertpanels en nieuwe verantwoordelijkheden rond tekorten en </w:t>
      </w:r>
      <w:r w:rsidRPr="00262341">
        <w:rPr>
          <w:rFonts w:ascii="Verdana" w:hAnsi="Verdana" w:eastAsia="Verdana" w:cs="Verdana"/>
          <w:sz w:val="18"/>
          <w:szCs w:val="18"/>
        </w:rPr>
        <w:lastRenderedPageBreak/>
        <w:t xml:space="preserve">beschikbaarheid, geeft het voorstel een additionele 24 fte aan. </w:t>
      </w:r>
      <w:r w:rsidRPr="00262341" w:rsidR="43559894">
        <w:rPr>
          <w:rFonts w:ascii="Verdana" w:hAnsi="Verdana" w:eastAsia="Verdana" w:cs="Verdana"/>
          <w:sz w:val="18"/>
          <w:szCs w:val="18"/>
        </w:rPr>
        <w:t xml:space="preserve">Alle extra benodigde fte zijn onderdeel van de totale indicatieve budgettaire impact van €63 </w:t>
      </w:r>
      <w:r w:rsidRPr="00262341" w:rsidR="4EB992F4">
        <w:rPr>
          <w:rFonts w:ascii="Verdana" w:hAnsi="Verdana" w:eastAsia="Verdana" w:cs="Verdana"/>
          <w:sz w:val="18"/>
          <w:szCs w:val="18"/>
        </w:rPr>
        <w:t>miljoen.</w:t>
      </w:r>
    </w:p>
    <w:p w:rsidRPr="00262341" w:rsidR="293496AB" w:rsidP="00262341" w:rsidRDefault="154B6599" w14:paraId="292A4394" w14:textId="42074E7D">
      <w:pPr>
        <w:spacing w:line="360" w:lineRule="auto"/>
        <w:rPr>
          <w:rFonts w:ascii="Verdana" w:hAnsi="Verdana" w:eastAsia="Verdana" w:cs="Verdana"/>
          <w:sz w:val="18"/>
          <w:szCs w:val="18"/>
        </w:rPr>
      </w:pPr>
      <w:r w:rsidRPr="00262341">
        <w:rPr>
          <w:rFonts w:ascii="Verdana" w:hAnsi="Verdana" w:eastAsia="Verdana" w:cs="Verdana"/>
          <w:sz w:val="18"/>
          <w:szCs w:val="18"/>
        </w:rPr>
        <w:t xml:space="preserve">De ontwikkeling van de administratieve uitgaven moet in lijn zijn met de ER-conclusies van juli 2020 over het MFK-akkoord. Het kabinet is kritisch over de stijging van het aantal werknemers. Wel acht het kabinet het belangrijk dat voldoende expertise over medische hulpmiddelen geborgd wordt bij </w:t>
      </w:r>
      <w:r w:rsidRPr="00262341" w:rsidR="003E1AEF">
        <w:rPr>
          <w:rFonts w:ascii="Verdana" w:hAnsi="Verdana" w:eastAsia="Verdana" w:cs="Verdana"/>
          <w:sz w:val="18"/>
          <w:szCs w:val="18"/>
        </w:rPr>
        <w:t>het</w:t>
      </w:r>
      <w:r w:rsidRPr="00262341" w:rsidR="00CB03C7">
        <w:rPr>
          <w:rFonts w:ascii="Verdana" w:hAnsi="Verdana" w:eastAsia="Verdana" w:cs="Verdana"/>
          <w:sz w:val="18"/>
          <w:szCs w:val="18"/>
        </w:rPr>
        <w:t xml:space="preserve"> </w:t>
      </w:r>
      <w:r w:rsidRPr="00262341">
        <w:rPr>
          <w:rFonts w:ascii="Verdana" w:hAnsi="Verdana" w:eastAsia="Verdana" w:cs="Verdana"/>
          <w:sz w:val="18"/>
          <w:szCs w:val="18"/>
        </w:rPr>
        <w:t xml:space="preserve">EMA. </w:t>
      </w:r>
    </w:p>
    <w:p w:rsidRPr="00262341" w:rsidR="293496AB" w:rsidP="00262341" w:rsidRDefault="293496AB" w14:paraId="7DA2E5B9" w14:textId="30ACC93E">
      <w:pPr>
        <w:spacing w:line="360" w:lineRule="auto"/>
        <w:rPr>
          <w:rFonts w:ascii="Verdana" w:hAnsi="Verdana" w:eastAsia="Verdana" w:cs="Verdana"/>
          <w:sz w:val="18"/>
          <w:szCs w:val="18"/>
        </w:rPr>
      </w:pPr>
    </w:p>
    <w:p w:rsidRPr="00262341" w:rsidR="00CB7FF8" w:rsidP="00262341" w:rsidRDefault="0BB81D5C" w14:paraId="7FF07388" w14:textId="696459EB">
      <w:pPr>
        <w:numPr>
          <w:ilvl w:val="0"/>
          <w:numId w:val="12"/>
        </w:numPr>
        <w:spacing w:line="360" w:lineRule="auto"/>
        <w:outlineLvl w:val="0"/>
        <w:rPr>
          <w:rFonts w:ascii="Verdana" w:hAnsi="Verdana"/>
          <w:i/>
          <w:iCs/>
          <w:color w:val="000000" w:themeColor="text1"/>
          <w:sz w:val="18"/>
          <w:szCs w:val="18"/>
        </w:rPr>
      </w:pPr>
      <w:r w:rsidRPr="00262341">
        <w:rPr>
          <w:rFonts w:ascii="Verdana" w:hAnsi="Verdana" w:eastAsia="Verdana" w:cs="Verdana"/>
          <w:i/>
          <w:iCs/>
          <w:sz w:val="18"/>
          <w:szCs w:val="18"/>
        </w:rPr>
        <w:t>Financiële consequenties (incl. personele) voor rijksoverheid en/ of medeoverheden</w:t>
      </w:r>
    </w:p>
    <w:p w:rsidRPr="00262341" w:rsidR="1C640F8E" w:rsidP="00262341" w:rsidRDefault="1C640F8E" w14:paraId="78914D7D" w14:textId="1B9DEF59">
      <w:pPr>
        <w:spacing w:line="360" w:lineRule="auto"/>
        <w:rPr>
          <w:rFonts w:ascii="Verdana" w:hAnsi="Verdana"/>
          <w:sz w:val="18"/>
          <w:szCs w:val="18"/>
        </w:rPr>
      </w:pPr>
      <w:r w:rsidRPr="00262341">
        <w:rPr>
          <w:rFonts w:ascii="Verdana" w:hAnsi="Verdana" w:eastAsia="Verdana" w:cs="Verdana"/>
          <w:color w:val="000000" w:themeColor="text1"/>
          <w:sz w:val="18"/>
          <w:szCs w:val="18"/>
        </w:rPr>
        <w:t>Eventuele budgettaire gevolgen voor de Rijksbegroting worden ingepast op de</w:t>
      </w:r>
    </w:p>
    <w:p w:rsidRPr="00262341" w:rsidR="1C640F8E" w:rsidP="00262341" w:rsidRDefault="1C640F8E" w14:paraId="35CFE020" w14:textId="62604982">
      <w:pPr>
        <w:spacing w:line="360" w:lineRule="auto"/>
        <w:rPr>
          <w:rFonts w:ascii="Verdana" w:hAnsi="Verdana"/>
          <w:sz w:val="18"/>
          <w:szCs w:val="18"/>
        </w:rPr>
      </w:pPr>
      <w:r w:rsidRPr="00262341">
        <w:rPr>
          <w:rFonts w:ascii="Verdana" w:hAnsi="Verdana" w:eastAsia="Verdana" w:cs="Verdana"/>
          <w:color w:val="000000" w:themeColor="text1"/>
          <w:sz w:val="18"/>
          <w:szCs w:val="18"/>
        </w:rPr>
        <w:t>begroting van het beleidsverantwoordelijke departement, conform de regels van de budgetdiscipline. Eventuele tegenvallers op de EU-afdrachten die volgen uit de MFK onderhandelingen dienen gedekt te worden op de Rijksbegroting</w:t>
      </w:r>
      <w:r w:rsidRPr="00262341" w:rsidR="4E555724">
        <w:rPr>
          <w:rFonts w:ascii="Verdana" w:hAnsi="Verdana" w:eastAsia="Verdana" w:cs="Verdana"/>
          <w:color w:val="000000" w:themeColor="text1"/>
          <w:sz w:val="18"/>
          <w:szCs w:val="18"/>
        </w:rPr>
        <w:t xml:space="preserve">. </w:t>
      </w:r>
    </w:p>
    <w:p w:rsidRPr="00262341" w:rsidR="1C640F8E" w:rsidP="00262341" w:rsidRDefault="1C640F8E" w14:paraId="2A19A6D1" w14:textId="6C316FA8">
      <w:pPr>
        <w:spacing w:line="360" w:lineRule="auto"/>
        <w:outlineLvl w:val="0"/>
        <w:rPr>
          <w:rFonts w:ascii="Verdana" w:hAnsi="Verdana" w:eastAsia="Verdana" w:cs="Verdana"/>
          <w:i/>
          <w:iCs/>
          <w:sz w:val="18"/>
          <w:szCs w:val="18"/>
        </w:rPr>
      </w:pPr>
    </w:p>
    <w:p w:rsidR="0BDE8709" w:rsidP="00262341" w:rsidRDefault="2D5F0D09" w14:paraId="474A363D" w14:textId="154A1F2A">
      <w:pPr>
        <w:spacing w:line="360" w:lineRule="auto"/>
        <w:rPr>
          <w:rFonts w:ascii="Verdana" w:hAnsi="Verdana" w:eastAsia="Verdana" w:cs="Verdana"/>
          <w:color w:val="000000" w:themeColor="text1"/>
          <w:sz w:val="18"/>
          <w:szCs w:val="18"/>
        </w:rPr>
      </w:pPr>
      <w:r w:rsidRPr="00262341">
        <w:rPr>
          <w:rFonts w:ascii="Verdana" w:hAnsi="Verdana" w:eastAsia="Verdana" w:cs="Verdana"/>
          <w:color w:val="000000" w:themeColor="text1"/>
          <w:sz w:val="18"/>
          <w:szCs w:val="18"/>
        </w:rPr>
        <w:t xml:space="preserve">Een aantal voorstellen van de Commissie kunnen financiële gevolgen hebben voor de Inspectie Gezondheidszorg en Jeugd (hierna: IGJ) en de Centrale Commissie </w:t>
      </w:r>
      <w:proofErr w:type="spellStart"/>
      <w:r w:rsidRPr="00262341">
        <w:rPr>
          <w:rFonts w:ascii="Verdana" w:hAnsi="Verdana" w:eastAsia="Verdana" w:cs="Verdana"/>
          <w:color w:val="000000" w:themeColor="text1"/>
          <w:sz w:val="18"/>
          <w:szCs w:val="18"/>
        </w:rPr>
        <w:t>Mensgebonden</w:t>
      </w:r>
      <w:proofErr w:type="spellEnd"/>
      <w:r w:rsidRPr="00262341">
        <w:rPr>
          <w:rFonts w:ascii="Verdana" w:hAnsi="Verdana" w:eastAsia="Verdana" w:cs="Verdana"/>
          <w:color w:val="000000" w:themeColor="text1"/>
          <w:sz w:val="18"/>
          <w:szCs w:val="18"/>
        </w:rPr>
        <w:t xml:space="preserve"> Onderzoek (hierna: CCMO). De precieze financiële en personele consequenties zijn afhankelijk van uitwerking van het voorstel. Het betreft onder andere de voorstellen rondom aanwijzing van </w:t>
      </w:r>
      <w:proofErr w:type="spellStart"/>
      <w:r w:rsidRPr="00262341">
        <w:rPr>
          <w:rFonts w:ascii="Verdana" w:hAnsi="Verdana" w:eastAsia="Verdana" w:cs="Verdana"/>
          <w:i/>
          <w:color w:val="000000" w:themeColor="text1"/>
          <w:sz w:val="18"/>
          <w:szCs w:val="18"/>
        </w:rPr>
        <w:t>notified</w:t>
      </w:r>
      <w:proofErr w:type="spellEnd"/>
      <w:r w:rsidRPr="00262341">
        <w:rPr>
          <w:rFonts w:ascii="Verdana" w:hAnsi="Verdana" w:eastAsia="Verdana" w:cs="Verdana"/>
          <w:i/>
          <w:color w:val="000000" w:themeColor="text1"/>
          <w:sz w:val="18"/>
          <w:szCs w:val="18"/>
        </w:rPr>
        <w:t xml:space="preserve"> </w:t>
      </w:r>
      <w:proofErr w:type="spellStart"/>
      <w:r w:rsidRPr="00262341">
        <w:rPr>
          <w:rFonts w:ascii="Verdana" w:hAnsi="Verdana" w:eastAsia="Verdana" w:cs="Verdana"/>
          <w:i/>
          <w:color w:val="000000" w:themeColor="text1"/>
          <w:sz w:val="18"/>
          <w:szCs w:val="18"/>
        </w:rPr>
        <w:t>bodies</w:t>
      </w:r>
      <w:proofErr w:type="spellEnd"/>
      <w:r w:rsidRPr="00262341">
        <w:rPr>
          <w:rFonts w:ascii="Verdana" w:hAnsi="Verdana" w:eastAsia="Verdana" w:cs="Verdana"/>
          <w:color w:val="000000" w:themeColor="text1"/>
          <w:sz w:val="18"/>
          <w:szCs w:val="18"/>
        </w:rPr>
        <w:t xml:space="preserve"> en het voorstel rondom beslechting van geschillen tussen fabrikanten en </w:t>
      </w:r>
      <w:proofErr w:type="spellStart"/>
      <w:r w:rsidRPr="00262341">
        <w:rPr>
          <w:rFonts w:ascii="Verdana" w:hAnsi="Verdana" w:eastAsia="Verdana" w:cs="Verdana"/>
          <w:i/>
          <w:color w:val="000000" w:themeColor="text1"/>
          <w:sz w:val="18"/>
          <w:szCs w:val="18"/>
        </w:rPr>
        <w:t>notified</w:t>
      </w:r>
      <w:proofErr w:type="spellEnd"/>
      <w:r w:rsidRPr="00262341">
        <w:rPr>
          <w:rFonts w:ascii="Verdana" w:hAnsi="Verdana" w:eastAsia="Verdana" w:cs="Verdana"/>
          <w:i/>
          <w:color w:val="000000" w:themeColor="text1"/>
          <w:sz w:val="18"/>
          <w:szCs w:val="18"/>
        </w:rPr>
        <w:t xml:space="preserve"> </w:t>
      </w:r>
      <w:proofErr w:type="spellStart"/>
      <w:r w:rsidRPr="00262341">
        <w:rPr>
          <w:rFonts w:ascii="Verdana" w:hAnsi="Verdana" w:eastAsia="Verdana" w:cs="Verdana"/>
          <w:i/>
          <w:color w:val="000000" w:themeColor="text1"/>
          <w:sz w:val="18"/>
          <w:szCs w:val="18"/>
        </w:rPr>
        <w:t>bodies</w:t>
      </w:r>
      <w:proofErr w:type="spellEnd"/>
      <w:r w:rsidRPr="00262341">
        <w:rPr>
          <w:rFonts w:ascii="Verdana" w:hAnsi="Verdana" w:eastAsia="Verdana" w:cs="Verdana"/>
          <w:color w:val="000000" w:themeColor="text1"/>
          <w:sz w:val="18"/>
          <w:szCs w:val="18"/>
        </w:rPr>
        <w:t xml:space="preserve">. Dit zal gezien het aantal en de grootte van de Nederlandse </w:t>
      </w:r>
      <w:proofErr w:type="spellStart"/>
      <w:r w:rsidRPr="00262341">
        <w:rPr>
          <w:rFonts w:ascii="Verdana" w:hAnsi="Verdana" w:eastAsia="Verdana" w:cs="Verdana"/>
          <w:i/>
          <w:color w:val="000000" w:themeColor="text1"/>
          <w:sz w:val="18"/>
          <w:szCs w:val="18"/>
        </w:rPr>
        <w:t>notified</w:t>
      </w:r>
      <w:proofErr w:type="spellEnd"/>
      <w:r w:rsidRPr="00262341">
        <w:rPr>
          <w:rFonts w:ascii="Verdana" w:hAnsi="Verdana" w:eastAsia="Verdana" w:cs="Verdana"/>
          <w:i/>
          <w:color w:val="000000" w:themeColor="text1"/>
          <w:sz w:val="18"/>
          <w:szCs w:val="18"/>
        </w:rPr>
        <w:t xml:space="preserve"> </w:t>
      </w:r>
      <w:proofErr w:type="spellStart"/>
      <w:r w:rsidRPr="00262341">
        <w:rPr>
          <w:rFonts w:ascii="Verdana" w:hAnsi="Verdana" w:eastAsia="Verdana" w:cs="Verdana"/>
          <w:i/>
          <w:color w:val="000000" w:themeColor="text1"/>
          <w:sz w:val="18"/>
          <w:szCs w:val="18"/>
        </w:rPr>
        <w:t>bodies</w:t>
      </w:r>
      <w:proofErr w:type="spellEnd"/>
      <w:r w:rsidRPr="00262341">
        <w:rPr>
          <w:rFonts w:ascii="Verdana" w:hAnsi="Verdana" w:eastAsia="Verdana" w:cs="Verdana"/>
          <w:color w:val="000000" w:themeColor="text1"/>
          <w:sz w:val="18"/>
          <w:szCs w:val="18"/>
        </w:rPr>
        <w:t xml:space="preserve"> aanzienlijke additionele middelen en capaciteit vergen van de IGJ</w:t>
      </w:r>
      <w:r w:rsidRPr="00262341" w:rsidR="008E7098">
        <w:rPr>
          <w:rFonts w:ascii="Verdana" w:hAnsi="Verdana" w:eastAsia="Verdana" w:cs="Verdana"/>
          <w:color w:val="000000" w:themeColor="text1"/>
          <w:sz w:val="18"/>
          <w:szCs w:val="18"/>
        </w:rPr>
        <w:t>. Ook gelet op het feit dat</w:t>
      </w:r>
      <w:r w:rsidRPr="00262341">
        <w:rPr>
          <w:rFonts w:ascii="Verdana" w:hAnsi="Verdana" w:eastAsia="Verdana" w:cs="Verdana"/>
          <w:color w:val="000000" w:themeColor="text1"/>
          <w:sz w:val="18"/>
          <w:szCs w:val="18"/>
        </w:rPr>
        <w:t xml:space="preserve"> </w:t>
      </w:r>
      <w:r w:rsidRPr="00262341" w:rsidR="008E7098">
        <w:rPr>
          <w:rFonts w:ascii="Verdana" w:hAnsi="Verdana" w:eastAsia="Verdana" w:cs="Verdana"/>
          <w:color w:val="000000" w:themeColor="text1"/>
          <w:sz w:val="18"/>
          <w:szCs w:val="18"/>
        </w:rPr>
        <w:t xml:space="preserve">deze </w:t>
      </w:r>
      <w:proofErr w:type="spellStart"/>
      <w:r w:rsidRPr="00262341">
        <w:rPr>
          <w:rFonts w:ascii="Verdana" w:hAnsi="Verdana" w:eastAsia="Verdana" w:cs="Verdana"/>
          <w:i/>
          <w:color w:val="000000" w:themeColor="text1"/>
          <w:sz w:val="18"/>
          <w:szCs w:val="18"/>
        </w:rPr>
        <w:t>notified</w:t>
      </w:r>
      <w:proofErr w:type="spellEnd"/>
      <w:r w:rsidRPr="00262341">
        <w:rPr>
          <w:rFonts w:ascii="Verdana" w:hAnsi="Verdana" w:eastAsia="Verdana" w:cs="Verdana"/>
          <w:i/>
          <w:color w:val="000000" w:themeColor="text1"/>
          <w:sz w:val="18"/>
          <w:szCs w:val="18"/>
        </w:rPr>
        <w:t xml:space="preserve"> </w:t>
      </w:r>
      <w:proofErr w:type="spellStart"/>
      <w:r w:rsidRPr="00262341">
        <w:rPr>
          <w:rFonts w:ascii="Verdana" w:hAnsi="Verdana" w:eastAsia="Verdana" w:cs="Verdana"/>
          <w:i/>
          <w:color w:val="000000" w:themeColor="text1"/>
          <w:sz w:val="18"/>
          <w:szCs w:val="18"/>
        </w:rPr>
        <w:t>bodies</w:t>
      </w:r>
      <w:proofErr w:type="spellEnd"/>
      <w:r w:rsidRPr="00262341">
        <w:rPr>
          <w:rFonts w:ascii="Verdana" w:hAnsi="Verdana" w:eastAsia="Verdana" w:cs="Verdana"/>
          <w:color w:val="000000" w:themeColor="text1"/>
          <w:sz w:val="18"/>
          <w:szCs w:val="18"/>
        </w:rPr>
        <w:t xml:space="preserve"> een aanzienlijk aandeel van de EU-certificaten uitbrengen. </w:t>
      </w:r>
    </w:p>
    <w:p w:rsidRPr="00262341" w:rsidR="004B4D9A" w:rsidP="00262341" w:rsidRDefault="004B4D9A" w14:paraId="7BB7AAE8" w14:textId="77777777">
      <w:pPr>
        <w:spacing w:line="360" w:lineRule="auto"/>
        <w:rPr>
          <w:rFonts w:ascii="Verdana" w:hAnsi="Verdana"/>
          <w:sz w:val="18"/>
          <w:szCs w:val="18"/>
        </w:rPr>
      </w:pPr>
    </w:p>
    <w:p w:rsidR="0BDE8709" w:rsidP="00262341" w:rsidRDefault="0BDE8709" w14:paraId="51503180" w14:textId="0D4D6887">
      <w:pPr>
        <w:spacing w:line="360" w:lineRule="auto"/>
        <w:rPr>
          <w:rFonts w:ascii="Verdana" w:hAnsi="Verdana" w:eastAsia="Verdana" w:cs="Verdana"/>
          <w:color w:val="000000" w:themeColor="text1"/>
          <w:sz w:val="18"/>
          <w:szCs w:val="18"/>
        </w:rPr>
      </w:pPr>
      <w:r w:rsidRPr="00262341">
        <w:rPr>
          <w:rFonts w:ascii="Verdana" w:hAnsi="Verdana" w:eastAsia="Verdana" w:cs="Verdana"/>
          <w:color w:val="000000" w:themeColor="text1"/>
          <w:sz w:val="18"/>
          <w:szCs w:val="18"/>
        </w:rPr>
        <w:t xml:space="preserve">Het voorstel voor aanvullende organisatie-eisen aan nationale competente autoriteiten en het includeren van cybersecurity meldingen in EUDAMED zal mogelijk ook leiden tot financiële en personele consequenties voor de IGJ. </w:t>
      </w:r>
    </w:p>
    <w:p w:rsidRPr="00262341" w:rsidR="004B4D9A" w:rsidP="00262341" w:rsidRDefault="004B4D9A" w14:paraId="23791E1B" w14:textId="77777777">
      <w:pPr>
        <w:spacing w:line="360" w:lineRule="auto"/>
        <w:rPr>
          <w:rFonts w:ascii="Verdana" w:hAnsi="Verdana"/>
          <w:sz w:val="18"/>
          <w:szCs w:val="18"/>
        </w:rPr>
      </w:pPr>
    </w:p>
    <w:p w:rsidRPr="00262341" w:rsidR="0BDE8709" w:rsidP="00262341" w:rsidRDefault="0BDE8709" w14:paraId="17ABE702" w14:textId="4C88D7F5">
      <w:pPr>
        <w:spacing w:line="360" w:lineRule="auto"/>
        <w:rPr>
          <w:rFonts w:ascii="Verdana" w:hAnsi="Verdana"/>
          <w:sz w:val="18"/>
          <w:szCs w:val="18"/>
        </w:rPr>
      </w:pPr>
      <w:r w:rsidRPr="00262341">
        <w:rPr>
          <w:rFonts w:ascii="Verdana" w:hAnsi="Verdana" w:eastAsia="Verdana" w:cs="Verdana"/>
          <w:color w:val="000000" w:themeColor="text1"/>
          <w:sz w:val="18"/>
          <w:szCs w:val="18"/>
        </w:rPr>
        <w:t>Gezien de verschuivingen in de kaders van klinisch onderzoek en de daarmee gepaard gaande taakverzwaring inclusief de toenemende afstemming binnen de EU verwacht de CCMO één FTE meer nodig te hebben om haar taken uit te kunnen voeren</w:t>
      </w:r>
      <w:r w:rsidRPr="00262341" w:rsidR="00C3B6BF">
        <w:rPr>
          <w:rFonts w:ascii="Verdana" w:hAnsi="Verdana" w:eastAsia="Verdana" w:cs="Verdana"/>
          <w:color w:val="000000" w:themeColor="text1"/>
          <w:sz w:val="18"/>
          <w:szCs w:val="18"/>
        </w:rPr>
        <w:t>.</w:t>
      </w:r>
    </w:p>
    <w:p w:rsidRPr="00262341" w:rsidR="00853650" w:rsidP="00262341" w:rsidRDefault="00853650" w14:paraId="6B52CBBA" w14:textId="13734A59">
      <w:pPr>
        <w:spacing w:line="360" w:lineRule="auto"/>
        <w:outlineLvl w:val="0"/>
        <w:rPr>
          <w:rFonts w:ascii="Verdana" w:hAnsi="Verdana" w:eastAsia="Verdana" w:cs="Verdana"/>
          <w:i/>
          <w:iCs/>
          <w:sz w:val="18"/>
          <w:szCs w:val="18"/>
        </w:rPr>
      </w:pPr>
    </w:p>
    <w:p w:rsidRPr="00262341" w:rsidR="00CB7FF8" w:rsidP="00262341" w:rsidRDefault="26DED561" w14:paraId="468D33B3" w14:textId="1B95F2EB">
      <w:pPr>
        <w:numPr>
          <w:ilvl w:val="0"/>
          <w:numId w:val="12"/>
        </w:numPr>
        <w:spacing w:line="360" w:lineRule="auto"/>
        <w:rPr>
          <w:rFonts w:ascii="Verdana" w:hAnsi="Verdana"/>
          <w:i/>
          <w:iCs/>
          <w:color w:val="000000" w:themeColor="text1"/>
          <w:sz w:val="18"/>
          <w:szCs w:val="18"/>
        </w:rPr>
      </w:pPr>
      <w:r w:rsidRPr="00262341">
        <w:rPr>
          <w:rFonts w:ascii="Verdana" w:hAnsi="Verdana" w:eastAsia="Verdana" w:cs="Verdana"/>
          <w:i/>
          <w:iCs/>
          <w:sz w:val="18"/>
          <w:szCs w:val="18"/>
        </w:rPr>
        <w:t>Financiële consequenties en gevolgen voor regeldruk voor bedrijfsleven en burger</w:t>
      </w:r>
    </w:p>
    <w:p w:rsidR="293496AB" w:rsidP="00262341" w:rsidRDefault="43B7FD55" w14:paraId="76D3D306" w14:textId="1A14CB28">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voorstel beoogt een positieve bijdrage te leveren aan de Europese fabricage van medische hulpmiddelen door vereenvoudiging van eisen en heeft geen financiële of gevolgen voor de regeldruk van burgers. Het doel van het voorstel is een afname van de regeldruk voor economische operatoren </w:t>
      </w:r>
      <w:r w:rsidRPr="00262341" w:rsidR="00BF06B7">
        <w:rPr>
          <w:rFonts w:ascii="Verdana" w:hAnsi="Verdana" w:eastAsia="Verdana" w:cs="Verdana"/>
          <w:sz w:val="18"/>
          <w:szCs w:val="18"/>
        </w:rPr>
        <w:t xml:space="preserve">die actief zijn </w:t>
      </w:r>
      <w:r w:rsidRPr="00262341">
        <w:rPr>
          <w:rFonts w:ascii="Verdana" w:hAnsi="Verdana" w:eastAsia="Verdana" w:cs="Verdana"/>
          <w:sz w:val="18"/>
          <w:szCs w:val="18"/>
        </w:rPr>
        <w:t>in of voor de Europese Unie. Als bijlage bij het voorstel heeft de Commissie een analyse van de mogelijke kostenreductie gepubliceerd</w:t>
      </w:r>
      <w:r w:rsidRPr="00262341" w:rsidR="00A26F98">
        <w:rPr>
          <w:rFonts w:ascii="Verdana" w:hAnsi="Verdana" w:eastAsia="Verdana" w:cs="Verdana"/>
          <w:sz w:val="18"/>
          <w:szCs w:val="18"/>
        </w:rPr>
        <w:t>.</w:t>
      </w:r>
      <w:r w:rsidRPr="00262341" w:rsidR="00B71CAD">
        <w:rPr>
          <w:rStyle w:val="FootnoteReference"/>
          <w:rFonts w:ascii="Verdana" w:hAnsi="Verdana" w:eastAsia="Verdana" w:cs="Verdana"/>
          <w:sz w:val="18"/>
          <w:szCs w:val="18"/>
        </w:rPr>
        <w:footnoteReference w:id="17"/>
      </w:r>
      <w:r w:rsidRPr="00262341" w:rsidR="00A26F98">
        <w:rPr>
          <w:rFonts w:ascii="Verdana" w:hAnsi="Verdana" w:eastAsia="Verdana" w:cs="Verdana"/>
          <w:sz w:val="18"/>
          <w:szCs w:val="18"/>
        </w:rPr>
        <w:t xml:space="preserve"> </w:t>
      </w:r>
      <w:r w:rsidRPr="00262341">
        <w:rPr>
          <w:rFonts w:ascii="Verdana" w:hAnsi="Verdana" w:eastAsia="Verdana" w:cs="Verdana"/>
          <w:sz w:val="18"/>
          <w:szCs w:val="18"/>
        </w:rPr>
        <w:t xml:space="preserve">Hierin geeft zij aan wat de te verwachten kostenreductie zou kunnen zijn als het voorstel in haar huidige vorm wordt aangenomen. De analyse impliceert dat de jaarlijkse kosten (indien alle voorstellen worden </w:t>
      </w:r>
      <w:r w:rsidRPr="00262341">
        <w:rPr>
          <w:rFonts w:ascii="Verdana" w:hAnsi="Verdana" w:eastAsia="Verdana" w:cs="Verdana"/>
          <w:sz w:val="18"/>
          <w:szCs w:val="18"/>
        </w:rPr>
        <w:lastRenderedPageBreak/>
        <w:t>aangenomen) tussen de 2</w:t>
      </w:r>
      <w:r w:rsidRPr="00262341" w:rsidR="0091512C">
        <w:rPr>
          <w:rFonts w:ascii="Verdana" w:hAnsi="Verdana" w:eastAsia="Verdana" w:cs="Verdana"/>
          <w:sz w:val="18"/>
          <w:szCs w:val="18"/>
        </w:rPr>
        <w:t>,</w:t>
      </w:r>
      <w:r w:rsidRPr="00262341">
        <w:rPr>
          <w:rFonts w:ascii="Verdana" w:hAnsi="Verdana" w:eastAsia="Verdana" w:cs="Verdana"/>
          <w:sz w:val="18"/>
          <w:szCs w:val="18"/>
        </w:rPr>
        <w:t>2 en 5</w:t>
      </w:r>
      <w:r w:rsidRPr="00262341" w:rsidR="0091512C">
        <w:rPr>
          <w:rFonts w:ascii="Verdana" w:hAnsi="Verdana" w:eastAsia="Verdana" w:cs="Verdana"/>
          <w:sz w:val="18"/>
          <w:szCs w:val="18"/>
        </w:rPr>
        <w:t>,</w:t>
      </w:r>
      <w:r w:rsidRPr="00262341">
        <w:rPr>
          <w:rFonts w:ascii="Verdana" w:hAnsi="Verdana" w:eastAsia="Verdana" w:cs="Verdana"/>
          <w:sz w:val="18"/>
          <w:szCs w:val="18"/>
        </w:rPr>
        <w:t xml:space="preserve">2 miljard </w:t>
      </w:r>
      <w:r w:rsidRPr="00262341" w:rsidR="00C3B6BF">
        <w:rPr>
          <w:rFonts w:ascii="Verdana" w:hAnsi="Verdana" w:eastAsia="Verdana" w:cs="Verdana"/>
          <w:sz w:val="18"/>
          <w:szCs w:val="18"/>
        </w:rPr>
        <w:t xml:space="preserve">euro </w:t>
      </w:r>
      <w:r w:rsidRPr="00262341">
        <w:rPr>
          <w:rFonts w:ascii="Verdana" w:hAnsi="Verdana" w:eastAsia="Verdana" w:cs="Verdana"/>
          <w:sz w:val="18"/>
          <w:szCs w:val="18"/>
        </w:rPr>
        <w:t xml:space="preserve">gereduceerd zullen worden voor voornamelijk fabrikanten en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De eenmalige kosten kunnen volgens de analyse tussen de 45 en 90 miljoen </w:t>
      </w:r>
      <w:r w:rsidRPr="00262341" w:rsidR="00C3B6BF">
        <w:rPr>
          <w:rFonts w:ascii="Verdana" w:hAnsi="Verdana" w:eastAsia="Verdana" w:cs="Verdana"/>
          <w:sz w:val="18"/>
          <w:szCs w:val="18"/>
        </w:rPr>
        <w:t xml:space="preserve">euro </w:t>
      </w:r>
      <w:r w:rsidRPr="00262341">
        <w:rPr>
          <w:rFonts w:ascii="Verdana" w:hAnsi="Verdana" w:eastAsia="Verdana" w:cs="Verdana"/>
          <w:sz w:val="18"/>
          <w:szCs w:val="18"/>
        </w:rPr>
        <w:t xml:space="preserve">lager zijn, voornamelijk voor de industrie. </w:t>
      </w:r>
    </w:p>
    <w:p w:rsidRPr="00262341" w:rsidR="004B4D9A" w:rsidP="00262341" w:rsidRDefault="004B4D9A" w14:paraId="18F89751" w14:textId="77777777">
      <w:pPr>
        <w:spacing w:line="360" w:lineRule="auto"/>
        <w:rPr>
          <w:rFonts w:ascii="Verdana" w:hAnsi="Verdana" w:eastAsia="Verdana" w:cs="Verdana"/>
          <w:sz w:val="18"/>
          <w:szCs w:val="18"/>
        </w:rPr>
      </w:pPr>
    </w:p>
    <w:p w:rsidRPr="00262341" w:rsidR="293496AB" w:rsidP="00262341" w:rsidRDefault="26DED561" w14:paraId="1E60A463" w14:textId="69E3DDE6">
      <w:pPr>
        <w:spacing w:line="360" w:lineRule="auto"/>
        <w:rPr>
          <w:rFonts w:ascii="Verdana" w:hAnsi="Verdana" w:eastAsia="Verdana" w:cs="Verdana"/>
          <w:sz w:val="18"/>
          <w:szCs w:val="18"/>
        </w:rPr>
      </w:pPr>
      <w:r w:rsidRPr="00262341">
        <w:rPr>
          <w:rFonts w:ascii="Verdana" w:hAnsi="Verdana" w:eastAsia="Verdana" w:cs="Verdana"/>
          <w:sz w:val="18"/>
          <w:szCs w:val="18"/>
        </w:rPr>
        <w:t xml:space="preserve">De analyse is gebaseerd op de inbreng die is ontvangen tijdens de publieke consultaties. Hierbij merkt het kabinet op dat ruim 60% van het aantal ontvangen reacties vanuit de industrie en vertegenwoordigers van industrie/ branche organisaties komt in wiens belang het vereenvoudigen/ verwijderen van eisen is. </w:t>
      </w:r>
      <w:r w:rsidRPr="00262341" w:rsidR="0B281774">
        <w:rPr>
          <w:rFonts w:ascii="Verdana" w:hAnsi="Verdana" w:eastAsia="Verdana" w:cs="Verdana"/>
          <w:sz w:val="18"/>
          <w:szCs w:val="18"/>
        </w:rPr>
        <w:t xml:space="preserve">Het kabinet </w:t>
      </w:r>
      <w:r w:rsidRPr="00262341" w:rsidR="10B048E8">
        <w:rPr>
          <w:rFonts w:ascii="Verdana" w:hAnsi="Verdana" w:eastAsia="Verdana" w:cs="Verdana"/>
          <w:sz w:val="18"/>
          <w:szCs w:val="18"/>
        </w:rPr>
        <w:t xml:space="preserve">verwacht </w:t>
      </w:r>
      <w:r w:rsidRPr="00262341" w:rsidR="0B281774">
        <w:rPr>
          <w:rFonts w:ascii="Verdana" w:hAnsi="Verdana" w:eastAsia="Verdana" w:cs="Verdana"/>
          <w:sz w:val="18"/>
          <w:szCs w:val="18"/>
        </w:rPr>
        <w:t xml:space="preserve">dat </w:t>
      </w:r>
      <w:r w:rsidRPr="00262341" w:rsidR="10B048E8">
        <w:rPr>
          <w:rFonts w:ascii="Verdana" w:hAnsi="Verdana" w:eastAsia="Verdana" w:cs="Verdana"/>
          <w:sz w:val="18"/>
          <w:szCs w:val="18"/>
        </w:rPr>
        <w:t xml:space="preserve">een </w:t>
      </w:r>
      <w:r w:rsidRPr="00262341" w:rsidR="0B281774">
        <w:rPr>
          <w:rFonts w:ascii="Verdana" w:hAnsi="Verdana" w:eastAsia="Verdana" w:cs="Verdana"/>
          <w:sz w:val="18"/>
          <w:szCs w:val="18"/>
        </w:rPr>
        <w:t xml:space="preserve">kostenreductie </w:t>
      </w:r>
      <w:r w:rsidRPr="00262341" w:rsidR="79C306C2">
        <w:rPr>
          <w:rFonts w:ascii="Verdana" w:hAnsi="Verdana" w:eastAsia="Verdana" w:cs="Verdana"/>
          <w:sz w:val="18"/>
          <w:szCs w:val="18"/>
        </w:rPr>
        <w:t>eerde</w:t>
      </w:r>
      <w:r w:rsidRPr="00262341" w:rsidR="10B048E8">
        <w:rPr>
          <w:rFonts w:ascii="Verdana" w:hAnsi="Verdana" w:eastAsia="Verdana" w:cs="Verdana"/>
          <w:sz w:val="18"/>
          <w:szCs w:val="18"/>
        </w:rPr>
        <w:t xml:space="preserve">r </w:t>
      </w:r>
      <w:r w:rsidRPr="00262341" w:rsidR="0B281774">
        <w:rPr>
          <w:rFonts w:ascii="Verdana" w:hAnsi="Verdana" w:eastAsia="Verdana" w:cs="Verdana"/>
          <w:sz w:val="18"/>
          <w:szCs w:val="18"/>
        </w:rPr>
        <w:t xml:space="preserve">aan de onderkant van de bandbreedte </w:t>
      </w:r>
      <w:r w:rsidRPr="00262341" w:rsidR="10B048E8">
        <w:rPr>
          <w:rFonts w:ascii="Verdana" w:hAnsi="Verdana" w:eastAsia="Verdana" w:cs="Verdana"/>
          <w:sz w:val="18"/>
          <w:szCs w:val="18"/>
        </w:rPr>
        <w:t xml:space="preserve">zal uitvallen </w:t>
      </w:r>
      <w:r w:rsidRPr="00262341" w:rsidR="0B281774">
        <w:rPr>
          <w:rFonts w:ascii="Verdana" w:hAnsi="Verdana" w:eastAsia="Verdana" w:cs="Verdana"/>
          <w:sz w:val="18"/>
          <w:szCs w:val="18"/>
        </w:rPr>
        <w:t xml:space="preserve">dan aan de bovenkant, </w:t>
      </w:r>
      <w:r w:rsidRPr="00262341" w:rsidR="68850041">
        <w:rPr>
          <w:rFonts w:ascii="Verdana" w:hAnsi="Verdana" w:eastAsia="Verdana" w:cs="Verdana"/>
          <w:sz w:val="18"/>
          <w:szCs w:val="18"/>
        </w:rPr>
        <w:t xml:space="preserve">en plaats </w:t>
      </w:r>
      <w:r w:rsidRPr="00262341" w:rsidR="0B281774">
        <w:rPr>
          <w:rFonts w:ascii="Verdana" w:hAnsi="Verdana" w:eastAsia="Verdana" w:cs="Verdana"/>
          <w:sz w:val="18"/>
          <w:szCs w:val="18"/>
        </w:rPr>
        <w:t xml:space="preserve">grote kanttekens </w:t>
      </w:r>
      <w:r w:rsidRPr="00262341" w:rsidR="68850041">
        <w:rPr>
          <w:rFonts w:ascii="Verdana" w:hAnsi="Verdana" w:eastAsia="Verdana" w:cs="Verdana"/>
          <w:sz w:val="18"/>
          <w:szCs w:val="18"/>
        </w:rPr>
        <w:t xml:space="preserve">bij de </w:t>
      </w:r>
      <w:r w:rsidRPr="00262341" w:rsidR="3518C77A">
        <w:rPr>
          <w:rFonts w:ascii="Verdana" w:hAnsi="Verdana" w:eastAsia="Verdana" w:cs="Verdana"/>
          <w:sz w:val="18"/>
          <w:szCs w:val="18"/>
        </w:rPr>
        <w:t>soliditeit</w:t>
      </w:r>
      <w:r w:rsidRPr="00262341" w:rsidR="5E18B950">
        <w:rPr>
          <w:rFonts w:ascii="Verdana" w:hAnsi="Verdana" w:eastAsia="Verdana" w:cs="Verdana"/>
          <w:sz w:val="18"/>
          <w:szCs w:val="18"/>
        </w:rPr>
        <w:t xml:space="preserve"> van</w:t>
      </w:r>
      <w:r w:rsidRPr="00262341" w:rsidR="0B281774">
        <w:rPr>
          <w:rFonts w:ascii="Verdana" w:hAnsi="Verdana" w:eastAsia="Verdana" w:cs="Verdana"/>
          <w:sz w:val="18"/>
          <w:szCs w:val="18"/>
        </w:rPr>
        <w:t xml:space="preserve"> de kosten</w:t>
      </w:r>
      <w:r w:rsidRPr="00262341" w:rsidR="5E18B950">
        <w:rPr>
          <w:rFonts w:ascii="Verdana" w:hAnsi="Verdana" w:eastAsia="Verdana" w:cs="Verdana"/>
          <w:sz w:val="18"/>
          <w:szCs w:val="18"/>
        </w:rPr>
        <w:t>-</w:t>
      </w:r>
      <w:r w:rsidRPr="00262341" w:rsidR="00BF06B7">
        <w:rPr>
          <w:rFonts w:ascii="Verdana" w:hAnsi="Verdana" w:eastAsia="Verdana" w:cs="Verdana"/>
          <w:sz w:val="18"/>
          <w:szCs w:val="18"/>
        </w:rPr>
        <w:t xml:space="preserve"> </w:t>
      </w:r>
      <w:r w:rsidRPr="00262341" w:rsidR="5E18B950">
        <w:rPr>
          <w:rFonts w:ascii="Verdana" w:hAnsi="Verdana" w:eastAsia="Verdana" w:cs="Verdana"/>
          <w:sz w:val="18"/>
          <w:szCs w:val="18"/>
        </w:rPr>
        <w:t>en baten</w:t>
      </w:r>
      <w:r w:rsidRPr="00262341" w:rsidR="0B281774">
        <w:rPr>
          <w:rFonts w:ascii="Verdana" w:hAnsi="Verdana" w:eastAsia="Verdana" w:cs="Verdana"/>
          <w:sz w:val="18"/>
          <w:szCs w:val="18"/>
        </w:rPr>
        <w:t xml:space="preserve">berekening. </w:t>
      </w:r>
    </w:p>
    <w:p w:rsidRPr="00262341" w:rsidR="293496AB" w:rsidP="00262341" w:rsidRDefault="293496AB" w14:paraId="18BA7B8F" w14:textId="0E3416F4">
      <w:pPr>
        <w:spacing w:line="360" w:lineRule="auto"/>
        <w:rPr>
          <w:rFonts w:ascii="Verdana" w:hAnsi="Verdana" w:eastAsia="Verdana" w:cs="Verdana"/>
          <w:sz w:val="18"/>
          <w:szCs w:val="18"/>
        </w:rPr>
      </w:pPr>
    </w:p>
    <w:p w:rsidRPr="00262341" w:rsidR="293496AB" w:rsidP="00262341" w:rsidRDefault="43B7FD55" w14:paraId="0BE42517" w14:textId="256EDC4C">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voorstel machtigt de Commissie om vergoedingen vast te stellen voor bepaalde activiteiten die vereist zijn onder de bestaande MDR en IVDR waaronder voor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De Commissie stelt voor de bedragen, die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in rekening mogen brengen voor de beoordeling van de medische hulpmiddelen, te reduceren en vast te zetten. Daarnaast stelt de Commissie voor vergoedingen in rekening te brengen aan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om aangewezen en tweejaarlijks beoordeeld te worden. Er zullen om deze reden negatieve financiële consequenties voortkomen voor een deel van het bedrijfsleven, namelijk de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w:t>
      </w:r>
    </w:p>
    <w:p w:rsidRPr="00262341" w:rsidR="293496AB" w:rsidP="00262341" w:rsidRDefault="293496AB" w14:paraId="4600797E" w14:textId="38E721AC">
      <w:pPr>
        <w:spacing w:line="360" w:lineRule="auto"/>
        <w:rPr>
          <w:rFonts w:ascii="Verdana" w:hAnsi="Verdana" w:eastAsia="Verdana" w:cs="Verdana"/>
          <w:sz w:val="18"/>
          <w:szCs w:val="18"/>
        </w:rPr>
      </w:pPr>
    </w:p>
    <w:p w:rsidRPr="00262341" w:rsidR="63CCA7BD" w:rsidP="00262341" w:rsidRDefault="26DED561" w14:paraId="3C498B8B" w14:textId="18E36EBF">
      <w:pPr>
        <w:numPr>
          <w:ilvl w:val="0"/>
          <w:numId w:val="12"/>
        </w:numPr>
        <w:spacing w:line="360" w:lineRule="auto"/>
        <w:rPr>
          <w:rFonts w:ascii="Verdana" w:hAnsi="Verdana"/>
          <w:i/>
          <w:iCs/>
          <w:color w:val="000000" w:themeColor="text1"/>
          <w:sz w:val="18"/>
          <w:szCs w:val="18"/>
        </w:rPr>
      </w:pPr>
      <w:bookmarkStart w:name="_Hlk214031664" w:id="2"/>
      <w:bookmarkEnd w:id="2"/>
      <w:r w:rsidRPr="00262341">
        <w:rPr>
          <w:rFonts w:ascii="Verdana" w:hAnsi="Verdana" w:eastAsia="Verdana" w:cs="Verdana"/>
          <w:i/>
          <w:iCs/>
          <w:sz w:val="18"/>
          <w:szCs w:val="18"/>
        </w:rPr>
        <w:t>Gevolgen voor concurrentiekracht en geopolitieke aspecten</w:t>
      </w:r>
    </w:p>
    <w:p w:rsidRPr="00262341" w:rsidR="63CCA7BD" w:rsidP="00262341" w:rsidRDefault="154B6599" w14:paraId="15521C18" w14:textId="7FD9A244">
      <w:pPr>
        <w:spacing w:line="360" w:lineRule="auto"/>
        <w:rPr>
          <w:rFonts w:ascii="Verdana" w:hAnsi="Verdana" w:eastAsia="Verdana" w:cs="Verdana"/>
          <w:sz w:val="18"/>
          <w:szCs w:val="18"/>
        </w:rPr>
      </w:pPr>
      <w:r w:rsidRPr="00262341">
        <w:rPr>
          <w:rFonts w:ascii="Verdana" w:hAnsi="Verdana" w:eastAsia="Verdana" w:cs="Verdana"/>
          <w:sz w:val="18"/>
          <w:szCs w:val="18"/>
        </w:rPr>
        <w:t>De gerichte evaluatie van de Commissie bevestigt dat de verordeningen weliswaar de patiëntveiligheid hebben versterkt, maar dat de nalevingskosten hoog en vaak disproportioneel zijn. De vereisten blijken te complex, conformiteitsbeoordelingsprocedures te langdurig en kostbaar</w:t>
      </w:r>
      <w:r w:rsidRPr="00262341" w:rsidR="00BF06B7">
        <w:rPr>
          <w:rFonts w:ascii="Verdana" w:hAnsi="Verdana" w:eastAsia="Verdana" w:cs="Verdana"/>
          <w:sz w:val="18"/>
          <w:szCs w:val="18"/>
        </w:rPr>
        <w:t>,</w:t>
      </w:r>
      <w:r w:rsidRPr="00262341">
        <w:rPr>
          <w:rFonts w:ascii="Verdana" w:hAnsi="Verdana" w:eastAsia="Verdana" w:cs="Verdana"/>
          <w:sz w:val="18"/>
          <w:szCs w:val="18"/>
        </w:rPr>
        <w:t xml:space="preserve"> en de verordeningen leiden in de praktijk niet tot een geharmoniseerde toepassing tussen autoriteiten of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Dit leidt volgens de Commissie tot terugtrekking van hulpmiddelen van de Europese markt, belemmert innovatie en schaadt </w:t>
      </w:r>
      <w:r w:rsidRPr="00262341" w:rsidR="00BF06B7">
        <w:rPr>
          <w:rFonts w:ascii="Verdana" w:hAnsi="Verdana" w:eastAsia="Verdana" w:cs="Verdana"/>
          <w:sz w:val="18"/>
          <w:szCs w:val="18"/>
        </w:rPr>
        <w:t>de concurrentiekracht</w:t>
      </w:r>
      <w:r w:rsidRPr="00262341">
        <w:rPr>
          <w:rFonts w:ascii="Verdana" w:hAnsi="Verdana" w:eastAsia="Verdana" w:cs="Verdana"/>
          <w:sz w:val="18"/>
          <w:szCs w:val="18"/>
        </w:rPr>
        <w:t xml:space="preserve"> van met name </w:t>
      </w:r>
      <w:r w:rsidRPr="00262341" w:rsidR="0091512C">
        <w:rPr>
          <w:rFonts w:ascii="Verdana" w:hAnsi="Verdana" w:eastAsia="Verdana" w:cs="Verdana"/>
          <w:sz w:val="18"/>
          <w:szCs w:val="18"/>
        </w:rPr>
        <w:t>het mkb</w:t>
      </w:r>
      <w:r w:rsidRPr="00262341" w:rsidR="00BF06B7">
        <w:rPr>
          <w:rFonts w:ascii="Verdana" w:hAnsi="Verdana" w:eastAsia="Verdana" w:cs="Verdana"/>
          <w:sz w:val="18"/>
          <w:szCs w:val="18"/>
        </w:rPr>
        <w:t>,</w:t>
      </w:r>
      <w:r w:rsidRPr="00262341">
        <w:rPr>
          <w:rFonts w:ascii="Verdana" w:hAnsi="Verdana" w:eastAsia="Verdana" w:cs="Verdana"/>
          <w:sz w:val="18"/>
          <w:szCs w:val="18"/>
        </w:rPr>
        <w:t xml:space="preserve"> </w:t>
      </w:r>
      <w:r w:rsidRPr="00262341" w:rsidR="0091512C">
        <w:rPr>
          <w:rFonts w:ascii="Verdana" w:hAnsi="Verdana" w:eastAsia="Verdana" w:cs="Verdana"/>
          <w:sz w:val="18"/>
          <w:szCs w:val="18"/>
        </w:rPr>
        <w:t xml:space="preserve">dat </w:t>
      </w:r>
      <w:r w:rsidRPr="00262341">
        <w:rPr>
          <w:rFonts w:ascii="Verdana" w:hAnsi="Verdana" w:eastAsia="Verdana" w:cs="Verdana"/>
          <w:sz w:val="18"/>
          <w:szCs w:val="18"/>
        </w:rPr>
        <w:t>90% van de Europese medisch hulpmiddelen sector vorm</w:t>
      </w:r>
      <w:r w:rsidRPr="00262341" w:rsidR="0091512C">
        <w:rPr>
          <w:rFonts w:ascii="Verdana" w:hAnsi="Verdana" w:eastAsia="Verdana" w:cs="Verdana"/>
          <w:sz w:val="18"/>
          <w:szCs w:val="18"/>
        </w:rPr>
        <w:t>t.</w:t>
      </w:r>
    </w:p>
    <w:p w:rsidRPr="00262341" w:rsidR="63CCA7BD" w:rsidP="00262341" w:rsidRDefault="43B7FD55" w14:paraId="17507CB3" w14:textId="6294F118">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doel van deze herziening is een gestroomlijnder en </w:t>
      </w:r>
      <w:proofErr w:type="spellStart"/>
      <w:r w:rsidRPr="00262341">
        <w:rPr>
          <w:rFonts w:ascii="Verdana" w:hAnsi="Verdana" w:eastAsia="Verdana" w:cs="Verdana"/>
          <w:sz w:val="18"/>
          <w:szCs w:val="18"/>
        </w:rPr>
        <w:t>kosteneffectiever</w:t>
      </w:r>
      <w:proofErr w:type="spellEnd"/>
      <w:r w:rsidRPr="00262341">
        <w:rPr>
          <w:rFonts w:ascii="Verdana" w:hAnsi="Verdana" w:eastAsia="Verdana" w:cs="Verdana"/>
          <w:sz w:val="18"/>
          <w:szCs w:val="18"/>
        </w:rPr>
        <w:t xml:space="preserve"> regelgevingskader te garanderen en de bestaande harmonisatie verder te versterken, waardoor een concurrerendere en innovatievere EU-markt ontstaat. </w:t>
      </w:r>
    </w:p>
    <w:p w:rsidRPr="00262341" w:rsidR="63CCA7BD" w:rsidP="00262341" w:rsidRDefault="63CCA7BD" w14:paraId="3B268252" w14:textId="497C446A">
      <w:pPr>
        <w:spacing w:line="360" w:lineRule="auto"/>
        <w:rPr>
          <w:rFonts w:ascii="Verdana" w:hAnsi="Verdana" w:eastAsia="Verdana" w:cs="Verdana"/>
          <w:sz w:val="18"/>
          <w:szCs w:val="18"/>
        </w:rPr>
      </w:pPr>
    </w:p>
    <w:p w:rsidRPr="00262341" w:rsidR="63CCA7BD" w:rsidP="00262341" w:rsidRDefault="26DED561" w14:paraId="15A5770C" w14:textId="6546FCB7">
      <w:pPr>
        <w:spacing w:line="360" w:lineRule="auto"/>
        <w:rPr>
          <w:rFonts w:ascii="Verdana" w:hAnsi="Verdana" w:eastAsia="Verdana" w:cs="Verdana"/>
          <w:sz w:val="18"/>
          <w:szCs w:val="18"/>
        </w:rPr>
      </w:pPr>
      <w:r w:rsidRPr="00262341">
        <w:rPr>
          <w:rFonts w:ascii="Verdana" w:hAnsi="Verdana" w:eastAsia="Verdana" w:cs="Verdana"/>
          <w:sz w:val="18"/>
          <w:szCs w:val="18"/>
        </w:rPr>
        <w:t>Het voorstel draagt bij aan de inzet van de Commissie om de EU-wetgeving te vereenvoudigen en de regelgevingslast voor b</w:t>
      </w:r>
      <w:r w:rsidRPr="00262341" w:rsidR="2708E16A">
        <w:rPr>
          <w:rFonts w:ascii="Verdana" w:hAnsi="Verdana" w:eastAsia="Verdana" w:cs="Verdana"/>
          <w:sz w:val="18"/>
          <w:szCs w:val="18"/>
        </w:rPr>
        <w:t xml:space="preserve">epaalde </w:t>
      </w:r>
      <w:r w:rsidRPr="00262341">
        <w:rPr>
          <w:rFonts w:ascii="Verdana" w:hAnsi="Verdana" w:eastAsia="Verdana" w:cs="Verdana"/>
          <w:sz w:val="18"/>
          <w:szCs w:val="18"/>
        </w:rPr>
        <w:t xml:space="preserve">bedrijven in de EU te verminderen, met als doel het concurrentievermogen en de weerbaarheid van de EU te verbeteren. Hiermee ondersteunt het voorstel het streven van het kabinet tot open strategische autonomie van de EU, in lijn met de kabinetsinzet op dit onderwerp. </w:t>
      </w:r>
      <w:r w:rsidRPr="00262341" w:rsidR="00BF06B7">
        <w:rPr>
          <w:rFonts w:ascii="Verdana" w:hAnsi="Verdana" w:eastAsia="Verdana" w:cs="Verdana"/>
          <w:sz w:val="18"/>
          <w:szCs w:val="18"/>
        </w:rPr>
        <w:t>Volgens de Commissie zal d</w:t>
      </w:r>
      <w:r w:rsidRPr="00262341">
        <w:rPr>
          <w:rFonts w:ascii="Verdana" w:hAnsi="Verdana" w:eastAsia="Verdana" w:cs="Verdana"/>
          <w:sz w:val="18"/>
          <w:szCs w:val="18"/>
        </w:rPr>
        <w:t xml:space="preserve">e impact van de kosten van verbeterde coördinatie </w:t>
      </w:r>
      <w:r w:rsidRPr="00262341" w:rsidR="00BF06B7">
        <w:rPr>
          <w:rFonts w:ascii="Verdana" w:hAnsi="Verdana" w:eastAsia="Verdana" w:cs="Verdana"/>
          <w:sz w:val="18"/>
          <w:szCs w:val="18"/>
        </w:rPr>
        <w:t>op de EU-begroting</w:t>
      </w:r>
      <w:r w:rsidRPr="00262341" w:rsidR="3518C77A">
        <w:rPr>
          <w:rFonts w:ascii="Verdana" w:hAnsi="Verdana" w:eastAsia="Verdana" w:cs="Verdana"/>
          <w:sz w:val="18"/>
          <w:szCs w:val="18"/>
        </w:rPr>
        <w:t>,</w:t>
      </w:r>
      <w:r w:rsidRPr="00262341" w:rsidR="00F041A4">
        <w:rPr>
          <w:rFonts w:ascii="Verdana" w:hAnsi="Verdana" w:eastAsia="Verdana" w:cs="Verdana"/>
          <w:sz w:val="18"/>
          <w:szCs w:val="18"/>
        </w:rPr>
        <w:t xml:space="preserve"> </w:t>
      </w:r>
      <w:r w:rsidRPr="00262341">
        <w:rPr>
          <w:rFonts w:ascii="Verdana" w:hAnsi="Verdana" w:eastAsia="Verdana" w:cs="Verdana"/>
          <w:sz w:val="18"/>
          <w:szCs w:val="18"/>
        </w:rPr>
        <w:t>uiteindelijk leiden tot lagere kosten voor economische actoren</w:t>
      </w:r>
      <w:r w:rsidRPr="00262341" w:rsidR="00BF06B7">
        <w:rPr>
          <w:rFonts w:ascii="Verdana" w:hAnsi="Verdana" w:eastAsia="Verdana" w:cs="Verdana"/>
          <w:sz w:val="18"/>
          <w:szCs w:val="18"/>
        </w:rPr>
        <w:t>,</w:t>
      </w:r>
      <w:r w:rsidRPr="00262341">
        <w:rPr>
          <w:rFonts w:ascii="Verdana" w:hAnsi="Verdana" w:eastAsia="Verdana" w:cs="Verdana"/>
          <w:sz w:val="18"/>
          <w:szCs w:val="18"/>
        </w:rPr>
        <w:t xml:space="preserve"> dankzij de voordelen die voortvloeien uit </w:t>
      </w:r>
      <w:r w:rsidRPr="00262341" w:rsidR="3518C77A">
        <w:rPr>
          <w:rFonts w:ascii="Verdana" w:hAnsi="Verdana" w:eastAsia="Verdana" w:cs="Verdana"/>
          <w:sz w:val="18"/>
          <w:szCs w:val="18"/>
        </w:rPr>
        <w:t xml:space="preserve">onder andere </w:t>
      </w:r>
      <w:r w:rsidRPr="00262341">
        <w:rPr>
          <w:rFonts w:ascii="Verdana" w:hAnsi="Verdana" w:eastAsia="Verdana" w:cs="Verdana"/>
          <w:sz w:val="18"/>
          <w:szCs w:val="18"/>
        </w:rPr>
        <w:t>uniforme praktijken op de interne markt</w:t>
      </w:r>
      <w:r w:rsidRPr="00262341" w:rsidR="00BF06B7">
        <w:rPr>
          <w:rFonts w:ascii="Verdana" w:hAnsi="Verdana" w:eastAsia="Verdana" w:cs="Verdana"/>
          <w:sz w:val="18"/>
          <w:szCs w:val="18"/>
        </w:rPr>
        <w:t>,</w:t>
      </w:r>
      <w:r w:rsidRPr="00262341">
        <w:rPr>
          <w:rFonts w:ascii="Verdana" w:hAnsi="Verdana" w:eastAsia="Verdana" w:cs="Verdana"/>
          <w:sz w:val="18"/>
          <w:szCs w:val="18"/>
        </w:rPr>
        <w:t xml:space="preserve"> die het concurrentievermogen</w:t>
      </w:r>
      <w:r w:rsidRPr="00262341" w:rsidR="3518C77A">
        <w:rPr>
          <w:rFonts w:ascii="Verdana" w:hAnsi="Verdana" w:eastAsia="Verdana" w:cs="Verdana"/>
          <w:sz w:val="18"/>
          <w:szCs w:val="18"/>
        </w:rPr>
        <w:t xml:space="preserve"> versterken</w:t>
      </w:r>
      <w:r w:rsidRPr="00262341">
        <w:rPr>
          <w:rFonts w:ascii="Verdana" w:hAnsi="Verdana" w:eastAsia="Verdana" w:cs="Verdana"/>
          <w:sz w:val="18"/>
          <w:szCs w:val="18"/>
        </w:rPr>
        <w:t xml:space="preserve"> en innovatie </w:t>
      </w:r>
      <w:r w:rsidRPr="00262341" w:rsidR="3518C77A">
        <w:rPr>
          <w:rFonts w:ascii="Verdana" w:hAnsi="Verdana" w:eastAsia="Verdana" w:cs="Verdana"/>
          <w:sz w:val="18"/>
          <w:szCs w:val="18"/>
        </w:rPr>
        <w:t xml:space="preserve">stimuleren. </w:t>
      </w:r>
      <w:r w:rsidRPr="00262341">
        <w:rPr>
          <w:rFonts w:ascii="Verdana" w:hAnsi="Verdana" w:eastAsia="Verdana" w:cs="Verdana"/>
          <w:sz w:val="18"/>
          <w:szCs w:val="18"/>
        </w:rPr>
        <w:t>Zo geeft de Commissie aan te streven naar internationale samenwerking op het gebied van regelgeving door middel van wereldwijde convergentie. Hier wil de Commissie een actievere rol in nemen via deelname aan relevante internationale</w:t>
      </w:r>
      <w:r w:rsidRPr="00262341" w:rsidR="00F041A4">
        <w:rPr>
          <w:rFonts w:ascii="Verdana" w:hAnsi="Verdana" w:eastAsia="Verdana" w:cs="Verdana"/>
          <w:sz w:val="18"/>
          <w:szCs w:val="18"/>
        </w:rPr>
        <w:t xml:space="preserve"> gremia, </w:t>
      </w:r>
      <w:r w:rsidRPr="00262341">
        <w:rPr>
          <w:rFonts w:ascii="Verdana" w:hAnsi="Verdana" w:eastAsia="Verdana" w:cs="Verdana"/>
          <w:sz w:val="18"/>
          <w:szCs w:val="18"/>
        </w:rPr>
        <w:t>waaronder het IMDRF</w:t>
      </w:r>
      <w:r w:rsidRPr="00262341" w:rsidR="3518C77A">
        <w:rPr>
          <w:rFonts w:ascii="Verdana" w:hAnsi="Verdana" w:eastAsia="Verdana" w:cs="Verdana"/>
          <w:sz w:val="18"/>
          <w:szCs w:val="18"/>
        </w:rPr>
        <w:t xml:space="preserve"> en </w:t>
      </w:r>
      <w:r w:rsidRPr="00262341">
        <w:rPr>
          <w:rFonts w:ascii="Verdana" w:hAnsi="Verdana" w:eastAsia="Verdana" w:cs="Verdana"/>
          <w:sz w:val="18"/>
          <w:szCs w:val="18"/>
        </w:rPr>
        <w:t xml:space="preserve">MDSAP. </w:t>
      </w:r>
    </w:p>
    <w:p w:rsidRPr="00262341" w:rsidR="00C8444D" w:rsidP="00262341" w:rsidRDefault="26DED561" w14:paraId="26C1E31A" w14:textId="6689103C">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r w:rsidRPr="00262341">
        <w:rPr>
          <w:rFonts w:ascii="Verdana" w:hAnsi="Verdana" w:eastAsia="Verdana" w:cs="Verdana"/>
          <w:sz w:val="18"/>
          <w:szCs w:val="18"/>
        </w:rPr>
        <w:lastRenderedPageBreak/>
        <w:t>Ook geeft de Commissie aan administratieve overeenkomsten te willen kunnen afsluiten met autoriteiten van derde landen en internationale organisaties met het oog op reguleringssamenwerking</w:t>
      </w:r>
      <w:r w:rsidRPr="00262341" w:rsidR="3518C77A">
        <w:rPr>
          <w:rFonts w:ascii="Verdana" w:hAnsi="Verdana" w:eastAsia="Verdana" w:cs="Verdana"/>
          <w:sz w:val="18"/>
          <w:szCs w:val="18"/>
        </w:rPr>
        <w:t>.</w:t>
      </w:r>
    </w:p>
    <w:p w:rsidRPr="00262341" w:rsidR="3518C77A" w:rsidP="00262341" w:rsidRDefault="3518C77A" w14:paraId="41DC6421" w14:textId="289AABB9">
      <w:pPr>
        <w:spacing w:line="360" w:lineRule="auto"/>
        <w:rPr>
          <w:rFonts w:ascii="Verdana" w:hAnsi="Verdana" w:eastAsia="Verdana" w:cs="Verdana"/>
          <w:sz w:val="18"/>
          <w:szCs w:val="18"/>
        </w:rPr>
      </w:pPr>
    </w:p>
    <w:p w:rsidRPr="00262341" w:rsidR="00CB7FF8" w:rsidP="00262341" w:rsidRDefault="40148FDA" w14:paraId="1DA1AE8D" w14:textId="5D6FD62E">
      <w:pPr>
        <w:numPr>
          <w:ilvl w:val="0"/>
          <w:numId w:val="40"/>
        </w:numPr>
        <w:spacing w:line="360" w:lineRule="auto"/>
        <w:rPr>
          <w:rFonts w:ascii="Verdana" w:hAnsi="Verdana"/>
          <w:b/>
          <w:bCs/>
          <w:color w:val="000000" w:themeColor="text1"/>
          <w:sz w:val="18"/>
          <w:szCs w:val="18"/>
        </w:rPr>
      </w:pPr>
      <w:r w:rsidRPr="00262341">
        <w:rPr>
          <w:rFonts w:ascii="Verdana" w:hAnsi="Verdana" w:eastAsia="Verdana" w:cs="Verdana"/>
          <w:b/>
          <w:bCs/>
          <w:sz w:val="18"/>
          <w:szCs w:val="18"/>
        </w:rPr>
        <w:t>Implicaties juridisch</w:t>
      </w:r>
    </w:p>
    <w:p w:rsidRPr="00262341" w:rsidR="26DED561" w:rsidP="00262341" w:rsidRDefault="6F0DCD31" w14:paraId="036D0801" w14:textId="5AAA2447">
      <w:pPr>
        <w:numPr>
          <w:ilvl w:val="0"/>
          <w:numId w:val="13"/>
        </w:numPr>
        <w:spacing w:line="360" w:lineRule="auto"/>
        <w:rPr>
          <w:rFonts w:ascii="Verdana" w:hAnsi="Verdana"/>
          <w:i/>
          <w:iCs/>
          <w:color w:val="000000" w:themeColor="text1"/>
          <w:sz w:val="18"/>
          <w:szCs w:val="18"/>
        </w:rPr>
      </w:pPr>
      <w:r w:rsidRPr="00262341">
        <w:rPr>
          <w:rFonts w:ascii="Verdana" w:hAnsi="Verdana" w:eastAsia="Verdana" w:cs="Verdana"/>
          <w:i/>
          <w:iCs/>
          <w:sz w:val="18"/>
          <w:szCs w:val="18"/>
        </w:rPr>
        <w:t xml:space="preserve">Consequenties voor nationale en decentrale regelgeving en/of sanctionering beleid </w:t>
      </w:r>
    </w:p>
    <w:p w:rsidR="26DED561" w:rsidP="00262341" w:rsidRDefault="6F0DCD31" w14:paraId="6EC11697" w14:textId="07CC7ADE">
      <w:pPr>
        <w:spacing w:line="360" w:lineRule="auto"/>
        <w:rPr>
          <w:rFonts w:ascii="Verdana" w:hAnsi="Verdana" w:eastAsia="Verdana" w:cs="Verdana"/>
          <w:color w:val="262626" w:themeColor="text1" w:themeTint="D9"/>
          <w:sz w:val="18"/>
          <w:szCs w:val="18"/>
        </w:rPr>
      </w:pPr>
      <w:r w:rsidRPr="00262341">
        <w:rPr>
          <w:rFonts w:ascii="Verdana" w:hAnsi="Verdana" w:eastAsia="Verdana" w:cs="Verdana"/>
          <w:color w:val="262626" w:themeColor="text1" w:themeTint="D9"/>
          <w:sz w:val="18"/>
          <w:szCs w:val="18"/>
        </w:rPr>
        <w:t xml:space="preserve">Het voorstel heeft alleen consequenties voor nationale regelgeving en niet voor decentrale regelgeving. Met de Wet medische hulpmiddelen en de bepalingen bij of krachtens deze wet wordt uitvoering gegeven aan de MDR en IVDR. Deze wet bevat onder meer toezichts- en handhavingsbepalingen, waarbij het beleid ten aanzien van bestuurlijke boetes is uitgewerkt in beleidsregels. Het voorstel behoeft uitvoering, hetgeen betekent dat nationaal recht moet worden aangepast. </w:t>
      </w:r>
    </w:p>
    <w:p w:rsidRPr="00262341" w:rsidR="004B4D9A" w:rsidP="00262341" w:rsidRDefault="004B4D9A" w14:paraId="70186BC6" w14:textId="77777777">
      <w:pPr>
        <w:spacing w:line="360" w:lineRule="auto"/>
        <w:rPr>
          <w:rFonts w:ascii="Verdana" w:hAnsi="Verdana" w:eastAsia="Verdana" w:cs="Verdana"/>
          <w:color w:val="262626" w:themeColor="text1" w:themeTint="D9"/>
          <w:sz w:val="18"/>
          <w:szCs w:val="18"/>
        </w:rPr>
      </w:pPr>
    </w:p>
    <w:p w:rsidRPr="00262341" w:rsidR="26DED561" w:rsidP="00262341" w:rsidRDefault="6F0DCD31" w14:paraId="27F3416A" w14:textId="10E859A8">
      <w:pPr>
        <w:spacing w:line="360" w:lineRule="auto"/>
        <w:rPr>
          <w:rFonts w:ascii="Verdana" w:hAnsi="Verdana" w:eastAsia="Verdana" w:cs="Verdana"/>
          <w:color w:val="262626" w:themeColor="text1" w:themeTint="D9"/>
          <w:sz w:val="18"/>
          <w:szCs w:val="18"/>
        </w:rPr>
      </w:pPr>
      <w:r w:rsidRPr="00262341">
        <w:rPr>
          <w:rFonts w:ascii="Verdana" w:hAnsi="Verdana" w:eastAsia="Verdana" w:cs="Verdana"/>
          <w:color w:val="262626" w:themeColor="text1" w:themeTint="D9"/>
          <w:sz w:val="18"/>
          <w:szCs w:val="18"/>
        </w:rPr>
        <w:t xml:space="preserve">Momenteel wordt de AI-verordening uitgevoerd in de Uitvoeringswet verordening artificiële intelligentie. Gestreefd wordt om het voorstel van deze uitvoeringswet het eerste kwartaal van 2026 in internetconsultatie te brengen. Het voorstel voor de wijziging van de MDR en de IVDR heeft gevolgen voor de uitvoering van de AI-verordening en kan deze uitvoering vertragen. Het kabinet spreekt haar zorgen uit over de voorstellen om de AI-verordening aan te passen (Omnibus II en onderhavig voorstel), terwijl de AI-verordening al reeds gedeeltelijk van toepassing is en Nederland reeds in het proces zit om de AI-verordening uit te voeren. </w:t>
      </w:r>
    </w:p>
    <w:p w:rsidRPr="00262341" w:rsidR="00853650" w:rsidP="00262341" w:rsidRDefault="00853650" w14:paraId="6757B1F5" w14:textId="77777777">
      <w:pPr>
        <w:spacing w:line="360" w:lineRule="auto"/>
        <w:rPr>
          <w:rFonts w:ascii="Verdana" w:hAnsi="Verdana" w:eastAsia="Verdana" w:cs="Verdana"/>
          <w:sz w:val="18"/>
          <w:szCs w:val="18"/>
        </w:rPr>
      </w:pPr>
    </w:p>
    <w:p w:rsidRPr="00262341" w:rsidR="1B023CA9" w:rsidP="00262341" w:rsidRDefault="154B6599" w14:paraId="04DFE07D" w14:textId="539707F7">
      <w:pPr>
        <w:numPr>
          <w:ilvl w:val="0"/>
          <w:numId w:val="13"/>
        </w:numPr>
        <w:spacing w:line="360" w:lineRule="auto"/>
        <w:rPr>
          <w:rFonts w:ascii="Verdana" w:hAnsi="Verdana" w:eastAsia="Verdana"/>
          <w:i/>
          <w:iCs/>
          <w:color w:val="000000" w:themeColor="text1"/>
          <w:sz w:val="18"/>
          <w:szCs w:val="18"/>
        </w:rPr>
      </w:pPr>
      <w:r w:rsidRPr="00262341">
        <w:rPr>
          <w:rFonts w:ascii="Verdana" w:hAnsi="Verdana" w:eastAsia="Verdana" w:cs="Verdana"/>
          <w:i/>
          <w:iCs/>
          <w:color w:val="000000" w:themeColor="text1"/>
          <w:sz w:val="18"/>
          <w:szCs w:val="18"/>
        </w:rPr>
        <w:t>Gedelegeerde en/of uitvoeringshandelingen, incl. NL-beoordeling daarvan</w:t>
      </w:r>
    </w:p>
    <w:p w:rsidRPr="00262341" w:rsidR="00F478FE" w:rsidP="00262341" w:rsidRDefault="00F478FE" w14:paraId="07D670AE" w14:textId="6F491E0A">
      <w:pPr>
        <w:spacing w:line="360" w:lineRule="auto"/>
        <w:rPr>
          <w:rFonts w:ascii="Verdana" w:hAnsi="Verdana" w:eastAsia="Verdana" w:cs="Verdana"/>
          <w:color w:val="000000" w:themeColor="text1"/>
          <w:sz w:val="18"/>
          <w:szCs w:val="18"/>
        </w:rPr>
      </w:pPr>
      <w:r w:rsidRPr="00262341">
        <w:rPr>
          <w:rFonts w:ascii="Verdana" w:hAnsi="Verdana" w:eastAsia="Verdana" w:cs="Verdana"/>
          <w:color w:val="000000" w:themeColor="text1"/>
          <w:sz w:val="18"/>
          <w:szCs w:val="18"/>
        </w:rPr>
        <w:t xml:space="preserve">Het voorstel bevat diverse bevoegdheden voor de vaststelling van gedelegeerde en uitvoeringshandelingen. </w:t>
      </w:r>
    </w:p>
    <w:p w:rsidR="003E1AEF" w:rsidP="00262341" w:rsidRDefault="154B6599" w14:paraId="58C3F32F" w14:textId="6BAA9B5F">
      <w:pPr>
        <w:spacing w:line="360" w:lineRule="auto"/>
        <w:rPr>
          <w:rFonts w:ascii="Verdana" w:hAnsi="Verdana" w:eastAsia="Verdana" w:cs="Verdana"/>
          <w:sz w:val="18"/>
          <w:szCs w:val="18"/>
        </w:rPr>
      </w:pPr>
      <w:r w:rsidRPr="00262341">
        <w:rPr>
          <w:rFonts w:ascii="Verdana" w:hAnsi="Verdana" w:eastAsia="Verdana" w:cs="Verdana"/>
          <w:sz w:val="18"/>
          <w:szCs w:val="18"/>
        </w:rPr>
        <w:t>Het voorstel geeft de Commissie de bevoegdheid voor gedelegeerde handelingen bij de volgende onderwerpen: a</w:t>
      </w:r>
      <w:r w:rsidRPr="00262341">
        <w:rPr>
          <w:rFonts w:ascii="Verdana" w:hAnsi="Verdana" w:eastAsia="Verdana" w:cs="Verdana"/>
          <w:color w:val="000000" w:themeColor="text1"/>
          <w:sz w:val="18"/>
          <w:szCs w:val="18"/>
        </w:rPr>
        <w:t>rtikel 3 lid 1 van de MDR betreft de bevoegdheid om middels gedelegeerde handeling, in overeenstemming met artikel 115, de definitie van ‘</w:t>
      </w:r>
      <w:r w:rsidRPr="00262341">
        <w:rPr>
          <w:rFonts w:ascii="Verdana" w:hAnsi="Verdana" w:eastAsia="Verdana" w:cs="Verdana"/>
          <w:i/>
          <w:iCs/>
          <w:color w:val="000000" w:themeColor="text1"/>
          <w:sz w:val="18"/>
          <w:szCs w:val="18"/>
        </w:rPr>
        <w:t>well-</w:t>
      </w:r>
      <w:proofErr w:type="spellStart"/>
      <w:r w:rsidRPr="00262341">
        <w:rPr>
          <w:rFonts w:ascii="Verdana" w:hAnsi="Verdana" w:eastAsia="Verdana" w:cs="Verdana"/>
          <w:i/>
          <w:iCs/>
          <w:color w:val="000000" w:themeColor="text1"/>
          <w:sz w:val="18"/>
          <w:szCs w:val="18"/>
        </w:rPr>
        <w:t>established</w:t>
      </w:r>
      <w:proofErr w:type="spellEnd"/>
      <w:r w:rsidRPr="00262341">
        <w:rPr>
          <w:rFonts w:ascii="Verdana" w:hAnsi="Verdana" w:eastAsia="Verdana" w:cs="Verdana"/>
          <w:i/>
          <w:iCs/>
          <w:color w:val="000000" w:themeColor="text1"/>
          <w:sz w:val="18"/>
          <w:szCs w:val="18"/>
        </w:rPr>
        <w:t xml:space="preserve"> technology device’</w:t>
      </w:r>
      <w:r w:rsidRPr="00262341">
        <w:rPr>
          <w:rFonts w:ascii="Verdana" w:hAnsi="Verdana" w:eastAsia="Verdana" w:cs="Verdana"/>
          <w:color w:val="000000" w:themeColor="text1"/>
          <w:sz w:val="18"/>
          <w:szCs w:val="18"/>
        </w:rPr>
        <w:t xml:space="preserve"> zoals neergelegd in artikel 2 punt 72 te wijzigen, in het licht van technische en wetenschappelijke vooruitgang en met inachtneming van op Europees en internationaal niveau vastgestelde definities. Verder kent Artikel 54, lid 1 van de MDR de bevoegdheid aan de Commissie toe om voor de bescherming van de volksgezondheid of patiëntveiligheid om middels gedelegeerde handelingen vast te stellen welke hulpmiddelen in aanmerking komen voor klinische evaluatie. Daarnaast worden ook bevoegdheden toegekend aan de Commissie in artikel 52a, lid 8 van de MDR en artikel 48a, lid 8 van de IVDR om op basis van gedelegeerde handelingen de conformiteitsbeoordeling van de doorbraaktechnologieën of weeshulpmiddelen aan te passen aan technische en wetenschappelijke ontwikkelingen en daarnaast ontwikkelingen op internationaal niveau in acht te nemen</w:t>
      </w:r>
      <w:r w:rsidRPr="00262341" w:rsidR="00D2172D">
        <w:rPr>
          <w:rFonts w:ascii="Verdana" w:hAnsi="Verdana" w:eastAsia="Verdana" w:cs="Verdana"/>
          <w:color w:val="000000" w:themeColor="text1"/>
          <w:sz w:val="18"/>
          <w:szCs w:val="18"/>
        </w:rPr>
        <w:t>.</w:t>
      </w:r>
      <w:r w:rsidRPr="00262341">
        <w:rPr>
          <w:rFonts w:ascii="Verdana" w:hAnsi="Verdana" w:eastAsia="Verdana" w:cs="Verdana"/>
          <w:color w:val="000000" w:themeColor="text1"/>
          <w:sz w:val="18"/>
          <w:szCs w:val="18"/>
        </w:rPr>
        <w:t xml:space="preserve"> Ook kent artikel 61, lid 14</w:t>
      </w:r>
      <w:r w:rsidRPr="00262341">
        <w:rPr>
          <w:rFonts w:ascii="Verdana" w:hAnsi="Verdana" w:eastAsia="Verdana" w:cs="Verdana"/>
          <w:sz w:val="18"/>
          <w:szCs w:val="18"/>
        </w:rPr>
        <w:t xml:space="preserve"> bevoegdheden toe aan de Commissie om middels gedelegeerde handelingen klinische evaluatie</w:t>
      </w:r>
      <w:r w:rsidRPr="00262341" w:rsidR="008A3009">
        <w:rPr>
          <w:rFonts w:ascii="Verdana" w:hAnsi="Verdana" w:eastAsia="Verdana" w:cs="Verdana"/>
          <w:sz w:val="18"/>
          <w:szCs w:val="18"/>
        </w:rPr>
        <w:t xml:space="preserve"> en klinische navolging na het op de markt brengen</w:t>
      </w:r>
      <w:r w:rsidRPr="00262341">
        <w:rPr>
          <w:rFonts w:ascii="Verdana" w:hAnsi="Verdana" w:eastAsia="Verdana" w:cs="Verdana"/>
          <w:sz w:val="18"/>
          <w:szCs w:val="18"/>
        </w:rPr>
        <w:t xml:space="preserve"> aan te passen in bijlage XIV in het licht van de technische en wetenschappelijke vooruitgang en de ontwikkelingen op internationaal niveau, rekening houdend met de bescherming van de gezondheid en veiligheid van patiënten, gebruikers of andere personen, alsmede van andere aspecten van de volksgezondheid. Ook in artikel 78, lid 15 over de beoordelingsprocedure, </w:t>
      </w:r>
      <w:r w:rsidRPr="00262341">
        <w:rPr>
          <w:rFonts w:ascii="Verdana" w:hAnsi="Verdana" w:eastAsia="Verdana" w:cs="Verdana"/>
          <w:sz w:val="18"/>
          <w:szCs w:val="18"/>
        </w:rPr>
        <w:lastRenderedPageBreak/>
        <w:t xml:space="preserve">termijnen en vergunningen voor klinische evaluatie staan er gedelegeerde handelingen toegekend aan de Commissie conform artikel 115. </w:t>
      </w:r>
      <w:r w:rsidRPr="00262341" w:rsidR="008A3009">
        <w:rPr>
          <w:rFonts w:ascii="Verdana" w:hAnsi="Verdana" w:eastAsia="Verdana" w:cs="Verdana"/>
          <w:sz w:val="18"/>
          <w:szCs w:val="18"/>
        </w:rPr>
        <w:t xml:space="preserve">Daarnaast worden ook bevoegdheden toegekend aan de Commissie in artikel 56, lid 8 van de IVDR om bijlage XIII over </w:t>
      </w:r>
      <w:proofErr w:type="spellStart"/>
      <w:r w:rsidRPr="00262341" w:rsidR="008A3009">
        <w:rPr>
          <w:rFonts w:ascii="Verdana" w:hAnsi="Verdana" w:eastAsia="Verdana" w:cs="Verdana"/>
          <w:sz w:val="18"/>
          <w:szCs w:val="18"/>
        </w:rPr>
        <w:t>interventionele</w:t>
      </w:r>
      <w:proofErr w:type="spellEnd"/>
      <w:r w:rsidRPr="00262341" w:rsidR="008A3009">
        <w:rPr>
          <w:rFonts w:ascii="Verdana" w:hAnsi="Verdana" w:eastAsia="Verdana" w:cs="Verdana"/>
          <w:sz w:val="18"/>
          <w:szCs w:val="18"/>
        </w:rPr>
        <w:t xml:space="preserve"> klinische prestatiestudies en andere prestatiestudies aan te passen, conform artikel 108. </w:t>
      </w:r>
    </w:p>
    <w:p w:rsidRPr="00262341" w:rsidR="004B4D9A" w:rsidP="00262341" w:rsidRDefault="004B4D9A" w14:paraId="2E67E78C" w14:textId="77777777">
      <w:pPr>
        <w:spacing w:line="360" w:lineRule="auto"/>
        <w:rPr>
          <w:rFonts w:ascii="Verdana" w:hAnsi="Verdana" w:eastAsia="Verdana" w:cs="Verdana"/>
          <w:sz w:val="18"/>
          <w:szCs w:val="18"/>
        </w:rPr>
      </w:pPr>
    </w:p>
    <w:p w:rsidRPr="00262341" w:rsidR="00035FB2" w:rsidP="00262341" w:rsidRDefault="154B6599" w14:paraId="3B6574D4" w14:textId="20BE5892">
      <w:pPr>
        <w:spacing w:line="360" w:lineRule="auto"/>
        <w:rPr>
          <w:rFonts w:ascii="Verdana" w:hAnsi="Verdana" w:eastAsia="Verdana" w:cs="Verdana"/>
          <w:sz w:val="18"/>
          <w:szCs w:val="18"/>
        </w:rPr>
      </w:pPr>
      <w:r w:rsidRPr="00262341">
        <w:rPr>
          <w:rFonts w:ascii="Verdana" w:hAnsi="Verdana" w:eastAsia="Verdana" w:cs="Verdana"/>
          <w:sz w:val="18"/>
          <w:szCs w:val="18"/>
        </w:rPr>
        <w:t>Ook in artikel 74, lid 15 zijn er bevoegdheden om middels gedelegeerde handelingen aanpassingen te maken over de gecoördineerde beoordelingsprocedure voor prestatiestudies</w:t>
      </w:r>
      <w:r w:rsidRPr="00262341" w:rsidR="00A2669F">
        <w:rPr>
          <w:rFonts w:ascii="Verdana" w:hAnsi="Verdana" w:eastAsia="Verdana" w:cs="Verdana"/>
          <w:sz w:val="18"/>
          <w:szCs w:val="18"/>
        </w:rPr>
        <w:t>.</w:t>
      </w:r>
      <w:r w:rsidRPr="00262341">
        <w:rPr>
          <w:rFonts w:ascii="Verdana" w:hAnsi="Verdana" w:eastAsia="Verdana" w:cs="Verdana"/>
          <w:color w:val="000000" w:themeColor="text1"/>
          <w:sz w:val="18"/>
          <w:szCs w:val="18"/>
        </w:rPr>
        <w:t xml:space="preserve"> </w:t>
      </w:r>
      <w:r w:rsidRPr="00262341" w:rsidR="00D2172D">
        <w:rPr>
          <w:rFonts w:ascii="Verdana" w:hAnsi="Verdana" w:eastAsia="Verdana" w:cs="Verdana"/>
          <w:color w:val="000000" w:themeColor="text1"/>
          <w:sz w:val="18"/>
          <w:szCs w:val="18"/>
        </w:rPr>
        <w:t>D</w:t>
      </w:r>
      <w:r w:rsidRPr="00262341">
        <w:rPr>
          <w:rFonts w:ascii="Verdana" w:hAnsi="Verdana" w:eastAsia="Verdana" w:cs="Verdana"/>
          <w:color w:val="000000" w:themeColor="text1"/>
          <w:sz w:val="18"/>
          <w:szCs w:val="18"/>
        </w:rPr>
        <w:t>aarnaast ken</w:t>
      </w:r>
      <w:r w:rsidRPr="00262341" w:rsidR="00747818">
        <w:rPr>
          <w:rFonts w:ascii="Verdana" w:hAnsi="Verdana" w:eastAsia="Verdana" w:cs="Verdana"/>
          <w:color w:val="000000" w:themeColor="text1"/>
          <w:sz w:val="18"/>
          <w:szCs w:val="18"/>
        </w:rPr>
        <w:t xml:space="preserve">t </w:t>
      </w:r>
      <w:r w:rsidRPr="00262341">
        <w:rPr>
          <w:rFonts w:ascii="Verdana" w:hAnsi="Verdana" w:eastAsia="Verdana" w:cs="Verdana"/>
          <w:sz w:val="18"/>
          <w:szCs w:val="18"/>
        </w:rPr>
        <w:t xml:space="preserve">artikel 106, lid 10 van de MDR </w:t>
      </w:r>
      <w:r w:rsidRPr="00262341" w:rsidR="00747818">
        <w:rPr>
          <w:rFonts w:ascii="Verdana" w:hAnsi="Verdana" w:eastAsia="Verdana" w:cs="Verdana"/>
          <w:sz w:val="18"/>
          <w:szCs w:val="18"/>
        </w:rPr>
        <w:t>de bevoegdheid</w:t>
      </w:r>
      <w:r w:rsidRPr="00262341">
        <w:rPr>
          <w:rFonts w:ascii="Verdana" w:hAnsi="Verdana" w:eastAsia="Verdana" w:cs="Verdana"/>
          <w:sz w:val="18"/>
          <w:szCs w:val="18"/>
        </w:rPr>
        <w:t xml:space="preserve"> aan de Commissie toe om middels gedelegeerde handelingen taken toe te voegen, aan te passen en te verwijderen voor </w:t>
      </w:r>
      <w:r w:rsidRPr="00262341">
        <w:rPr>
          <w:rFonts w:ascii="Verdana" w:hAnsi="Verdana" w:eastAsia="Verdana" w:cs="Verdana"/>
          <w:i/>
          <w:sz w:val="18"/>
          <w:szCs w:val="18"/>
        </w:rPr>
        <w:t>expert panel</w:t>
      </w:r>
      <w:r w:rsidRPr="00262341" w:rsidR="008D36BC">
        <w:rPr>
          <w:rFonts w:ascii="Verdana" w:hAnsi="Verdana" w:eastAsia="Verdana" w:cs="Verdana"/>
          <w:i/>
          <w:sz w:val="18"/>
          <w:szCs w:val="18"/>
        </w:rPr>
        <w:t>s</w:t>
      </w:r>
      <w:r w:rsidRPr="00262341">
        <w:rPr>
          <w:rFonts w:ascii="Verdana" w:hAnsi="Verdana" w:eastAsia="Verdana" w:cs="Verdana"/>
          <w:sz w:val="18"/>
          <w:szCs w:val="18"/>
        </w:rPr>
        <w:t xml:space="preserve"> conform artikel 115 MDR. </w:t>
      </w:r>
      <w:r w:rsidRPr="00262341">
        <w:rPr>
          <w:rFonts w:ascii="Verdana" w:hAnsi="Verdana" w:eastAsia="Verdana" w:cs="Verdana"/>
          <w:color w:val="000000" w:themeColor="text1"/>
          <w:sz w:val="18"/>
          <w:szCs w:val="18"/>
        </w:rPr>
        <w:t>Het toekennen van bovenstaande bevoegdheden is mogelijk</w:t>
      </w:r>
      <w:r w:rsidRPr="00262341" w:rsidR="00D2172D">
        <w:rPr>
          <w:rFonts w:ascii="Verdana" w:hAnsi="Verdana" w:eastAsia="Verdana" w:cs="Verdana"/>
          <w:color w:val="000000" w:themeColor="text1"/>
          <w:sz w:val="18"/>
          <w:szCs w:val="18"/>
        </w:rPr>
        <w:t>,</w:t>
      </w:r>
      <w:r w:rsidRPr="00262341">
        <w:rPr>
          <w:rFonts w:ascii="Verdana" w:hAnsi="Verdana" w:eastAsia="Verdana" w:cs="Verdana"/>
          <w:color w:val="000000" w:themeColor="text1"/>
          <w:sz w:val="18"/>
          <w:szCs w:val="18"/>
        </w:rPr>
        <w:t xml:space="preserve"> omdat dit niet-essentiële onderdelen van de basishandelingen betreffen. </w:t>
      </w:r>
      <w:r w:rsidRPr="00262341" w:rsidR="008D36BC">
        <w:rPr>
          <w:rFonts w:ascii="Verdana" w:hAnsi="Verdana" w:eastAsia="Verdana" w:cs="Verdana"/>
          <w:color w:val="000000" w:themeColor="text1"/>
          <w:sz w:val="18"/>
          <w:szCs w:val="18"/>
        </w:rPr>
        <w:t>Voor de expert laboratoria is deze bevoegdheid toegekend in artikel 106a</w:t>
      </w:r>
      <w:r w:rsidRPr="00262341" w:rsidR="00747818">
        <w:rPr>
          <w:rFonts w:ascii="Verdana" w:hAnsi="Verdana" w:eastAsia="Verdana" w:cs="Verdana"/>
          <w:color w:val="000000" w:themeColor="text1"/>
          <w:sz w:val="18"/>
          <w:szCs w:val="18"/>
        </w:rPr>
        <w:t>, lid 4</w:t>
      </w:r>
      <w:r w:rsidRPr="00262341" w:rsidR="008D36BC">
        <w:rPr>
          <w:rFonts w:ascii="Verdana" w:hAnsi="Verdana" w:eastAsia="Verdana" w:cs="Verdana"/>
          <w:color w:val="000000" w:themeColor="text1"/>
          <w:sz w:val="18"/>
          <w:szCs w:val="18"/>
        </w:rPr>
        <w:t xml:space="preserve"> van de MDR </w:t>
      </w:r>
      <w:r w:rsidRPr="00262341" w:rsidR="00747818">
        <w:rPr>
          <w:rFonts w:ascii="Verdana" w:hAnsi="Verdana" w:eastAsia="Verdana" w:cs="Verdana"/>
          <w:color w:val="000000" w:themeColor="text1"/>
          <w:sz w:val="18"/>
          <w:szCs w:val="18"/>
        </w:rPr>
        <w:t xml:space="preserve">en </w:t>
      </w:r>
      <w:r w:rsidRPr="00262341" w:rsidR="00747818">
        <w:rPr>
          <w:rFonts w:ascii="Verdana" w:hAnsi="Verdana" w:eastAsia="Verdana" w:cs="Verdana"/>
          <w:sz w:val="18"/>
          <w:szCs w:val="18"/>
        </w:rPr>
        <w:t>artikel 100, lid 2 van de IVDR.</w:t>
      </w:r>
      <w:r w:rsidRPr="00262341" w:rsidR="008D36BC">
        <w:rPr>
          <w:rFonts w:ascii="Verdana" w:hAnsi="Verdana" w:eastAsia="Verdana" w:cs="Verdana"/>
          <w:color w:val="000000" w:themeColor="text1"/>
          <w:sz w:val="18"/>
          <w:szCs w:val="18"/>
        </w:rPr>
        <w:t xml:space="preserve"> </w:t>
      </w:r>
      <w:r w:rsidRPr="00262341">
        <w:rPr>
          <w:rFonts w:ascii="Verdana" w:hAnsi="Verdana" w:eastAsia="Verdana" w:cs="Verdana"/>
          <w:color w:val="000000" w:themeColor="text1"/>
          <w:sz w:val="18"/>
          <w:szCs w:val="18"/>
        </w:rPr>
        <w:t xml:space="preserve">Het toekennen van deze bevoegdheden acht het kabinet wenselijk, omdat hiermee snel en flexibel ingespeeld kan worden op de technologische ontwikkelingen alsook de mogelijke risico’s en de veiligheid kan worden gewaarborgd. Delegatie in plaats van uitvoering ligt hier voor de hand omdat hiermee de basishandeling wordt geactualiseerd. </w:t>
      </w:r>
      <w:r w:rsidRPr="00262341">
        <w:rPr>
          <w:rFonts w:ascii="Verdana" w:hAnsi="Verdana" w:eastAsia="Verdana" w:cs="Verdana"/>
          <w:sz w:val="18"/>
          <w:szCs w:val="18"/>
        </w:rPr>
        <w:t>Het kabinet acht deze bevoegdhed</w:t>
      </w:r>
      <w:r w:rsidRPr="00262341" w:rsidR="006A2FD8">
        <w:rPr>
          <w:rFonts w:ascii="Verdana" w:hAnsi="Verdana" w:eastAsia="Verdana" w:cs="Verdana"/>
          <w:sz w:val="18"/>
          <w:szCs w:val="18"/>
        </w:rPr>
        <w:t>en</w:t>
      </w:r>
      <w:r w:rsidRPr="00262341">
        <w:rPr>
          <w:rFonts w:ascii="Verdana" w:hAnsi="Verdana" w:eastAsia="Verdana" w:cs="Verdana"/>
          <w:sz w:val="18"/>
          <w:szCs w:val="18"/>
        </w:rPr>
        <w:t xml:space="preserve"> voldoende afgebakend.</w:t>
      </w:r>
      <w:bookmarkStart w:name="_Hlk219356099" w:id="3"/>
    </w:p>
    <w:p w:rsidRPr="00262341" w:rsidR="00E206E7" w:rsidP="00262341" w:rsidRDefault="00E206E7" w14:paraId="617BB81E" w14:textId="77777777">
      <w:pPr>
        <w:spacing w:line="360" w:lineRule="auto"/>
        <w:rPr>
          <w:rFonts w:ascii="Verdana" w:hAnsi="Verdana" w:eastAsia="Verdana" w:cs="Verdana"/>
          <w:color w:val="000000" w:themeColor="text1"/>
          <w:sz w:val="18"/>
          <w:szCs w:val="18"/>
        </w:rPr>
      </w:pPr>
    </w:p>
    <w:p w:rsidRPr="00262341" w:rsidR="00A20185" w:rsidP="00262341" w:rsidRDefault="00E206E7" w14:paraId="631DF235" w14:textId="3F719D5A">
      <w:pPr>
        <w:spacing w:line="360" w:lineRule="auto"/>
        <w:rPr>
          <w:rFonts w:ascii="Verdana" w:hAnsi="Verdana" w:eastAsia="Verdana" w:cs="Verdana"/>
          <w:sz w:val="18"/>
          <w:szCs w:val="18"/>
        </w:rPr>
      </w:pPr>
      <w:r w:rsidRPr="00262341">
        <w:rPr>
          <w:rFonts w:ascii="Verdana" w:hAnsi="Verdana"/>
          <w:sz w:val="18"/>
          <w:szCs w:val="18"/>
        </w:rPr>
        <w:t>Zowel de MDR als IVD</w:t>
      </w:r>
      <w:r w:rsidRPr="00262341" w:rsidR="00A63000">
        <w:rPr>
          <w:rFonts w:ascii="Verdana" w:hAnsi="Verdana"/>
          <w:sz w:val="18"/>
          <w:szCs w:val="18"/>
        </w:rPr>
        <w:t>R</w:t>
      </w:r>
      <w:r w:rsidRPr="00262341" w:rsidR="00651D32">
        <w:rPr>
          <w:rFonts w:ascii="Verdana" w:hAnsi="Verdana"/>
          <w:sz w:val="18"/>
          <w:szCs w:val="18"/>
        </w:rPr>
        <w:t xml:space="preserve"> </w:t>
      </w:r>
      <w:r w:rsidRPr="00262341">
        <w:rPr>
          <w:rFonts w:ascii="Verdana" w:hAnsi="Verdana"/>
          <w:sz w:val="18"/>
          <w:szCs w:val="18"/>
        </w:rPr>
        <w:t>bevatten in de in beide verordeningen nieuw toegevoegde artikelen 5</w:t>
      </w:r>
      <w:r w:rsidRPr="00262341" w:rsidR="00A63000">
        <w:rPr>
          <w:rFonts w:ascii="Verdana" w:hAnsi="Verdana"/>
          <w:sz w:val="18"/>
          <w:szCs w:val="18"/>
        </w:rPr>
        <w:t>,</w:t>
      </w:r>
      <w:r w:rsidRPr="00262341">
        <w:rPr>
          <w:rFonts w:ascii="Verdana" w:hAnsi="Verdana"/>
          <w:sz w:val="18"/>
          <w:szCs w:val="18"/>
        </w:rPr>
        <w:t xml:space="preserve"> lid 7</w:t>
      </w:r>
      <w:r w:rsidRPr="00262341" w:rsidR="00A63000">
        <w:rPr>
          <w:rFonts w:ascii="Verdana" w:hAnsi="Verdana"/>
          <w:sz w:val="18"/>
          <w:szCs w:val="18"/>
        </w:rPr>
        <w:t>,</w:t>
      </w:r>
      <w:r w:rsidRPr="00262341">
        <w:rPr>
          <w:rFonts w:ascii="Verdana" w:hAnsi="Verdana"/>
          <w:sz w:val="18"/>
          <w:szCs w:val="18"/>
        </w:rPr>
        <w:t xml:space="preserve"> waarin bevoegdhed</w:t>
      </w:r>
      <w:r w:rsidRPr="00262341" w:rsidR="00651D32">
        <w:rPr>
          <w:rFonts w:ascii="Verdana" w:hAnsi="Verdana"/>
          <w:sz w:val="18"/>
          <w:szCs w:val="18"/>
        </w:rPr>
        <w:t>en</w:t>
      </w:r>
      <w:r w:rsidRPr="00262341">
        <w:rPr>
          <w:rFonts w:ascii="Verdana" w:hAnsi="Verdana"/>
          <w:sz w:val="18"/>
          <w:szCs w:val="18"/>
        </w:rPr>
        <w:t xml:space="preserve"> voor de Commissie </w:t>
      </w:r>
      <w:r w:rsidRPr="00262341" w:rsidR="00651D32">
        <w:rPr>
          <w:rFonts w:ascii="Verdana" w:hAnsi="Verdana"/>
          <w:sz w:val="18"/>
          <w:szCs w:val="18"/>
        </w:rPr>
        <w:t>zijn</w:t>
      </w:r>
      <w:r w:rsidRPr="00262341">
        <w:rPr>
          <w:rFonts w:ascii="Verdana" w:hAnsi="Verdana"/>
          <w:sz w:val="18"/>
          <w:szCs w:val="18"/>
        </w:rPr>
        <w:t xml:space="preserve"> opgenomen om gedelegeerde handelingen vast te stellen, in overeenstemming met artikel 115 MDR en artikel 108 IVDR, i</w:t>
      </w:r>
      <w:r w:rsidRPr="00262341">
        <w:rPr>
          <w:rFonts w:ascii="Verdana" w:hAnsi="Verdana" w:eastAsia="Verdana" w:cs="Verdana"/>
          <w:sz w:val="18"/>
          <w:szCs w:val="18"/>
        </w:rPr>
        <w:t>nzake het aanpassen of toevoegen van de algemene veiligheids- en prestatie eisen in bijlage I</w:t>
      </w:r>
      <w:r w:rsidRPr="00262341" w:rsidR="00936BF1">
        <w:rPr>
          <w:rFonts w:ascii="Verdana" w:hAnsi="Verdana" w:eastAsia="Verdana" w:cs="Verdana"/>
          <w:sz w:val="18"/>
          <w:szCs w:val="18"/>
        </w:rPr>
        <w:t>. Dit kan de Commissie doen</w:t>
      </w:r>
      <w:r w:rsidRPr="00262341">
        <w:rPr>
          <w:rFonts w:ascii="Verdana" w:hAnsi="Verdana" w:eastAsia="Verdana" w:cs="Verdana"/>
          <w:sz w:val="18"/>
          <w:szCs w:val="18"/>
        </w:rPr>
        <w:t xml:space="preserve"> </w:t>
      </w:r>
      <w:r w:rsidRPr="00262341">
        <w:rPr>
          <w:rFonts w:ascii="Verdana" w:hAnsi="Verdana" w:eastAsia="Verdana" w:cs="Verdana"/>
          <w:color w:val="000000" w:themeColor="text1"/>
          <w:sz w:val="18"/>
          <w:szCs w:val="18"/>
        </w:rPr>
        <w:t xml:space="preserve">in het licht van technische en wetenschappelijke vooruitgang </w:t>
      </w:r>
      <w:r w:rsidRPr="00262341">
        <w:rPr>
          <w:rFonts w:ascii="Verdana" w:hAnsi="Verdana" w:eastAsia="Verdana" w:cs="Verdana"/>
          <w:sz w:val="18"/>
          <w:szCs w:val="18"/>
        </w:rPr>
        <w:t xml:space="preserve">of om eisen toe te voegen met betrekking tot opkomende risico's of technologieën. </w:t>
      </w:r>
      <w:r w:rsidRPr="00262341" w:rsidR="00A20185">
        <w:rPr>
          <w:rFonts w:ascii="Verdana" w:hAnsi="Verdana" w:eastAsia="Verdana" w:cs="Verdana"/>
          <w:sz w:val="18"/>
          <w:szCs w:val="18"/>
        </w:rPr>
        <w:t>Verder kent artikel 36, lid 4 van de MDR</w:t>
      </w:r>
      <w:r w:rsidRPr="00262341" w:rsidR="00F947B5">
        <w:rPr>
          <w:rFonts w:ascii="Verdana" w:hAnsi="Verdana" w:eastAsia="Verdana" w:cs="Verdana"/>
          <w:sz w:val="18"/>
          <w:szCs w:val="18"/>
        </w:rPr>
        <w:t>,</w:t>
      </w:r>
      <w:r w:rsidRPr="00262341" w:rsidR="00A20185">
        <w:rPr>
          <w:rFonts w:ascii="Verdana" w:hAnsi="Verdana" w:eastAsia="Verdana" w:cs="Verdana"/>
          <w:color w:val="000000" w:themeColor="text1"/>
          <w:sz w:val="18"/>
          <w:szCs w:val="18"/>
        </w:rPr>
        <w:t xml:space="preserve"> de bevoegdheid aan de Commissie toe om, </w:t>
      </w:r>
      <w:r w:rsidRPr="00262341" w:rsidR="00A20185">
        <w:rPr>
          <w:rFonts w:ascii="Verdana" w:hAnsi="Verdana" w:eastAsia="Verdana" w:cs="Verdana"/>
          <w:sz w:val="18"/>
          <w:szCs w:val="18"/>
        </w:rPr>
        <w:t xml:space="preserve">in overeenstemming met artikel 115, middels gedelegeerde handelingen bijlage VII, inzake de vereisten voor </w:t>
      </w:r>
      <w:proofErr w:type="spellStart"/>
      <w:r w:rsidRPr="00262341" w:rsidR="00A20185">
        <w:rPr>
          <w:rFonts w:ascii="Verdana" w:hAnsi="Verdana" w:eastAsia="Verdana" w:cs="Verdana"/>
          <w:i/>
          <w:sz w:val="18"/>
          <w:szCs w:val="18"/>
        </w:rPr>
        <w:t>notified</w:t>
      </w:r>
      <w:proofErr w:type="spellEnd"/>
      <w:r w:rsidRPr="00262341" w:rsidR="00A20185">
        <w:rPr>
          <w:rFonts w:ascii="Verdana" w:hAnsi="Verdana" w:eastAsia="Verdana" w:cs="Verdana"/>
          <w:i/>
          <w:sz w:val="18"/>
          <w:szCs w:val="18"/>
        </w:rPr>
        <w:t xml:space="preserve"> </w:t>
      </w:r>
      <w:proofErr w:type="spellStart"/>
      <w:r w:rsidRPr="00262341" w:rsidR="00A20185">
        <w:rPr>
          <w:rFonts w:ascii="Verdana" w:hAnsi="Verdana" w:eastAsia="Verdana" w:cs="Verdana"/>
          <w:i/>
          <w:sz w:val="18"/>
          <w:szCs w:val="18"/>
        </w:rPr>
        <w:t>bodies</w:t>
      </w:r>
      <w:proofErr w:type="spellEnd"/>
      <w:r w:rsidRPr="00262341" w:rsidR="00A20185">
        <w:rPr>
          <w:rFonts w:ascii="Verdana" w:hAnsi="Verdana" w:eastAsia="Verdana" w:cs="Verdana"/>
          <w:sz w:val="18"/>
          <w:szCs w:val="18"/>
        </w:rPr>
        <w:t xml:space="preserve"> te wijzigen in het licht van technische of wetenschappelijke vooruitgang op het gebied van de conformiteitsbeoordeling van medische hulpmiddelen, met inbegrip van ontwikkelingen op internationaal niveau. Voor de IVDR is deze bevoegdheid toegekend in artikel 32, lid 4 in overeenstemming met artikel 108. </w:t>
      </w:r>
      <w:r w:rsidRPr="00262341" w:rsidR="00633AF9">
        <w:rPr>
          <w:rFonts w:ascii="Verdana" w:hAnsi="Verdana" w:eastAsia="Verdana" w:cs="Verdana"/>
          <w:sz w:val="18"/>
          <w:szCs w:val="18"/>
        </w:rPr>
        <w:t>Daarnaast zijn er in artikel 52 lid 15 van de MDR bevoegdheden aan de Commissie toegekend om gedelegeerde handelingen vast te stellen</w:t>
      </w:r>
      <w:r w:rsidRPr="00262341" w:rsidR="00633AF9">
        <w:rPr>
          <w:rFonts w:ascii="Verdana" w:hAnsi="Verdana" w:eastAsia="Verdana" w:cs="Verdana"/>
          <w:color w:val="000000" w:themeColor="text1"/>
          <w:sz w:val="18"/>
          <w:szCs w:val="18"/>
        </w:rPr>
        <w:t xml:space="preserve">, in overeenstemming met artikel 115 </w:t>
      </w:r>
      <w:r w:rsidRPr="00262341" w:rsidR="008B5784">
        <w:rPr>
          <w:rFonts w:ascii="Verdana" w:hAnsi="Verdana" w:eastAsia="Verdana" w:cs="Verdana"/>
          <w:color w:val="000000" w:themeColor="text1"/>
          <w:sz w:val="18"/>
          <w:szCs w:val="18"/>
        </w:rPr>
        <w:t xml:space="preserve">van de </w:t>
      </w:r>
      <w:r w:rsidRPr="00262341" w:rsidR="00633AF9">
        <w:rPr>
          <w:rFonts w:ascii="Verdana" w:hAnsi="Verdana" w:eastAsia="Verdana" w:cs="Verdana"/>
          <w:color w:val="000000" w:themeColor="text1"/>
          <w:sz w:val="18"/>
          <w:szCs w:val="18"/>
        </w:rPr>
        <w:t xml:space="preserve">MDR, tot wijziging van </w:t>
      </w:r>
      <w:r w:rsidRPr="00262341" w:rsidR="00633AF9">
        <w:rPr>
          <w:rFonts w:ascii="Verdana" w:hAnsi="Verdana" w:eastAsia="Verdana" w:cs="Verdana"/>
          <w:sz w:val="18"/>
          <w:szCs w:val="18"/>
        </w:rPr>
        <w:t>de bijlagen IX, X, XI en XIII in het licht van technische of wetenschappelijke vooruitgang op het gebied van de conformiteitsbeoordeling van medische hulpmiddelen, met inbegrip van ontwikkelingen op internationaal niveau en daarbij rekening houden</w:t>
      </w:r>
      <w:r w:rsidRPr="00262341" w:rsidR="00AA2909">
        <w:rPr>
          <w:rFonts w:ascii="Verdana" w:hAnsi="Verdana" w:eastAsia="Verdana" w:cs="Verdana"/>
          <w:sz w:val="18"/>
          <w:szCs w:val="18"/>
        </w:rPr>
        <w:t>de</w:t>
      </w:r>
      <w:r w:rsidRPr="00262341" w:rsidR="00633AF9">
        <w:rPr>
          <w:rFonts w:ascii="Verdana" w:hAnsi="Verdana" w:eastAsia="Verdana" w:cs="Verdana"/>
          <w:sz w:val="18"/>
          <w:szCs w:val="18"/>
        </w:rPr>
        <w:t xml:space="preserve"> met specifieke hulpmiddelen gezien hun bijzondere kenmerken. Voor de IVDR is deze bevoegdheid toegekend in artikel 48, lid 14, in overeenstemming met artikel 108.</w:t>
      </w:r>
    </w:p>
    <w:p w:rsidRPr="00262341" w:rsidR="60D17D35" w:rsidP="00262341" w:rsidRDefault="064EE122" w14:paraId="40552CBC" w14:textId="2F1D8530">
      <w:pPr>
        <w:spacing w:line="360" w:lineRule="auto"/>
        <w:rPr>
          <w:rFonts w:ascii="Verdana" w:hAnsi="Verdana" w:eastAsia="Verdana" w:cs="Verdana"/>
          <w:sz w:val="18"/>
          <w:szCs w:val="18"/>
        </w:rPr>
      </w:pPr>
      <w:r w:rsidRPr="00262341">
        <w:rPr>
          <w:rFonts w:ascii="Verdana" w:hAnsi="Verdana" w:eastAsia="Verdana" w:cs="Verdana"/>
          <w:color w:val="000000" w:themeColor="text1"/>
          <w:sz w:val="18"/>
          <w:szCs w:val="18"/>
        </w:rPr>
        <w:t>Het toekennen van deze bevoegdheden is mogelijk aangezien het geen essentiële onderdelen van de basishandeling betref</w:t>
      </w:r>
      <w:r w:rsidRPr="00262341" w:rsidR="005973E0">
        <w:rPr>
          <w:rFonts w:ascii="Verdana" w:hAnsi="Verdana" w:eastAsia="Verdana" w:cs="Verdana"/>
          <w:color w:val="000000" w:themeColor="text1"/>
          <w:sz w:val="18"/>
          <w:szCs w:val="18"/>
        </w:rPr>
        <w:t>fen</w:t>
      </w:r>
      <w:r w:rsidRPr="00262341">
        <w:rPr>
          <w:rFonts w:ascii="Verdana" w:hAnsi="Verdana" w:eastAsia="Verdana" w:cs="Verdana"/>
          <w:color w:val="000000" w:themeColor="text1"/>
          <w:sz w:val="18"/>
          <w:szCs w:val="18"/>
        </w:rPr>
        <w:t xml:space="preserve">. </w:t>
      </w:r>
      <w:r w:rsidRPr="00262341" w:rsidR="006A2FD8">
        <w:rPr>
          <w:rFonts w:ascii="Verdana" w:hAnsi="Verdana" w:eastAsia="Verdana" w:cs="Verdana"/>
          <w:color w:val="000000" w:themeColor="text1"/>
          <w:sz w:val="18"/>
          <w:szCs w:val="18"/>
        </w:rPr>
        <w:t xml:space="preserve">Het toekennen van deze bevoegdheden is wenselijk, omdat hiermee de wetgevingsprocedure niet belast wordt. </w:t>
      </w:r>
      <w:r w:rsidRPr="00262341">
        <w:rPr>
          <w:rFonts w:ascii="Verdana" w:hAnsi="Verdana" w:eastAsia="Verdana" w:cs="Verdana"/>
          <w:color w:val="000000" w:themeColor="text1"/>
          <w:sz w:val="18"/>
          <w:szCs w:val="18"/>
        </w:rPr>
        <w:t>De bevoegdheden zijn aldus het kabinet</w:t>
      </w:r>
      <w:r w:rsidRPr="00262341" w:rsidR="006A2FD8">
        <w:rPr>
          <w:rFonts w:ascii="Verdana" w:hAnsi="Verdana" w:eastAsia="Verdana" w:cs="Verdana"/>
          <w:color w:val="000000" w:themeColor="text1"/>
          <w:sz w:val="18"/>
          <w:szCs w:val="18"/>
        </w:rPr>
        <w:t xml:space="preserve"> echter</w:t>
      </w:r>
      <w:r w:rsidRPr="00262341">
        <w:rPr>
          <w:rFonts w:ascii="Verdana" w:hAnsi="Verdana" w:eastAsia="Verdana" w:cs="Verdana"/>
          <w:color w:val="000000" w:themeColor="text1"/>
          <w:sz w:val="18"/>
          <w:szCs w:val="18"/>
        </w:rPr>
        <w:t xml:space="preserve"> niet voldoende afgebakend, omdat gewaarborgd dient te worden dat de veiligheidseisen aan een minimale standaard voldoen</w:t>
      </w:r>
      <w:r w:rsidRPr="00262341" w:rsidR="00633AF9">
        <w:rPr>
          <w:rFonts w:ascii="Verdana" w:hAnsi="Verdana" w:eastAsia="Verdana" w:cs="Verdana"/>
          <w:sz w:val="18"/>
          <w:szCs w:val="18"/>
        </w:rPr>
        <w:t xml:space="preserve">. Verder moet </w:t>
      </w:r>
      <w:r w:rsidRPr="00262341" w:rsidR="60D17D35">
        <w:rPr>
          <w:rFonts w:ascii="Verdana" w:hAnsi="Verdana" w:eastAsia="Verdana" w:cs="Verdana"/>
          <w:color w:val="000000" w:themeColor="text1"/>
          <w:sz w:val="18"/>
          <w:szCs w:val="18"/>
        </w:rPr>
        <w:t xml:space="preserve">een balans worden gevonden tussen enerzijds het mogelijk maken van snelle aanpassingen in het licht van technische of wetenschappelijke </w:t>
      </w:r>
      <w:r w:rsidRPr="00262341" w:rsidR="60D17D35">
        <w:rPr>
          <w:rFonts w:ascii="Verdana" w:hAnsi="Verdana" w:eastAsia="Verdana" w:cs="Verdana"/>
          <w:color w:val="000000" w:themeColor="text1"/>
          <w:sz w:val="18"/>
          <w:szCs w:val="18"/>
        </w:rPr>
        <w:lastRenderedPageBreak/>
        <w:t xml:space="preserve">vooruitgang en anderzijds het bieden van genoeg (rechts)zekerheid aan </w:t>
      </w:r>
      <w:r w:rsidRPr="00262341" w:rsidR="00633AF9">
        <w:rPr>
          <w:rFonts w:ascii="Verdana" w:hAnsi="Verdana" w:eastAsia="Verdana" w:cs="Verdana"/>
          <w:color w:val="000000" w:themeColor="text1"/>
          <w:sz w:val="18"/>
          <w:szCs w:val="18"/>
        </w:rPr>
        <w:t>marktdeelnemers</w:t>
      </w:r>
      <w:r w:rsidRPr="00262341" w:rsidR="60D17D35">
        <w:rPr>
          <w:rFonts w:ascii="Verdana" w:hAnsi="Verdana" w:eastAsia="Verdana" w:cs="Verdana"/>
          <w:color w:val="000000" w:themeColor="text1"/>
          <w:sz w:val="18"/>
          <w:szCs w:val="18"/>
        </w:rPr>
        <w:t>. Rechtsonzekerheid kan negatieve gevolgen hebben voor de conformiteitsbeoordelingsprocedures,</w:t>
      </w:r>
      <w:r w:rsidRPr="00262341" w:rsidR="00633AF9">
        <w:rPr>
          <w:rFonts w:ascii="Verdana" w:hAnsi="Verdana" w:eastAsia="Verdana" w:cs="Verdana"/>
          <w:color w:val="000000" w:themeColor="text1"/>
          <w:sz w:val="18"/>
          <w:szCs w:val="18"/>
        </w:rPr>
        <w:t xml:space="preserve"> </w:t>
      </w:r>
      <w:r w:rsidRPr="00262341" w:rsidR="00AA2909">
        <w:rPr>
          <w:rFonts w:ascii="Verdana" w:hAnsi="Verdana" w:eastAsia="Verdana" w:cs="Verdana"/>
          <w:color w:val="000000" w:themeColor="text1"/>
          <w:sz w:val="18"/>
          <w:szCs w:val="18"/>
        </w:rPr>
        <w:t xml:space="preserve">administratieve lasten en algemene werkbaarheid van het systeem voor </w:t>
      </w:r>
      <w:proofErr w:type="spellStart"/>
      <w:r w:rsidRPr="00262341" w:rsidR="60D17D35">
        <w:rPr>
          <w:rFonts w:ascii="Verdana" w:hAnsi="Verdana" w:eastAsia="Verdana" w:cs="Verdana"/>
          <w:i/>
          <w:color w:val="000000" w:themeColor="text1"/>
          <w:sz w:val="18"/>
          <w:szCs w:val="18"/>
        </w:rPr>
        <w:t>notified</w:t>
      </w:r>
      <w:proofErr w:type="spellEnd"/>
      <w:r w:rsidRPr="00262341" w:rsidR="60D17D35">
        <w:rPr>
          <w:rFonts w:ascii="Verdana" w:hAnsi="Verdana" w:eastAsia="Verdana" w:cs="Verdana"/>
          <w:i/>
          <w:color w:val="000000" w:themeColor="text1"/>
          <w:sz w:val="18"/>
          <w:szCs w:val="18"/>
        </w:rPr>
        <w:t xml:space="preserve"> </w:t>
      </w:r>
      <w:proofErr w:type="spellStart"/>
      <w:r w:rsidRPr="00262341" w:rsidR="60D17D35">
        <w:rPr>
          <w:rFonts w:ascii="Verdana" w:hAnsi="Verdana" w:eastAsia="Verdana" w:cs="Verdana"/>
          <w:i/>
          <w:color w:val="000000" w:themeColor="text1"/>
          <w:sz w:val="18"/>
          <w:szCs w:val="18"/>
        </w:rPr>
        <w:t>bodies</w:t>
      </w:r>
      <w:proofErr w:type="spellEnd"/>
      <w:r w:rsidRPr="00262341" w:rsidR="005B2217">
        <w:rPr>
          <w:rFonts w:ascii="Verdana" w:hAnsi="Verdana" w:eastAsia="Verdana" w:cs="Verdana"/>
          <w:color w:val="000000" w:themeColor="text1"/>
          <w:sz w:val="18"/>
          <w:szCs w:val="18"/>
        </w:rPr>
        <w:t>.</w:t>
      </w:r>
      <w:r w:rsidRPr="00262341" w:rsidR="00633AF9">
        <w:rPr>
          <w:rFonts w:ascii="Verdana" w:hAnsi="Verdana" w:eastAsia="Verdana" w:cs="Verdana"/>
          <w:sz w:val="18"/>
          <w:szCs w:val="18"/>
        </w:rPr>
        <w:t xml:space="preserve"> Delegatie in plaats van uitvoering ligt hier voor de hand omdat het de wijziging van een basishandeling betreft via wijziging van de bijlages.</w:t>
      </w:r>
    </w:p>
    <w:p w:rsidRPr="00262341" w:rsidR="00E206E7" w:rsidP="00262341" w:rsidRDefault="00E206E7" w14:paraId="39EC2507" w14:textId="77777777">
      <w:pPr>
        <w:spacing w:line="360" w:lineRule="auto"/>
        <w:rPr>
          <w:rFonts w:ascii="Verdana" w:hAnsi="Verdana" w:eastAsia="Verdana" w:cs="Verdana"/>
          <w:color w:val="000000" w:themeColor="text1"/>
          <w:sz w:val="18"/>
          <w:szCs w:val="18"/>
        </w:rPr>
      </w:pPr>
    </w:p>
    <w:p w:rsidRPr="00262341" w:rsidR="00E206E7" w:rsidP="00262341" w:rsidRDefault="00E206E7" w14:paraId="6AF7E86E" w14:textId="647F41FC">
      <w:pPr>
        <w:spacing w:line="360" w:lineRule="auto"/>
        <w:rPr>
          <w:rFonts w:ascii="Verdana" w:hAnsi="Verdana" w:eastAsia="Verdana" w:cs="Verdana"/>
          <w:color w:val="000000" w:themeColor="text1"/>
          <w:sz w:val="18"/>
          <w:szCs w:val="18"/>
        </w:rPr>
      </w:pPr>
      <w:r w:rsidRPr="00262341">
        <w:rPr>
          <w:rFonts w:ascii="Verdana" w:hAnsi="Verdana" w:eastAsia="Verdana" w:cs="Verdana"/>
          <w:sz w:val="18"/>
          <w:szCs w:val="18"/>
        </w:rPr>
        <w:t xml:space="preserve">Tevens </w:t>
      </w:r>
      <w:r w:rsidRPr="00262341" w:rsidR="00E375C0">
        <w:rPr>
          <w:rFonts w:ascii="Verdana" w:hAnsi="Verdana" w:eastAsia="Verdana" w:cs="Verdana"/>
          <w:sz w:val="18"/>
          <w:szCs w:val="18"/>
        </w:rPr>
        <w:t>is</w:t>
      </w:r>
      <w:r w:rsidRPr="00262341">
        <w:rPr>
          <w:rFonts w:ascii="Verdana" w:hAnsi="Verdana" w:eastAsia="Verdana" w:cs="Verdana"/>
          <w:sz w:val="18"/>
          <w:szCs w:val="18"/>
        </w:rPr>
        <w:t xml:space="preserve"> aan de Commissie </w:t>
      </w:r>
      <w:r w:rsidRPr="00262341" w:rsidR="00E375C0">
        <w:rPr>
          <w:rFonts w:ascii="Verdana" w:hAnsi="Verdana" w:eastAsia="Verdana" w:cs="Verdana"/>
          <w:sz w:val="18"/>
          <w:szCs w:val="18"/>
        </w:rPr>
        <w:t xml:space="preserve">de </w:t>
      </w:r>
      <w:r w:rsidRPr="00262341">
        <w:rPr>
          <w:rFonts w:ascii="Verdana" w:hAnsi="Verdana" w:eastAsia="Verdana" w:cs="Verdana"/>
          <w:sz w:val="18"/>
          <w:szCs w:val="18"/>
        </w:rPr>
        <w:t>bevoegdhe</w:t>
      </w:r>
      <w:r w:rsidRPr="00262341" w:rsidR="00E375C0">
        <w:rPr>
          <w:rFonts w:ascii="Verdana" w:hAnsi="Verdana" w:eastAsia="Verdana" w:cs="Verdana"/>
          <w:sz w:val="18"/>
          <w:szCs w:val="18"/>
        </w:rPr>
        <w:t>id</w:t>
      </w:r>
      <w:r w:rsidRPr="00262341">
        <w:rPr>
          <w:rFonts w:ascii="Verdana" w:hAnsi="Verdana" w:eastAsia="Verdana" w:cs="Verdana"/>
          <w:sz w:val="18"/>
          <w:szCs w:val="18"/>
        </w:rPr>
        <w:t xml:space="preserve"> toegekend in artikel 59c lid 5 van de MDR om op basis van gedelegeerde handelingen, conform artikel 115 (MDR)</w:t>
      </w:r>
      <w:r w:rsidRPr="00262341" w:rsidR="00E375C0">
        <w:rPr>
          <w:rFonts w:ascii="Verdana" w:hAnsi="Verdana" w:eastAsia="Verdana" w:cs="Verdana"/>
          <w:sz w:val="18"/>
          <w:szCs w:val="18"/>
        </w:rPr>
        <w:t>,</w:t>
      </w:r>
      <w:r w:rsidRPr="00262341">
        <w:rPr>
          <w:rFonts w:ascii="Verdana" w:hAnsi="Verdana" w:eastAsia="Verdana" w:cs="Verdana"/>
          <w:sz w:val="18"/>
          <w:szCs w:val="18"/>
        </w:rPr>
        <w:t xml:space="preserve"> d</w:t>
      </w:r>
      <w:r w:rsidRPr="00262341" w:rsidR="00E375C0">
        <w:rPr>
          <w:rFonts w:ascii="Verdana" w:hAnsi="Verdana" w:eastAsia="Verdana" w:cs="Verdana"/>
          <w:sz w:val="18"/>
          <w:szCs w:val="18"/>
        </w:rPr>
        <w:t>it</w:t>
      </w:r>
      <w:r w:rsidRPr="00262341">
        <w:rPr>
          <w:rFonts w:ascii="Verdana" w:hAnsi="Verdana" w:eastAsia="Verdana" w:cs="Verdana"/>
          <w:sz w:val="18"/>
          <w:szCs w:val="18"/>
        </w:rPr>
        <w:t xml:space="preserve"> artikel</w:t>
      </w:r>
      <w:r w:rsidRPr="00262341" w:rsidR="00E375C0">
        <w:rPr>
          <w:rFonts w:ascii="Verdana" w:hAnsi="Verdana" w:eastAsia="Verdana" w:cs="Verdana"/>
          <w:sz w:val="18"/>
          <w:szCs w:val="18"/>
        </w:rPr>
        <w:t xml:space="preserve"> </w:t>
      </w:r>
      <w:r w:rsidRPr="00262341">
        <w:rPr>
          <w:rFonts w:ascii="Verdana" w:hAnsi="Verdana" w:eastAsia="Verdana" w:cs="Verdana"/>
          <w:sz w:val="18"/>
          <w:szCs w:val="18"/>
        </w:rPr>
        <w:t>of artikel</w:t>
      </w:r>
      <w:r w:rsidRPr="00262341" w:rsidR="00936BF1">
        <w:rPr>
          <w:rFonts w:ascii="Verdana" w:hAnsi="Verdana" w:eastAsia="Verdana" w:cs="Verdana"/>
          <w:sz w:val="18"/>
          <w:szCs w:val="18"/>
        </w:rPr>
        <w:t xml:space="preserve"> </w:t>
      </w:r>
      <w:r w:rsidRPr="00262341">
        <w:rPr>
          <w:rFonts w:ascii="Verdana" w:hAnsi="Verdana" w:eastAsia="Verdana" w:cs="Verdana"/>
          <w:sz w:val="18"/>
          <w:szCs w:val="18"/>
        </w:rPr>
        <w:t>59b</w:t>
      </w:r>
      <w:r w:rsidRPr="00262341" w:rsidR="00E375C0">
        <w:rPr>
          <w:rFonts w:ascii="Verdana" w:hAnsi="Verdana" w:eastAsia="Verdana" w:cs="Verdana"/>
          <w:sz w:val="18"/>
          <w:szCs w:val="18"/>
        </w:rPr>
        <w:t xml:space="preserve"> </w:t>
      </w:r>
      <w:r w:rsidRPr="00262341">
        <w:rPr>
          <w:rFonts w:ascii="Verdana" w:hAnsi="Verdana" w:eastAsia="Verdana" w:cs="Verdana"/>
          <w:sz w:val="18"/>
          <w:szCs w:val="18"/>
        </w:rPr>
        <w:t>aan te passen aan wetenschappelijke, technische en juridische voor</w:t>
      </w:r>
      <w:r w:rsidRPr="00262341" w:rsidR="00936BF1">
        <w:rPr>
          <w:rFonts w:ascii="Verdana" w:hAnsi="Verdana" w:eastAsia="Verdana" w:cs="Verdana"/>
          <w:sz w:val="18"/>
          <w:szCs w:val="18"/>
        </w:rPr>
        <w:t>uit</w:t>
      </w:r>
      <w:r w:rsidRPr="00262341">
        <w:rPr>
          <w:rFonts w:ascii="Verdana" w:hAnsi="Verdana" w:eastAsia="Verdana" w:cs="Verdana"/>
          <w:sz w:val="18"/>
          <w:szCs w:val="18"/>
        </w:rPr>
        <w:t>gang en daarbij ontwikkelingen in acht te nemen betreffende de “</w:t>
      </w:r>
      <w:r w:rsidRPr="00262341">
        <w:rPr>
          <w:rFonts w:ascii="Verdana" w:hAnsi="Verdana" w:eastAsia="Verdana" w:cs="Verdana"/>
          <w:i/>
          <w:iCs/>
          <w:sz w:val="18"/>
          <w:szCs w:val="18"/>
        </w:rPr>
        <w:t xml:space="preserve">regulatory </w:t>
      </w:r>
      <w:proofErr w:type="spellStart"/>
      <w:r w:rsidRPr="00262341">
        <w:rPr>
          <w:rFonts w:ascii="Verdana" w:hAnsi="Verdana" w:eastAsia="Verdana" w:cs="Verdana"/>
          <w:i/>
          <w:iCs/>
          <w:sz w:val="18"/>
          <w:szCs w:val="18"/>
        </w:rPr>
        <w:t>sandboxes</w:t>
      </w:r>
      <w:proofErr w:type="spellEnd"/>
      <w:r w:rsidRPr="00262341">
        <w:rPr>
          <w:rFonts w:ascii="Verdana" w:hAnsi="Verdana" w:eastAsia="Verdana" w:cs="Verdana"/>
          <w:sz w:val="18"/>
          <w:szCs w:val="18"/>
        </w:rPr>
        <w:t>”.</w:t>
      </w:r>
      <w:r w:rsidRPr="00262341" w:rsidR="720074E9">
        <w:rPr>
          <w:rFonts w:ascii="Verdana" w:hAnsi="Verdana" w:eastAsia="Verdana" w:cs="Verdana"/>
          <w:sz w:val="18"/>
          <w:szCs w:val="18"/>
        </w:rPr>
        <w:t xml:space="preserve"> </w:t>
      </w:r>
      <w:r w:rsidRPr="00262341" w:rsidR="00E375C0">
        <w:rPr>
          <w:rFonts w:ascii="Verdana" w:hAnsi="Verdana" w:eastAsia="Verdana" w:cs="Verdana"/>
          <w:sz w:val="18"/>
          <w:szCs w:val="18"/>
        </w:rPr>
        <w:t xml:space="preserve">Voor de IVDR is deze bevoegdheid toegekend in artikel 54c, lid 5, conform artikel 115, waarbij dit artikel of artikel 54b aangepast kan worden op basis van bovengenoemde punten. </w:t>
      </w:r>
      <w:r w:rsidRPr="00262341">
        <w:rPr>
          <w:rFonts w:ascii="Verdana" w:hAnsi="Verdana" w:eastAsia="Verdana" w:cs="Verdana"/>
          <w:sz w:val="18"/>
          <w:szCs w:val="18"/>
        </w:rPr>
        <w:t>He</w:t>
      </w:r>
      <w:r w:rsidRPr="00262341">
        <w:rPr>
          <w:rFonts w:ascii="Verdana" w:hAnsi="Verdana" w:eastAsia="Verdana" w:cs="Verdana"/>
          <w:color w:val="000000" w:themeColor="text1"/>
          <w:sz w:val="18"/>
          <w:szCs w:val="18"/>
        </w:rPr>
        <w:t xml:space="preserve">t toekennen van deze bevoegdheden is mogelijk omdat dit niet-essentiële onderdelen van de basishandelingen betreffen. Het toekennen van deze bevoegdheid acht het kabinet wenselijk, </w:t>
      </w:r>
      <w:r w:rsidRPr="00262341">
        <w:rPr>
          <w:rFonts w:ascii="Verdana" w:hAnsi="Verdana" w:eastAsia="Verdana" w:cs="Verdana"/>
          <w:sz w:val="18"/>
          <w:szCs w:val="18"/>
        </w:rPr>
        <w:t xml:space="preserve">omdat het de Commissie flexibiliteit geeft om de vereisten voor </w:t>
      </w:r>
      <w:r w:rsidRPr="00262341">
        <w:rPr>
          <w:rFonts w:ascii="Verdana" w:hAnsi="Verdana" w:eastAsia="Verdana" w:cs="Verdana"/>
          <w:i/>
          <w:iCs/>
          <w:sz w:val="18"/>
          <w:szCs w:val="18"/>
        </w:rPr>
        <w:t xml:space="preserve">regulatory </w:t>
      </w:r>
      <w:proofErr w:type="spellStart"/>
      <w:r w:rsidRPr="00262341">
        <w:rPr>
          <w:rFonts w:ascii="Verdana" w:hAnsi="Verdana" w:eastAsia="Verdana" w:cs="Verdana"/>
          <w:i/>
          <w:iCs/>
          <w:sz w:val="18"/>
          <w:szCs w:val="18"/>
        </w:rPr>
        <w:t>sandboxes</w:t>
      </w:r>
      <w:proofErr w:type="spellEnd"/>
      <w:r w:rsidRPr="00262341">
        <w:rPr>
          <w:rFonts w:ascii="Verdana" w:hAnsi="Verdana" w:eastAsia="Verdana" w:cs="Verdana"/>
          <w:sz w:val="18"/>
          <w:szCs w:val="18"/>
        </w:rPr>
        <w:t xml:space="preserve"> aan te passen </w:t>
      </w:r>
      <w:r w:rsidRPr="00262341" w:rsidR="00AA2909">
        <w:rPr>
          <w:rFonts w:ascii="Verdana" w:hAnsi="Verdana" w:eastAsia="Verdana" w:cs="Verdana"/>
          <w:sz w:val="18"/>
          <w:szCs w:val="18"/>
        </w:rPr>
        <w:t xml:space="preserve">aan </w:t>
      </w:r>
      <w:r w:rsidRPr="00262341">
        <w:rPr>
          <w:rFonts w:ascii="Verdana" w:hAnsi="Verdana" w:eastAsia="Verdana" w:cs="Verdana"/>
          <w:sz w:val="18"/>
          <w:szCs w:val="18"/>
        </w:rPr>
        <w:t>internationale standaarden en techn</w:t>
      </w:r>
      <w:r w:rsidRPr="00262341" w:rsidR="006C1D6B">
        <w:rPr>
          <w:rFonts w:ascii="Verdana" w:hAnsi="Verdana" w:eastAsia="Verdana" w:cs="Verdana"/>
          <w:sz w:val="18"/>
          <w:szCs w:val="18"/>
        </w:rPr>
        <w:t>ische en juridische</w:t>
      </w:r>
      <w:r w:rsidRPr="00262341">
        <w:rPr>
          <w:rFonts w:ascii="Verdana" w:hAnsi="Verdana" w:eastAsia="Verdana" w:cs="Verdana"/>
          <w:sz w:val="18"/>
          <w:szCs w:val="18"/>
        </w:rPr>
        <w:t xml:space="preserve"> ontwikkeling</w:t>
      </w:r>
      <w:r w:rsidRPr="00262341" w:rsidR="00AA2909">
        <w:rPr>
          <w:rFonts w:ascii="Verdana" w:hAnsi="Verdana" w:eastAsia="Verdana" w:cs="Verdana"/>
          <w:sz w:val="18"/>
          <w:szCs w:val="18"/>
        </w:rPr>
        <w:t>en</w:t>
      </w:r>
      <w:r w:rsidRPr="00262341">
        <w:rPr>
          <w:rFonts w:ascii="Verdana" w:hAnsi="Verdana" w:eastAsia="Verdana" w:cs="Verdana"/>
          <w:sz w:val="18"/>
          <w:szCs w:val="18"/>
        </w:rPr>
        <w:t xml:space="preserve">. </w:t>
      </w:r>
      <w:r w:rsidRPr="00262341" w:rsidR="5DA127E9">
        <w:rPr>
          <w:rFonts w:ascii="Verdana" w:hAnsi="Verdana" w:eastAsia="Verdana" w:cs="Verdana"/>
          <w:sz w:val="18"/>
          <w:szCs w:val="18"/>
        </w:rPr>
        <w:t>Echter</w:t>
      </w:r>
      <w:r w:rsidRPr="00262341" w:rsidR="00F52DCF">
        <w:rPr>
          <w:rFonts w:ascii="Verdana" w:hAnsi="Verdana" w:eastAsia="Verdana" w:cs="Verdana"/>
          <w:sz w:val="18"/>
          <w:szCs w:val="18"/>
        </w:rPr>
        <w:t xml:space="preserve"> is</w:t>
      </w:r>
      <w:r w:rsidRPr="00262341" w:rsidR="5DA127E9">
        <w:rPr>
          <w:rFonts w:ascii="Verdana" w:hAnsi="Verdana" w:eastAsia="Verdana" w:cs="Verdana"/>
          <w:sz w:val="18"/>
          <w:szCs w:val="18"/>
        </w:rPr>
        <w:t xml:space="preserve"> het kabinet</w:t>
      </w:r>
      <w:r w:rsidRPr="00262341" w:rsidR="00F52DCF">
        <w:rPr>
          <w:rFonts w:ascii="Verdana" w:hAnsi="Verdana" w:eastAsia="Verdana" w:cs="Verdana"/>
          <w:sz w:val="18"/>
          <w:szCs w:val="18"/>
        </w:rPr>
        <w:t xml:space="preserve"> van mening dat</w:t>
      </w:r>
      <w:r w:rsidRPr="00262341" w:rsidR="5DA127E9">
        <w:rPr>
          <w:rFonts w:ascii="Verdana" w:hAnsi="Verdana" w:eastAsia="Verdana" w:cs="Verdana"/>
          <w:sz w:val="18"/>
          <w:szCs w:val="18"/>
        </w:rPr>
        <w:t xml:space="preserve"> het fenomeen van de </w:t>
      </w:r>
      <w:r w:rsidRPr="00262341" w:rsidR="5DA127E9">
        <w:rPr>
          <w:rFonts w:ascii="Verdana" w:hAnsi="Verdana" w:eastAsia="Verdana" w:cs="Verdana"/>
          <w:i/>
          <w:iCs/>
          <w:sz w:val="18"/>
          <w:szCs w:val="18"/>
        </w:rPr>
        <w:t xml:space="preserve">regulatory </w:t>
      </w:r>
      <w:proofErr w:type="spellStart"/>
      <w:r w:rsidRPr="00262341" w:rsidR="5DA127E9">
        <w:rPr>
          <w:rFonts w:ascii="Verdana" w:hAnsi="Verdana" w:eastAsia="Verdana" w:cs="Verdana"/>
          <w:i/>
          <w:iCs/>
          <w:sz w:val="18"/>
          <w:szCs w:val="18"/>
        </w:rPr>
        <w:t>sandboxes</w:t>
      </w:r>
      <w:proofErr w:type="spellEnd"/>
      <w:r w:rsidRPr="00262341" w:rsidR="5DA127E9">
        <w:rPr>
          <w:rFonts w:ascii="Verdana" w:hAnsi="Verdana" w:eastAsia="Verdana" w:cs="Verdana"/>
          <w:sz w:val="18"/>
          <w:szCs w:val="18"/>
        </w:rPr>
        <w:t xml:space="preserve"> niet </w:t>
      </w:r>
      <w:r w:rsidRPr="00262341" w:rsidR="6C5723F5">
        <w:rPr>
          <w:rFonts w:ascii="Verdana" w:hAnsi="Verdana" w:eastAsia="Verdana" w:cs="Verdana"/>
          <w:sz w:val="18"/>
          <w:szCs w:val="18"/>
        </w:rPr>
        <w:t xml:space="preserve">duidelijk genoeg </w:t>
      </w:r>
      <w:r w:rsidRPr="00262341" w:rsidR="00F52DCF">
        <w:rPr>
          <w:rFonts w:ascii="Verdana" w:hAnsi="Verdana" w:eastAsia="Verdana" w:cs="Verdana"/>
          <w:sz w:val="18"/>
          <w:szCs w:val="18"/>
        </w:rPr>
        <w:t xml:space="preserve">is </w:t>
      </w:r>
      <w:r w:rsidRPr="00262341" w:rsidR="6C5723F5">
        <w:rPr>
          <w:rFonts w:ascii="Verdana" w:hAnsi="Verdana" w:eastAsia="Verdana" w:cs="Verdana"/>
          <w:sz w:val="18"/>
          <w:szCs w:val="18"/>
        </w:rPr>
        <w:t>afgebakend</w:t>
      </w:r>
      <w:r w:rsidRPr="00262341" w:rsidR="19DC719E">
        <w:rPr>
          <w:rFonts w:ascii="Verdana" w:hAnsi="Verdana" w:eastAsia="Verdana" w:cs="Verdana"/>
          <w:sz w:val="18"/>
          <w:szCs w:val="18"/>
        </w:rPr>
        <w:t xml:space="preserve">, </w:t>
      </w:r>
      <w:r w:rsidRPr="00262341" w:rsidR="00F52DCF">
        <w:rPr>
          <w:rFonts w:ascii="Verdana" w:hAnsi="Verdana" w:eastAsia="Verdana" w:cs="Verdana"/>
          <w:sz w:val="18"/>
          <w:szCs w:val="18"/>
        </w:rPr>
        <w:t>waardoor de</w:t>
      </w:r>
      <w:r w:rsidRPr="00262341" w:rsidR="6C5723F5">
        <w:rPr>
          <w:rFonts w:ascii="Verdana" w:hAnsi="Verdana" w:eastAsia="Verdana" w:cs="Verdana"/>
          <w:sz w:val="18"/>
          <w:szCs w:val="18"/>
        </w:rPr>
        <w:t xml:space="preserve"> gedelegeerde handeling </w:t>
      </w:r>
      <w:r w:rsidRPr="00262341" w:rsidR="45F80CCE">
        <w:rPr>
          <w:rFonts w:ascii="Verdana" w:hAnsi="Verdana" w:eastAsia="Verdana" w:cs="Verdana"/>
          <w:sz w:val="18"/>
          <w:szCs w:val="18"/>
        </w:rPr>
        <w:t xml:space="preserve">niet </w:t>
      </w:r>
      <w:r w:rsidRPr="00262341" w:rsidR="6C5723F5">
        <w:rPr>
          <w:rFonts w:ascii="Verdana" w:hAnsi="Verdana" w:eastAsia="Verdana" w:cs="Verdana"/>
          <w:sz w:val="18"/>
          <w:szCs w:val="18"/>
        </w:rPr>
        <w:t xml:space="preserve">voldoende </w:t>
      </w:r>
      <w:r w:rsidRPr="00262341" w:rsidR="00F52DCF">
        <w:rPr>
          <w:rFonts w:ascii="Verdana" w:hAnsi="Verdana" w:eastAsia="Verdana" w:cs="Verdana"/>
          <w:sz w:val="18"/>
          <w:szCs w:val="18"/>
        </w:rPr>
        <w:t xml:space="preserve">is </w:t>
      </w:r>
      <w:r w:rsidRPr="00262341" w:rsidR="6C5723F5">
        <w:rPr>
          <w:rFonts w:ascii="Verdana" w:hAnsi="Verdana" w:eastAsia="Verdana" w:cs="Verdana"/>
          <w:sz w:val="18"/>
          <w:szCs w:val="18"/>
        </w:rPr>
        <w:t>afgebakend.</w:t>
      </w:r>
      <w:r w:rsidRPr="00262341" w:rsidR="705294D0">
        <w:rPr>
          <w:rFonts w:ascii="Verdana" w:hAnsi="Verdana" w:eastAsia="Verdana" w:cs="Verdana"/>
          <w:sz w:val="18"/>
          <w:szCs w:val="18"/>
        </w:rPr>
        <w:t xml:space="preserve"> H</w:t>
      </w:r>
      <w:r w:rsidRPr="00262341" w:rsidR="40A42EEA">
        <w:rPr>
          <w:rFonts w:ascii="Verdana" w:hAnsi="Verdana" w:eastAsia="Verdana" w:cs="Verdana"/>
          <w:sz w:val="18"/>
          <w:szCs w:val="18"/>
        </w:rPr>
        <w:t xml:space="preserve">et kabinet </w:t>
      </w:r>
      <w:r w:rsidRPr="00262341" w:rsidR="705294D0">
        <w:rPr>
          <w:rFonts w:ascii="Verdana" w:hAnsi="Verdana" w:eastAsia="Verdana" w:cs="Verdana"/>
          <w:sz w:val="18"/>
          <w:szCs w:val="18"/>
        </w:rPr>
        <w:t xml:space="preserve">wil daarom </w:t>
      </w:r>
      <w:r w:rsidRPr="00262341" w:rsidR="40A42EEA">
        <w:rPr>
          <w:rFonts w:ascii="Verdana" w:hAnsi="Verdana" w:eastAsia="Verdana" w:cs="Verdana"/>
          <w:sz w:val="18"/>
          <w:szCs w:val="18"/>
        </w:rPr>
        <w:t>ook graag meer verduidelijking</w:t>
      </w:r>
      <w:r w:rsidRPr="00262341">
        <w:rPr>
          <w:rFonts w:ascii="Verdana" w:hAnsi="Verdana" w:eastAsia="Verdana" w:cs="Verdana"/>
          <w:sz w:val="18"/>
          <w:szCs w:val="18"/>
        </w:rPr>
        <w:t xml:space="preserve">. Delegatie in plaats van uitvoering ligt hier voor de hand omdat de verordening middels delegatie wordt geactualiseerd. </w:t>
      </w:r>
    </w:p>
    <w:p w:rsidRPr="00262341" w:rsidR="00B3688A" w:rsidP="00262341" w:rsidRDefault="00B3688A" w14:paraId="396C8270" w14:textId="77777777">
      <w:pPr>
        <w:spacing w:line="360" w:lineRule="auto"/>
        <w:rPr>
          <w:rFonts w:ascii="Verdana" w:hAnsi="Verdana" w:eastAsia="Verdana" w:cs="Verdana"/>
          <w:color w:val="000000" w:themeColor="text1"/>
          <w:sz w:val="18"/>
          <w:szCs w:val="18"/>
        </w:rPr>
      </w:pPr>
    </w:p>
    <w:p w:rsidRPr="00262341" w:rsidR="00851B56" w:rsidDel="00133CF1" w:rsidP="00262341" w:rsidRDefault="002950FE" w14:paraId="538DCDAE" w14:textId="25DE6B5F">
      <w:pPr>
        <w:shd w:val="clear" w:color="auto" w:fill="FFFFFF" w:themeFill="background1"/>
        <w:spacing w:line="360" w:lineRule="auto"/>
        <w:rPr>
          <w:rFonts w:ascii="Verdana" w:hAnsi="Verdana" w:eastAsia="Verdana" w:cs="Verdana"/>
          <w:sz w:val="18"/>
          <w:szCs w:val="18"/>
        </w:rPr>
      </w:pPr>
      <w:r w:rsidRPr="00262341">
        <w:rPr>
          <w:rFonts w:ascii="Verdana" w:hAnsi="Verdana" w:eastAsia="Verdana" w:cs="Verdana"/>
          <w:sz w:val="18"/>
          <w:szCs w:val="18"/>
          <w:shd w:val="clear" w:color="auto" w:fill="FFFFFF" w:themeFill="background1"/>
        </w:rPr>
        <w:t>Verder</w:t>
      </w:r>
      <w:r w:rsidRPr="00262341" w:rsidR="008012B8">
        <w:rPr>
          <w:rFonts w:ascii="Verdana" w:hAnsi="Verdana" w:eastAsia="Verdana" w:cs="Verdana"/>
          <w:sz w:val="18"/>
          <w:szCs w:val="18"/>
          <w:shd w:val="clear" w:color="auto" w:fill="FFFFFF" w:themeFill="background1"/>
        </w:rPr>
        <w:t xml:space="preserve"> zijn er bevoegdheden aan de Commissie toegekend in de MDR, artikel 51, lid 7, en in de IVDR, in artikel 47, lid 7 om middels gedelegeerde handelingen gebied van de classificatie van hulpmiddelen bijlage VIII overeenkomstig artikel 115 en respectievelijk artikel 108 aan te passen in het licht van technische en wetenschappelijke voor</w:t>
      </w:r>
      <w:r w:rsidRPr="00262341" w:rsidR="001F5127">
        <w:rPr>
          <w:rFonts w:ascii="Verdana" w:hAnsi="Verdana" w:eastAsia="Verdana" w:cs="Verdana"/>
          <w:sz w:val="18"/>
          <w:szCs w:val="18"/>
          <w:shd w:val="clear" w:color="auto" w:fill="FFFFFF" w:themeFill="background1"/>
        </w:rPr>
        <w:t>uit</w:t>
      </w:r>
      <w:r w:rsidRPr="00262341" w:rsidR="008012B8">
        <w:rPr>
          <w:rFonts w:ascii="Verdana" w:hAnsi="Verdana" w:eastAsia="Verdana" w:cs="Verdana"/>
          <w:sz w:val="18"/>
          <w:szCs w:val="18"/>
          <w:shd w:val="clear" w:color="auto" w:fill="FFFFFF" w:themeFill="background1"/>
        </w:rPr>
        <w:t xml:space="preserve">gang en internationale ontwikkelingen betreffende het classificeren van </w:t>
      </w:r>
      <w:r w:rsidRPr="00262341" w:rsidR="00AD1CDA">
        <w:rPr>
          <w:rFonts w:ascii="Verdana" w:hAnsi="Verdana" w:eastAsia="Verdana" w:cs="Verdana"/>
          <w:sz w:val="18"/>
          <w:szCs w:val="18"/>
          <w:shd w:val="clear" w:color="auto" w:fill="FFFFFF" w:themeFill="background1"/>
        </w:rPr>
        <w:t>hulpmiddelen</w:t>
      </w:r>
      <w:r w:rsidRPr="00262341" w:rsidR="008012B8">
        <w:rPr>
          <w:rFonts w:ascii="Verdana" w:hAnsi="Verdana" w:eastAsia="Verdana" w:cs="Verdana"/>
          <w:sz w:val="18"/>
          <w:szCs w:val="18"/>
          <w:shd w:val="clear" w:color="auto" w:fill="FFFFFF" w:themeFill="background1"/>
        </w:rPr>
        <w:t>.</w:t>
      </w:r>
      <w:r w:rsidRPr="00262341" w:rsidR="008012B8">
        <w:rPr>
          <w:rFonts w:ascii="Verdana" w:hAnsi="Verdana" w:eastAsia="Verdana" w:cs="Verdana"/>
          <w:sz w:val="18"/>
          <w:szCs w:val="18"/>
        </w:rPr>
        <w:t xml:space="preserve"> </w:t>
      </w:r>
      <w:r w:rsidRPr="00262341" w:rsidR="00884F95">
        <w:rPr>
          <w:rFonts w:ascii="Verdana" w:hAnsi="Verdana" w:eastAsia="Verdana" w:cs="Verdana"/>
          <w:sz w:val="18"/>
          <w:szCs w:val="18"/>
        </w:rPr>
        <w:t>Het toekennen van deze bevoegdheden is mogelijk</w:t>
      </w:r>
      <w:r w:rsidRPr="00262341" w:rsidR="00A63000">
        <w:rPr>
          <w:rFonts w:ascii="Verdana" w:hAnsi="Verdana" w:eastAsia="Verdana" w:cs="Verdana"/>
          <w:sz w:val="18"/>
          <w:szCs w:val="18"/>
        </w:rPr>
        <w:t>,</w:t>
      </w:r>
      <w:r w:rsidRPr="00262341" w:rsidR="00884F95">
        <w:rPr>
          <w:rFonts w:ascii="Verdana" w:hAnsi="Verdana" w:eastAsia="Verdana" w:cs="Verdana"/>
          <w:sz w:val="18"/>
          <w:szCs w:val="18"/>
        </w:rPr>
        <w:t xml:space="preserve"> omdat het geen essentiële onderdelen van de basishandeling betref</w:t>
      </w:r>
      <w:r w:rsidRPr="00262341" w:rsidR="00461F26">
        <w:rPr>
          <w:rFonts w:ascii="Verdana" w:hAnsi="Verdana" w:eastAsia="Verdana" w:cs="Verdana"/>
          <w:sz w:val="18"/>
          <w:szCs w:val="18"/>
        </w:rPr>
        <w:t>fen</w:t>
      </w:r>
      <w:r w:rsidRPr="00262341" w:rsidR="00884F95">
        <w:rPr>
          <w:rFonts w:ascii="Verdana" w:hAnsi="Verdana" w:eastAsia="Verdana" w:cs="Verdana"/>
          <w:sz w:val="18"/>
          <w:szCs w:val="18"/>
        </w:rPr>
        <w:t>. Het kabinet acht het toekennen van deze bevoegdheden wenselijk</w:t>
      </w:r>
      <w:r w:rsidRPr="00262341" w:rsidR="00A63000">
        <w:rPr>
          <w:rFonts w:ascii="Verdana" w:hAnsi="Verdana" w:eastAsia="Verdana" w:cs="Verdana"/>
          <w:sz w:val="18"/>
          <w:szCs w:val="18"/>
        </w:rPr>
        <w:t>,</w:t>
      </w:r>
      <w:r w:rsidRPr="00262341" w:rsidR="00855EBF">
        <w:rPr>
          <w:rFonts w:ascii="Verdana" w:hAnsi="Verdana" w:eastAsia="Verdana" w:cs="Verdana"/>
          <w:sz w:val="18"/>
          <w:szCs w:val="18"/>
        </w:rPr>
        <w:t xml:space="preserve"> </w:t>
      </w:r>
      <w:r w:rsidRPr="00262341">
        <w:rPr>
          <w:rFonts w:ascii="Verdana" w:hAnsi="Verdana" w:eastAsia="Verdana" w:cs="Verdana"/>
          <w:sz w:val="18"/>
          <w:szCs w:val="18"/>
        </w:rPr>
        <w:t>om</w:t>
      </w:r>
      <w:r w:rsidRPr="00262341" w:rsidR="00BB5C9E">
        <w:rPr>
          <w:rFonts w:ascii="Verdana" w:hAnsi="Verdana" w:eastAsia="Verdana" w:cs="Verdana"/>
          <w:sz w:val="18"/>
          <w:szCs w:val="18"/>
        </w:rPr>
        <w:t xml:space="preserve"> flexibiliteit te behouden en aanpassingen mogelijk te maken in het licht van technische en wetenschappelijke vooruitgang</w:t>
      </w:r>
      <w:r w:rsidRPr="00262341" w:rsidR="00855EBF">
        <w:rPr>
          <w:rFonts w:ascii="Verdana" w:hAnsi="Verdana" w:eastAsia="Verdana" w:cs="Verdana"/>
          <w:sz w:val="18"/>
          <w:szCs w:val="18"/>
        </w:rPr>
        <w:t>.</w:t>
      </w:r>
      <w:r w:rsidRPr="00262341" w:rsidR="00BB5C9E">
        <w:rPr>
          <w:rFonts w:ascii="Verdana" w:hAnsi="Verdana" w:eastAsia="Verdana" w:cs="Verdana"/>
          <w:sz w:val="18"/>
          <w:szCs w:val="18"/>
        </w:rPr>
        <w:t xml:space="preserve"> Het kabinet acht de bevoegdheden echter onvoldoende afgebakend, omdat het de voorspelbaarheid en (rechts)zekerheid voor bevoegde autoriteiten en marktdeelnemers niet te erg dient te verminderen. Delegatie in plaats van uitvoering ligt hier voor de hand omdat het de wijziging van een basishandeling betreft via wijziging van de bijlages. </w:t>
      </w:r>
    </w:p>
    <w:p w:rsidRPr="00262341" w:rsidR="1CD0BEB8" w:rsidP="00262341" w:rsidRDefault="1CD0BEB8" w14:paraId="189E053D" w14:textId="5B754756">
      <w:pPr>
        <w:spacing w:line="360" w:lineRule="auto"/>
        <w:rPr>
          <w:rFonts w:ascii="Verdana" w:hAnsi="Verdana" w:eastAsia="Verdana" w:cs="Verdana"/>
          <w:sz w:val="18"/>
          <w:szCs w:val="18"/>
        </w:rPr>
      </w:pPr>
    </w:p>
    <w:p w:rsidR="00574F02" w:rsidP="00262341" w:rsidRDefault="2F9C5FCB" w14:paraId="58711485" w14:textId="77777777">
      <w:pPr>
        <w:spacing w:line="360" w:lineRule="auto"/>
        <w:rPr>
          <w:rFonts w:ascii="Verdana" w:hAnsi="Verdana" w:eastAsia="Verdana" w:cs="Verdana"/>
          <w:sz w:val="18"/>
          <w:szCs w:val="18"/>
        </w:rPr>
      </w:pPr>
      <w:r w:rsidRPr="00262341">
        <w:rPr>
          <w:rFonts w:ascii="Verdana" w:hAnsi="Verdana" w:eastAsia="Verdana" w:cs="Verdana"/>
          <w:sz w:val="18"/>
          <w:szCs w:val="18"/>
        </w:rPr>
        <w:t xml:space="preserve">Het voorstel bevat bevoegdheden voor de Commissie om uitvoeringshandelingen </w:t>
      </w:r>
      <w:r w:rsidRPr="00262341" w:rsidR="206D473C">
        <w:rPr>
          <w:rFonts w:ascii="Verdana" w:hAnsi="Verdana" w:eastAsia="Verdana" w:cs="Verdana"/>
          <w:sz w:val="18"/>
          <w:szCs w:val="18"/>
        </w:rPr>
        <w:t xml:space="preserve">met de onderzoeksprocedure </w:t>
      </w:r>
      <w:r w:rsidRPr="00262341">
        <w:rPr>
          <w:rFonts w:ascii="Verdana" w:hAnsi="Verdana" w:eastAsia="Verdana" w:cs="Verdana"/>
          <w:sz w:val="18"/>
          <w:szCs w:val="18"/>
        </w:rPr>
        <w:t xml:space="preserve">vast te stellen in </w:t>
      </w:r>
      <w:r w:rsidRPr="00262341" w:rsidR="00D366F3">
        <w:rPr>
          <w:rFonts w:ascii="Verdana" w:hAnsi="Verdana" w:eastAsia="Verdana" w:cs="Verdana"/>
          <w:sz w:val="18"/>
          <w:szCs w:val="18"/>
        </w:rPr>
        <w:t>de MDR en IVDR.</w:t>
      </w:r>
      <w:r w:rsidRPr="00262341">
        <w:rPr>
          <w:rFonts w:ascii="Verdana" w:hAnsi="Verdana" w:eastAsia="Verdana" w:cs="Verdana"/>
          <w:sz w:val="18"/>
          <w:szCs w:val="18"/>
        </w:rPr>
        <w:t xml:space="preserve"> </w:t>
      </w:r>
      <w:r w:rsidRPr="00262341" w:rsidR="005A546B">
        <w:rPr>
          <w:rFonts w:ascii="Verdana" w:hAnsi="Verdana" w:eastAsia="Verdana" w:cs="Verdana"/>
          <w:sz w:val="18"/>
          <w:szCs w:val="18"/>
        </w:rPr>
        <w:t>Artikel 3</w:t>
      </w:r>
      <w:r w:rsidRPr="00262341" w:rsidR="00E375C0">
        <w:rPr>
          <w:rFonts w:ascii="Verdana" w:hAnsi="Verdana" w:eastAsia="Verdana" w:cs="Verdana"/>
          <w:sz w:val="18"/>
          <w:szCs w:val="18"/>
        </w:rPr>
        <w:t>,</w:t>
      </w:r>
      <w:r w:rsidRPr="00262341" w:rsidR="005A546B">
        <w:rPr>
          <w:rFonts w:ascii="Verdana" w:hAnsi="Verdana" w:eastAsia="Verdana" w:cs="Verdana"/>
          <w:sz w:val="18"/>
          <w:szCs w:val="18"/>
        </w:rPr>
        <w:t xml:space="preserve"> lid 2 van de MDR kent de Commissie de bevoegdheid toe om middels </w:t>
      </w:r>
      <w:r w:rsidRPr="00262341">
        <w:rPr>
          <w:rFonts w:ascii="Verdana" w:hAnsi="Verdana" w:eastAsia="Verdana" w:cs="Verdana"/>
          <w:sz w:val="18"/>
          <w:szCs w:val="18"/>
        </w:rPr>
        <w:t xml:space="preserve">uitvoeringshandelingen een lijst op te stellen van medische hulpmiddelen die wel of niet onder de definitie van </w:t>
      </w:r>
      <w:r w:rsidRPr="00262341">
        <w:rPr>
          <w:rFonts w:ascii="Verdana" w:hAnsi="Verdana" w:eastAsia="Verdana" w:cs="Verdana"/>
          <w:i/>
          <w:iCs/>
          <w:sz w:val="18"/>
          <w:szCs w:val="18"/>
        </w:rPr>
        <w:t>'well-</w:t>
      </w:r>
      <w:proofErr w:type="spellStart"/>
      <w:r w:rsidRPr="00262341">
        <w:rPr>
          <w:rFonts w:ascii="Verdana" w:hAnsi="Verdana" w:eastAsia="Verdana" w:cs="Verdana"/>
          <w:i/>
          <w:iCs/>
          <w:sz w:val="18"/>
          <w:szCs w:val="18"/>
        </w:rPr>
        <w:t>established</w:t>
      </w:r>
      <w:proofErr w:type="spellEnd"/>
      <w:r w:rsidRPr="00262341">
        <w:rPr>
          <w:rFonts w:ascii="Verdana" w:hAnsi="Verdana" w:eastAsia="Verdana" w:cs="Verdana"/>
          <w:i/>
          <w:iCs/>
          <w:sz w:val="18"/>
          <w:szCs w:val="18"/>
        </w:rPr>
        <w:t xml:space="preserve"> technology device'</w:t>
      </w:r>
      <w:r w:rsidRPr="00262341" w:rsidR="005A546B">
        <w:rPr>
          <w:rFonts w:ascii="Verdana" w:hAnsi="Verdana" w:eastAsia="Verdana" w:cs="Verdana"/>
          <w:i/>
          <w:iCs/>
          <w:sz w:val="18"/>
          <w:szCs w:val="18"/>
        </w:rPr>
        <w:t xml:space="preserve"> vallen</w:t>
      </w:r>
      <w:r w:rsidRPr="00262341" w:rsidR="00A63000">
        <w:rPr>
          <w:rFonts w:ascii="Verdana" w:hAnsi="Verdana" w:eastAsia="Verdana" w:cs="Verdana"/>
          <w:sz w:val="18"/>
          <w:szCs w:val="18"/>
        </w:rPr>
        <w:t>,</w:t>
      </w:r>
      <w:r w:rsidRPr="00262341">
        <w:rPr>
          <w:rFonts w:ascii="Verdana" w:hAnsi="Verdana" w:eastAsia="Verdana" w:cs="Verdana"/>
          <w:sz w:val="18"/>
          <w:szCs w:val="18"/>
        </w:rPr>
        <w:t xml:space="preserve"> zoals neergelegd in artikel 2 punt 72 . Ten tweede betreft het de bevoegdheid voor de Commissie in artikel 9 lid 1</w:t>
      </w:r>
      <w:r w:rsidRPr="00262341" w:rsidR="00896DC5">
        <w:rPr>
          <w:rFonts w:ascii="Verdana" w:hAnsi="Verdana" w:eastAsia="Verdana" w:cs="Verdana"/>
          <w:sz w:val="18"/>
          <w:szCs w:val="18"/>
        </w:rPr>
        <w:t xml:space="preserve"> van de MDR en IVDR</w:t>
      </w:r>
      <w:r w:rsidRPr="00262341">
        <w:rPr>
          <w:rFonts w:ascii="Verdana" w:hAnsi="Verdana" w:eastAsia="Verdana" w:cs="Verdana"/>
          <w:sz w:val="18"/>
          <w:szCs w:val="18"/>
        </w:rPr>
        <w:t>, van het voorstel om uitvoeringshandelingen vast te stellen omtrent gemeenschappelijke specificaties (</w:t>
      </w:r>
      <w:r w:rsidRPr="00262341">
        <w:rPr>
          <w:rFonts w:ascii="Verdana" w:hAnsi="Verdana" w:eastAsia="Verdana" w:cs="Verdana"/>
          <w:i/>
          <w:iCs/>
          <w:sz w:val="18"/>
          <w:szCs w:val="18"/>
        </w:rPr>
        <w:t xml:space="preserve">Common </w:t>
      </w:r>
      <w:proofErr w:type="spellStart"/>
      <w:r w:rsidRPr="00262341">
        <w:rPr>
          <w:rFonts w:ascii="Verdana" w:hAnsi="Verdana" w:eastAsia="Verdana" w:cs="Verdana"/>
          <w:i/>
          <w:iCs/>
          <w:sz w:val="18"/>
          <w:szCs w:val="18"/>
        </w:rPr>
        <w:t>Specifications</w:t>
      </w:r>
      <w:proofErr w:type="spellEnd"/>
      <w:r w:rsidRPr="00262341">
        <w:rPr>
          <w:rFonts w:ascii="Verdana" w:hAnsi="Verdana" w:eastAsia="Verdana" w:cs="Verdana"/>
          <w:sz w:val="18"/>
          <w:szCs w:val="18"/>
        </w:rPr>
        <w:t xml:space="preserve">). Dit betreft in het </w:t>
      </w:r>
      <w:r w:rsidRPr="00262341">
        <w:rPr>
          <w:rFonts w:ascii="Verdana" w:hAnsi="Verdana" w:eastAsia="Verdana" w:cs="Verdana"/>
          <w:sz w:val="18"/>
          <w:szCs w:val="18"/>
        </w:rPr>
        <w:lastRenderedPageBreak/>
        <w:t>bijzonder de bijlages over algemene veiligheidseisen, technische documentatie,</w:t>
      </w:r>
      <w:r w:rsidRPr="00262341" w:rsidR="00905D6C">
        <w:rPr>
          <w:rFonts w:ascii="Verdana" w:hAnsi="Verdana" w:eastAsia="Verdana" w:cs="Verdana"/>
          <w:sz w:val="18"/>
          <w:szCs w:val="18"/>
        </w:rPr>
        <w:t xml:space="preserve"> c</w:t>
      </w:r>
      <w:r w:rsidRPr="00262341">
        <w:rPr>
          <w:rFonts w:ascii="Verdana" w:hAnsi="Verdana" w:eastAsia="Verdana" w:cs="Verdana"/>
          <w:sz w:val="18"/>
          <w:szCs w:val="18"/>
        </w:rPr>
        <w:t>onformiteitsbeoordeling, klinische evaluatie en presentatiestudies en klinisch onderzoek.</w:t>
      </w:r>
      <w:r w:rsidRPr="00262341" w:rsidR="00C243B7">
        <w:rPr>
          <w:rFonts w:ascii="Verdana" w:hAnsi="Verdana" w:eastAsia="Verdana" w:cs="Verdana"/>
          <w:sz w:val="18"/>
          <w:szCs w:val="18"/>
        </w:rPr>
        <w:t xml:space="preserve"> </w:t>
      </w:r>
    </w:p>
    <w:p w:rsidRPr="00262341" w:rsidR="2F9C5FCB" w:rsidP="00262341" w:rsidRDefault="00C243B7" w14:paraId="6ED02F21" w14:textId="5DD1E5FD">
      <w:pPr>
        <w:spacing w:line="360" w:lineRule="auto"/>
        <w:rPr>
          <w:rFonts w:ascii="Verdana" w:hAnsi="Verdana" w:eastAsia="Verdana" w:cs="Verdana"/>
          <w:sz w:val="18"/>
          <w:szCs w:val="18"/>
        </w:rPr>
      </w:pPr>
      <w:r w:rsidRPr="00262341">
        <w:rPr>
          <w:rFonts w:ascii="Verdana" w:hAnsi="Verdana" w:eastAsia="Verdana" w:cs="Verdana"/>
          <w:sz w:val="18"/>
          <w:szCs w:val="18"/>
        </w:rPr>
        <w:t>Ten derde ken</w:t>
      </w:r>
      <w:r w:rsidRPr="00262341" w:rsidR="00075550">
        <w:rPr>
          <w:rFonts w:ascii="Verdana" w:hAnsi="Verdana" w:eastAsia="Verdana" w:cs="Verdana"/>
          <w:sz w:val="18"/>
          <w:szCs w:val="18"/>
        </w:rPr>
        <w:t>nen</w:t>
      </w:r>
      <w:r w:rsidRPr="00262341">
        <w:rPr>
          <w:rFonts w:ascii="Verdana" w:hAnsi="Verdana" w:eastAsia="Verdana" w:cs="Verdana"/>
          <w:sz w:val="18"/>
          <w:szCs w:val="18"/>
        </w:rPr>
        <w:t xml:space="preserve"> artikel 52a, lid 9 van de MDR</w:t>
      </w:r>
      <w:r w:rsidRPr="00262341" w:rsidR="00896DC5">
        <w:rPr>
          <w:rFonts w:ascii="Verdana" w:hAnsi="Verdana" w:eastAsia="Verdana" w:cs="Verdana"/>
          <w:sz w:val="18"/>
          <w:szCs w:val="18"/>
        </w:rPr>
        <w:t xml:space="preserve"> en artikel 48a, lid 9 van de IVDR</w:t>
      </w:r>
      <w:r w:rsidRPr="00262341">
        <w:rPr>
          <w:rFonts w:ascii="Verdana" w:hAnsi="Verdana" w:eastAsia="Verdana" w:cs="Verdana"/>
          <w:sz w:val="18"/>
          <w:szCs w:val="18"/>
        </w:rPr>
        <w:t xml:space="preserve">, de Commissie </w:t>
      </w:r>
      <w:r w:rsidRPr="00262341" w:rsidR="00075550">
        <w:rPr>
          <w:rFonts w:ascii="Verdana" w:hAnsi="Verdana" w:eastAsia="Verdana" w:cs="Verdana"/>
          <w:sz w:val="18"/>
          <w:szCs w:val="18"/>
        </w:rPr>
        <w:t>de bevoegdheid</w:t>
      </w:r>
      <w:r w:rsidRPr="00262341" w:rsidR="00896DC5">
        <w:rPr>
          <w:rFonts w:ascii="Verdana" w:hAnsi="Verdana" w:eastAsia="Verdana" w:cs="Verdana"/>
          <w:sz w:val="18"/>
          <w:szCs w:val="18"/>
        </w:rPr>
        <w:t xml:space="preserve"> </w:t>
      </w:r>
      <w:r w:rsidRPr="00262341">
        <w:rPr>
          <w:rFonts w:ascii="Verdana" w:hAnsi="Verdana" w:eastAsia="Verdana" w:cs="Verdana"/>
          <w:sz w:val="18"/>
          <w:szCs w:val="18"/>
        </w:rPr>
        <w:t>toe om uitvoeringshandelingen vast te stellen omtrent de conformiteitsbeoordeling van de doorbraaktechnologieën of weeshulpmiddelen.</w:t>
      </w:r>
      <w:r w:rsidRPr="00262341" w:rsidR="00E3678E">
        <w:rPr>
          <w:rFonts w:ascii="Verdana" w:hAnsi="Verdana" w:eastAsia="Verdana" w:cs="Verdana"/>
          <w:sz w:val="18"/>
          <w:szCs w:val="18"/>
        </w:rPr>
        <w:t xml:space="preserve"> </w:t>
      </w:r>
      <w:r w:rsidRPr="00262341" w:rsidR="001D08F9">
        <w:rPr>
          <w:rFonts w:ascii="Verdana" w:hAnsi="Verdana" w:eastAsia="Verdana" w:cs="Verdana"/>
          <w:sz w:val="18"/>
          <w:szCs w:val="18"/>
        </w:rPr>
        <w:t>Ten vierde ken</w:t>
      </w:r>
      <w:r w:rsidRPr="00262341" w:rsidR="00E3678E">
        <w:rPr>
          <w:rFonts w:ascii="Verdana" w:hAnsi="Verdana" w:eastAsia="Verdana" w:cs="Verdana"/>
          <w:sz w:val="18"/>
          <w:szCs w:val="18"/>
        </w:rPr>
        <w:t>nen</w:t>
      </w:r>
      <w:r w:rsidRPr="00262341" w:rsidR="001D08F9">
        <w:rPr>
          <w:rFonts w:ascii="Verdana" w:hAnsi="Verdana" w:eastAsia="Verdana" w:cs="Verdana"/>
          <w:sz w:val="18"/>
          <w:szCs w:val="18"/>
        </w:rPr>
        <w:t xml:space="preserve"> artikel 59, lid 4</w:t>
      </w:r>
      <w:r w:rsidRPr="00262341" w:rsidR="003803B2">
        <w:rPr>
          <w:rFonts w:ascii="Verdana" w:hAnsi="Verdana" w:eastAsia="Verdana" w:cs="Verdana"/>
          <w:sz w:val="18"/>
          <w:szCs w:val="18"/>
        </w:rPr>
        <w:t xml:space="preserve"> en 5</w:t>
      </w:r>
      <w:r w:rsidRPr="00262341" w:rsidR="001D08F9">
        <w:rPr>
          <w:rFonts w:ascii="Verdana" w:hAnsi="Verdana" w:eastAsia="Verdana" w:cs="Verdana"/>
          <w:sz w:val="18"/>
          <w:szCs w:val="18"/>
        </w:rPr>
        <w:t xml:space="preserve"> van de MDR</w:t>
      </w:r>
      <w:r w:rsidRPr="00262341" w:rsidR="00E3678E">
        <w:rPr>
          <w:rFonts w:ascii="Verdana" w:hAnsi="Verdana" w:eastAsia="Verdana" w:cs="Verdana"/>
          <w:sz w:val="18"/>
          <w:szCs w:val="18"/>
        </w:rPr>
        <w:t xml:space="preserve"> en artikel 54, lid </w:t>
      </w:r>
      <w:r w:rsidRPr="00262341" w:rsidR="003803B2">
        <w:rPr>
          <w:rFonts w:ascii="Verdana" w:hAnsi="Verdana" w:eastAsia="Verdana" w:cs="Verdana"/>
          <w:sz w:val="18"/>
          <w:szCs w:val="18"/>
        </w:rPr>
        <w:t xml:space="preserve">4 en </w:t>
      </w:r>
      <w:r w:rsidRPr="00262341" w:rsidR="00E3678E">
        <w:rPr>
          <w:rFonts w:ascii="Verdana" w:hAnsi="Verdana" w:eastAsia="Verdana" w:cs="Verdana"/>
          <w:sz w:val="18"/>
          <w:szCs w:val="18"/>
        </w:rPr>
        <w:t>5 van de IVDR,</w:t>
      </w:r>
      <w:r w:rsidRPr="00262341" w:rsidR="001D08F9">
        <w:rPr>
          <w:rFonts w:ascii="Verdana" w:hAnsi="Verdana" w:eastAsia="Verdana" w:cs="Verdana"/>
          <w:sz w:val="18"/>
          <w:szCs w:val="18"/>
        </w:rPr>
        <w:t xml:space="preserve"> de Commissie de bevoegdheid toe om uitvoeringshandelingen vast te stellen in tijden van een erkende noodsituatie op het gebied van de volksgezondheid overeenkomstig artikel 23 van Verordening 2022/</w:t>
      </w:r>
      <w:r w:rsidRPr="00262341" w:rsidR="10621922">
        <w:rPr>
          <w:rFonts w:ascii="Verdana" w:hAnsi="Verdana" w:eastAsia="Verdana" w:cs="Verdana"/>
          <w:sz w:val="18"/>
          <w:szCs w:val="18"/>
        </w:rPr>
        <w:t>2371,</w:t>
      </w:r>
      <w:r w:rsidRPr="00262341" w:rsidR="000A5B8B">
        <w:rPr>
          <w:rStyle w:val="FootnoteReference"/>
          <w:rFonts w:ascii="Verdana" w:hAnsi="Verdana" w:eastAsia="Verdana" w:cs="Verdana"/>
          <w:sz w:val="18"/>
          <w:szCs w:val="18"/>
        </w:rPr>
        <w:footnoteReference w:id="18"/>
      </w:r>
      <w:r w:rsidRPr="00262341" w:rsidR="008E3CCD">
        <w:rPr>
          <w:rFonts w:ascii="Verdana" w:hAnsi="Verdana" w:eastAsia="Verdana" w:cs="Verdana"/>
          <w:sz w:val="18"/>
          <w:szCs w:val="18"/>
        </w:rPr>
        <w:t xml:space="preserve"> </w:t>
      </w:r>
      <w:r w:rsidRPr="00262341" w:rsidR="00AD79B6">
        <w:rPr>
          <w:rFonts w:ascii="Verdana" w:hAnsi="Verdana" w:eastAsia="Verdana" w:cs="Verdana"/>
          <w:sz w:val="18"/>
          <w:szCs w:val="18"/>
        </w:rPr>
        <w:t xml:space="preserve">inzake het </w:t>
      </w:r>
      <w:r w:rsidRPr="00262341" w:rsidR="001D08F9">
        <w:rPr>
          <w:rFonts w:ascii="Verdana" w:hAnsi="Verdana" w:eastAsia="Verdana" w:cs="Verdana"/>
          <w:sz w:val="18"/>
          <w:szCs w:val="18"/>
        </w:rPr>
        <w:t>op eigen initiatief en na raadpleging van de MDCG</w:t>
      </w:r>
      <w:r w:rsidRPr="00262341" w:rsidR="00AD79B6">
        <w:rPr>
          <w:rFonts w:ascii="Verdana" w:hAnsi="Verdana"/>
          <w:sz w:val="18"/>
          <w:szCs w:val="18"/>
        </w:rPr>
        <w:t xml:space="preserve"> </w:t>
      </w:r>
      <w:r w:rsidRPr="00262341" w:rsidR="00AD79B6">
        <w:rPr>
          <w:rFonts w:ascii="Verdana" w:hAnsi="Verdana" w:eastAsia="Verdana" w:cs="Verdana"/>
          <w:sz w:val="18"/>
          <w:szCs w:val="18"/>
        </w:rPr>
        <w:t>verlenen van toestemming voor het in de handel brengen of in gebruik nemen van een medisch hulpmiddel overeenkomstig artikel 59, lid 3</w:t>
      </w:r>
      <w:r w:rsidRPr="00262341" w:rsidR="001D08F9">
        <w:rPr>
          <w:rFonts w:ascii="Verdana" w:hAnsi="Verdana" w:eastAsia="Verdana" w:cs="Verdana"/>
          <w:sz w:val="18"/>
          <w:szCs w:val="18"/>
        </w:rPr>
        <w:t xml:space="preserve">. </w:t>
      </w:r>
      <w:r w:rsidRPr="00262341" w:rsidR="00516BB8">
        <w:rPr>
          <w:rFonts w:ascii="Verdana" w:hAnsi="Verdana" w:eastAsia="Verdana" w:cs="Verdana"/>
          <w:sz w:val="18"/>
          <w:szCs w:val="18"/>
        </w:rPr>
        <w:t xml:space="preserve">In artikel 59, lid 3 van het voorstel is opgenomen dat de geldigheid van een door een lidstaat overeenkomstig lid 1 of lid 1a verleende vergunning voor een beperkte periode uitgebreid kan worden tot het grondgebied van de Unie, of een vergunning als bedoeld in lid 1 of lid 1a voor het grondgebied van de Unie kan worden verleend. De Commissie kan de voorwaarden vaststellen waaronder het </w:t>
      </w:r>
      <w:r w:rsidRPr="00262341" w:rsidR="001F5127">
        <w:rPr>
          <w:rFonts w:ascii="Verdana" w:hAnsi="Verdana" w:eastAsia="Verdana" w:cs="Verdana"/>
          <w:sz w:val="18"/>
          <w:szCs w:val="18"/>
        </w:rPr>
        <w:t xml:space="preserve">medisch hulpmiddel </w:t>
      </w:r>
      <w:r w:rsidRPr="00262341" w:rsidR="00516BB8">
        <w:rPr>
          <w:rFonts w:ascii="Verdana" w:hAnsi="Verdana" w:eastAsia="Verdana" w:cs="Verdana"/>
          <w:sz w:val="18"/>
          <w:szCs w:val="18"/>
        </w:rPr>
        <w:t>in de handel mag worden gebracht of in gebruik mag worden genomen, of waaronder de diagnostische of therapeutische dienst mag worden verleend</w:t>
      </w:r>
      <w:r w:rsidRPr="00262341" w:rsidR="001D08F9">
        <w:rPr>
          <w:rFonts w:ascii="Verdana" w:hAnsi="Verdana" w:eastAsia="Verdana" w:cs="Verdana"/>
          <w:sz w:val="18"/>
          <w:szCs w:val="18"/>
        </w:rPr>
        <w:t>.</w:t>
      </w:r>
      <w:r w:rsidRPr="00262341" w:rsidR="4D60E2B4">
        <w:rPr>
          <w:rFonts w:ascii="Verdana" w:hAnsi="Verdana" w:eastAsia="Verdana" w:cs="Verdana"/>
          <w:sz w:val="18"/>
          <w:szCs w:val="18"/>
        </w:rPr>
        <w:t xml:space="preserve"> </w:t>
      </w:r>
      <w:r w:rsidRPr="00262341" w:rsidR="00AD79B6">
        <w:rPr>
          <w:rFonts w:ascii="Verdana" w:hAnsi="Verdana" w:eastAsia="Verdana" w:cs="Verdana"/>
          <w:sz w:val="18"/>
          <w:szCs w:val="18"/>
        </w:rPr>
        <w:t>De bevoegdheid vervalt wanneer de noodsituatie wordt beëindigd overeenkomstig artikel 23, lid 2 van Verordening 2022/2371.</w:t>
      </w:r>
      <w:r w:rsidRPr="00262341" w:rsidR="000A5B8B">
        <w:rPr>
          <w:rFonts w:ascii="Verdana" w:hAnsi="Verdana" w:eastAsia="Verdana" w:cs="Verdana"/>
          <w:sz w:val="18"/>
          <w:szCs w:val="18"/>
          <w:vertAlign w:val="superscript"/>
        </w:rPr>
        <w:t>17</w:t>
      </w:r>
      <w:r w:rsidRPr="00262341" w:rsidR="00AD79B6">
        <w:rPr>
          <w:rFonts w:ascii="Verdana" w:hAnsi="Verdana" w:eastAsia="Verdana" w:cs="Verdana"/>
          <w:sz w:val="18"/>
          <w:szCs w:val="18"/>
        </w:rPr>
        <w:t xml:space="preserve"> </w:t>
      </w:r>
      <w:r w:rsidRPr="00262341" w:rsidR="00D366F3">
        <w:rPr>
          <w:rFonts w:ascii="Verdana" w:hAnsi="Verdana" w:eastAsia="Verdana" w:cs="Verdana"/>
          <w:sz w:val="18"/>
          <w:szCs w:val="18"/>
        </w:rPr>
        <w:t>Ten vijfde geeft het voorstel de Commissie op grond van artikel 59a, lid 5</w:t>
      </w:r>
      <w:r w:rsidRPr="00262341" w:rsidR="00075550">
        <w:rPr>
          <w:rFonts w:ascii="Verdana" w:hAnsi="Verdana" w:eastAsia="Verdana" w:cs="Verdana"/>
          <w:sz w:val="18"/>
          <w:szCs w:val="18"/>
        </w:rPr>
        <w:t xml:space="preserve"> van de MDR</w:t>
      </w:r>
      <w:r w:rsidRPr="00262341" w:rsidR="00D366F3">
        <w:rPr>
          <w:rFonts w:ascii="Verdana" w:hAnsi="Verdana" w:eastAsia="Verdana" w:cs="Verdana"/>
          <w:sz w:val="18"/>
          <w:szCs w:val="18"/>
        </w:rPr>
        <w:t>, de bevoegdheid om uitvoeringshandeling vast te stellen in uitzonderlijke gevallen om de geldigheid van een nationale vrijstelling uit te breiden tot het grondgebied van de Unie. Dit geldt voor een beperkte periode en betreft gevallen met betrekking tot volksgezondheid, patiëntveiligheid of patiëntgezondheid. Ten zesde geeft het voorstel de Commissie op grond van artikel 59c, lid 1 en 4</w:t>
      </w:r>
      <w:r w:rsidRPr="00262341" w:rsidR="00905D6C">
        <w:rPr>
          <w:rFonts w:ascii="Verdana" w:hAnsi="Verdana" w:eastAsia="Verdana" w:cs="Verdana"/>
          <w:sz w:val="18"/>
          <w:szCs w:val="18"/>
        </w:rPr>
        <w:t xml:space="preserve"> van de MDR en IVDR, </w:t>
      </w:r>
      <w:r w:rsidRPr="00262341" w:rsidR="00D366F3">
        <w:rPr>
          <w:rFonts w:ascii="Verdana" w:hAnsi="Verdana" w:eastAsia="Verdana" w:cs="Verdana"/>
          <w:sz w:val="18"/>
          <w:szCs w:val="18"/>
        </w:rPr>
        <w:t>de bevoegd</w:t>
      </w:r>
      <w:r w:rsidRPr="00262341" w:rsidR="00905D6C">
        <w:rPr>
          <w:rFonts w:ascii="Verdana" w:hAnsi="Verdana" w:eastAsia="Verdana" w:cs="Verdana"/>
          <w:sz w:val="18"/>
          <w:szCs w:val="18"/>
        </w:rPr>
        <w:t>heden</w:t>
      </w:r>
      <w:r w:rsidRPr="00262341" w:rsidR="00D366F3">
        <w:rPr>
          <w:rFonts w:ascii="Verdana" w:hAnsi="Verdana" w:eastAsia="Verdana" w:cs="Verdana"/>
          <w:sz w:val="18"/>
          <w:szCs w:val="18"/>
        </w:rPr>
        <w:t xml:space="preserve"> om uitvoeringshandeling vast te stellen voor het opzetten, proces, implementatie en toezicht op de ‘</w:t>
      </w:r>
      <w:r w:rsidRPr="00262341" w:rsidR="00D366F3">
        <w:rPr>
          <w:rFonts w:ascii="Verdana" w:hAnsi="Verdana" w:eastAsia="Verdana" w:cs="Verdana"/>
          <w:i/>
          <w:iCs/>
          <w:sz w:val="18"/>
          <w:szCs w:val="18"/>
        </w:rPr>
        <w:t xml:space="preserve">regulatory </w:t>
      </w:r>
      <w:proofErr w:type="spellStart"/>
      <w:r w:rsidRPr="00262341" w:rsidR="00D366F3">
        <w:rPr>
          <w:rFonts w:ascii="Verdana" w:hAnsi="Verdana" w:eastAsia="Verdana" w:cs="Verdana"/>
          <w:i/>
          <w:iCs/>
          <w:sz w:val="18"/>
          <w:szCs w:val="18"/>
        </w:rPr>
        <w:t>sandboxes</w:t>
      </w:r>
      <w:proofErr w:type="spellEnd"/>
      <w:r w:rsidRPr="00262341" w:rsidR="00D366F3">
        <w:rPr>
          <w:rFonts w:ascii="Verdana" w:hAnsi="Verdana" w:eastAsia="Verdana" w:cs="Verdana"/>
          <w:i/>
          <w:iCs/>
          <w:sz w:val="18"/>
          <w:szCs w:val="18"/>
        </w:rPr>
        <w:t>’</w:t>
      </w:r>
      <w:r w:rsidRPr="00262341" w:rsidR="00D366F3">
        <w:rPr>
          <w:rFonts w:ascii="Verdana" w:hAnsi="Verdana" w:eastAsia="Verdana" w:cs="Verdana"/>
          <w:sz w:val="18"/>
          <w:szCs w:val="18"/>
        </w:rPr>
        <w:t>. Ook geeft het voorstel de Commissie op grond van artikel 108b, lid 4</w:t>
      </w:r>
      <w:r w:rsidRPr="00262341" w:rsidR="00075550">
        <w:rPr>
          <w:rFonts w:ascii="Verdana" w:hAnsi="Verdana" w:eastAsia="Verdana" w:cs="Verdana"/>
          <w:sz w:val="18"/>
          <w:szCs w:val="18"/>
        </w:rPr>
        <w:t xml:space="preserve"> van de MDR</w:t>
      </w:r>
      <w:r w:rsidRPr="00262341" w:rsidR="00D366F3">
        <w:rPr>
          <w:rFonts w:ascii="Verdana" w:hAnsi="Verdana" w:eastAsia="Verdana" w:cs="Verdana"/>
          <w:sz w:val="18"/>
          <w:szCs w:val="18"/>
        </w:rPr>
        <w:t xml:space="preserve">, de bevoegdheid om uitvoeringshandeling vast te stellen </w:t>
      </w:r>
      <w:r w:rsidRPr="00262341" w:rsidR="00A33F71">
        <w:rPr>
          <w:rFonts w:ascii="Verdana" w:hAnsi="Verdana" w:eastAsia="Verdana" w:cs="Verdana"/>
          <w:sz w:val="18"/>
          <w:szCs w:val="18"/>
        </w:rPr>
        <w:t>inzake</w:t>
      </w:r>
      <w:r w:rsidRPr="00262341" w:rsidR="00D366F3">
        <w:rPr>
          <w:rFonts w:ascii="Verdana" w:hAnsi="Verdana" w:eastAsia="Verdana" w:cs="Verdana"/>
          <w:sz w:val="18"/>
          <w:szCs w:val="18"/>
        </w:rPr>
        <w:t xml:space="preserve"> </w:t>
      </w:r>
      <w:r w:rsidRPr="00262341" w:rsidR="00B71E42">
        <w:rPr>
          <w:rFonts w:ascii="Verdana" w:hAnsi="Verdana" w:eastAsia="Verdana" w:cs="Verdana"/>
          <w:sz w:val="18"/>
          <w:szCs w:val="18"/>
        </w:rPr>
        <w:t>erkenning van vertrouwensmechanismen of programma’s</w:t>
      </w:r>
      <w:r w:rsidRPr="00262341" w:rsidR="00075550">
        <w:rPr>
          <w:rFonts w:ascii="Verdana" w:hAnsi="Verdana" w:eastAsia="Verdana" w:cs="Verdana"/>
          <w:sz w:val="18"/>
          <w:szCs w:val="18"/>
        </w:rPr>
        <w:t>.</w:t>
      </w:r>
      <w:r w:rsidRPr="00262341" w:rsidR="00075550">
        <w:rPr>
          <w:rFonts w:ascii="Verdana" w:hAnsi="Verdana" w:eastAsia="Verdana" w:cs="Verdana"/>
          <w:color w:val="FF0000"/>
          <w:sz w:val="18"/>
          <w:szCs w:val="18"/>
        </w:rPr>
        <w:t xml:space="preserve"> </w:t>
      </w:r>
      <w:r w:rsidRPr="00262341" w:rsidR="00075550">
        <w:rPr>
          <w:rFonts w:ascii="Verdana" w:hAnsi="Verdana" w:eastAsia="Verdana" w:cs="Verdana"/>
          <w:sz w:val="18"/>
          <w:szCs w:val="18"/>
        </w:rPr>
        <w:t xml:space="preserve">Verder kent artikel 3, lid 6 van de IVD, de Commissie de bevoegdheid toe om uitvoeringshandelingen vast te stellen over het bepalen van de gehele procedure voor toepassing van lid 1 tot en met 4 van het artikel alsook artikel 3a. Ook kent artikel 48, lid 13 van de IVDR de Commissie de bevoegdheid toe om </w:t>
      </w:r>
      <w:r w:rsidRPr="00262341" w:rsidR="00055A82">
        <w:rPr>
          <w:rFonts w:ascii="Verdana" w:hAnsi="Verdana" w:eastAsia="Verdana" w:cs="Verdana"/>
          <w:sz w:val="18"/>
          <w:szCs w:val="18"/>
        </w:rPr>
        <w:t xml:space="preserve">via </w:t>
      </w:r>
      <w:r w:rsidRPr="00262341" w:rsidR="00075550">
        <w:rPr>
          <w:rFonts w:ascii="Verdana" w:hAnsi="Verdana" w:eastAsia="Verdana" w:cs="Verdana"/>
          <w:sz w:val="18"/>
          <w:szCs w:val="18"/>
        </w:rPr>
        <w:t xml:space="preserve">uitvoeringshandelingen </w:t>
      </w:r>
      <w:r w:rsidRPr="00262341" w:rsidR="00055A82">
        <w:rPr>
          <w:rFonts w:ascii="Verdana" w:hAnsi="Verdana" w:eastAsia="Verdana" w:cs="Verdana"/>
          <w:sz w:val="18"/>
          <w:szCs w:val="18"/>
        </w:rPr>
        <w:t xml:space="preserve">gedetailleerde regels vast te stellen voor hoe conformiteitsbeoordelingen moeten worden uitgevoerd, onder andere voor steekproeven, audits, testen, en specifieke procedures voor hoog-risico-, baanbrekende en </w:t>
      </w:r>
      <w:r w:rsidRPr="00262341" w:rsidR="00E375C0">
        <w:rPr>
          <w:rFonts w:ascii="Verdana" w:hAnsi="Verdana" w:eastAsia="Verdana" w:cs="Verdana"/>
          <w:sz w:val="18"/>
          <w:szCs w:val="18"/>
        </w:rPr>
        <w:t>wees</w:t>
      </w:r>
      <w:r w:rsidRPr="00262341" w:rsidR="00055A82">
        <w:rPr>
          <w:rFonts w:ascii="Verdana" w:hAnsi="Verdana" w:eastAsia="Verdana" w:cs="Verdana"/>
          <w:sz w:val="18"/>
          <w:szCs w:val="18"/>
        </w:rPr>
        <w:t xml:space="preserve">hulpmiddelen. </w:t>
      </w:r>
      <w:r w:rsidRPr="00262341" w:rsidR="2F9C5FCB">
        <w:rPr>
          <w:rFonts w:ascii="Verdana" w:hAnsi="Verdana" w:eastAsia="Verdana" w:cs="Verdana"/>
          <w:sz w:val="18"/>
          <w:szCs w:val="18"/>
        </w:rPr>
        <w:t>Het toekennen van deze bevoegdheden is mogelijk, omdat het niet-essentiële onderdelen van de basishandeling betref</w:t>
      </w:r>
      <w:r w:rsidRPr="00262341" w:rsidR="00075550">
        <w:rPr>
          <w:rFonts w:ascii="Verdana" w:hAnsi="Verdana" w:eastAsia="Verdana" w:cs="Verdana"/>
          <w:sz w:val="18"/>
          <w:szCs w:val="18"/>
        </w:rPr>
        <w:t>fen</w:t>
      </w:r>
      <w:r w:rsidRPr="00262341" w:rsidR="2F9C5FCB">
        <w:rPr>
          <w:rFonts w:ascii="Verdana" w:hAnsi="Verdana" w:eastAsia="Verdana" w:cs="Verdana"/>
          <w:sz w:val="18"/>
          <w:szCs w:val="18"/>
        </w:rPr>
        <w:t xml:space="preserve">. Toekenning van deze bevoegdheden acht het kabinet wenselijk, omdat </w:t>
      </w:r>
      <w:r w:rsidRPr="00262341" w:rsidR="00BB5C9E">
        <w:rPr>
          <w:rFonts w:ascii="Verdana" w:hAnsi="Verdana" w:eastAsia="Verdana" w:cs="Verdana"/>
          <w:sz w:val="18"/>
          <w:szCs w:val="18"/>
        </w:rPr>
        <w:t>hiermee de wetgevingsprocedure niet belast wordt.</w:t>
      </w:r>
      <w:r w:rsidRPr="00262341" w:rsidR="00262341">
        <w:rPr>
          <w:rFonts w:ascii="Verdana" w:hAnsi="Verdana" w:eastAsia="Verdana" w:cs="Verdana"/>
          <w:sz w:val="18"/>
          <w:szCs w:val="18"/>
        </w:rPr>
        <w:t xml:space="preserve"> </w:t>
      </w:r>
      <w:r w:rsidRPr="00262341" w:rsidR="2F9C5FCB">
        <w:rPr>
          <w:rFonts w:ascii="Verdana" w:hAnsi="Verdana" w:eastAsia="Verdana" w:cs="Verdana"/>
          <w:sz w:val="18"/>
          <w:szCs w:val="18"/>
        </w:rPr>
        <w:t xml:space="preserve">De keuze voor uitvoering </w:t>
      </w:r>
      <w:r w:rsidRPr="00262341" w:rsidR="00C63815">
        <w:rPr>
          <w:rFonts w:ascii="Verdana" w:hAnsi="Verdana" w:eastAsia="Verdana" w:cs="Verdana"/>
          <w:sz w:val="18"/>
          <w:szCs w:val="18"/>
        </w:rPr>
        <w:t>in plaats van</w:t>
      </w:r>
      <w:r w:rsidRPr="00262341" w:rsidR="2F9C5FCB">
        <w:rPr>
          <w:rFonts w:ascii="Verdana" w:hAnsi="Verdana" w:eastAsia="Verdana" w:cs="Verdana"/>
          <w:sz w:val="18"/>
          <w:szCs w:val="18"/>
        </w:rPr>
        <w:t xml:space="preserve"> delegatie ligt hier voor de hand</w:t>
      </w:r>
      <w:r w:rsidRPr="00262341" w:rsidR="00C63815">
        <w:rPr>
          <w:rFonts w:ascii="Verdana" w:hAnsi="Verdana" w:eastAsia="Verdana" w:cs="Verdana"/>
          <w:sz w:val="18"/>
          <w:szCs w:val="18"/>
        </w:rPr>
        <w:t>,</w:t>
      </w:r>
      <w:r w:rsidRPr="00262341" w:rsidR="2F9C5FCB">
        <w:rPr>
          <w:rFonts w:ascii="Verdana" w:hAnsi="Verdana" w:eastAsia="Verdana" w:cs="Verdana"/>
          <w:sz w:val="18"/>
          <w:szCs w:val="18"/>
        </w:rPr>
        <w:t xml:space="preserve"> omdat het </w:t>
      </w:r>
      <w:r w:rsidRPr="00262341" w:rsidR="00C12C1B">
        <w:rPr>
          <w:rFonts w:ascii="Verdana" w:hAnsi="Verdana" w:eastAsia="Verdana" w:cs="Verdana"/>
          <w:sz w:val="18"/>
          <w:szCs w:val="18"/>
        </w:rPr>
        <w:t>de</w:t>
      </w:r>
      <w:r w:rsidRPr="00262341" w:rsidR="2F9C5FCB">
        <w:rPr>
          <w:rFonts w:ascii="Verdana" w:hAnsi="Verdana" w:eastAsia="Verdana" w:cs="Verdana"/>
          <w:sz w:val="18"/>
          <w:szCs w:val="18"/>
        </w:rPr>
        <w:t xml:space="preserve"> uitvoering van de verordening volgens eenvormige voorwaarden</w:t>
      </w:r>
      <w:r w:rsidRPr="00262341" w:rsidR="00C12C1B">
        <w:rPr>
          <w:rFonts w:ascii="Verdana" w:hAnsi="Verdana" w:eastAsia="Verdana" w:cs="Verdana"/>
          <w:sz w:val="18"/>
          <w:szCs w:val="18"/>
        </w:rPr>
        <w:t xml:space="preserve"> betreft</w:t>
      </w:r>
      <w:r w:rsidRPr="00262341" w:rsidR="2F9C5FCB">
        <w:rPr>
          <w:rFonts w:ascii="Verdana" w:hAnsi="Verdana" w:eastAsia="Verdana" w:cs="Verdana"/>
          <w:sz w:val="18"/>
          <w:szCs w:val="18"/>
        </w:rPr>
        <w:t xml:space="preserve">. De uitvoeringshandeling worden vastgesteld volgens de </w:t>
      </w:r>
      <w:r w:rsidRPr="00262341" w:rsidR="2F9C5FCB">
        <w:rPr>
          <w:rFonts w:ascii="Verdana" w:hAnsi="Verdana" w:eastAsia="Verdana" w:cs="Verdana"/>
          <w:sz w:val="18"/>
          <w:szCs w:val="18"/>
        </w:rPr>
        <w:lastRenderedPageBreak/>
        <w:t>onderzoeksprocedure als bedoeld in artikel 5 van verordening (EU) 182/2011.</w:t>
      </w:r>
      <w:r w:rsidRPr="00262341" w:rsidR="000A5B8B">
        <w:rPr>
          <w:rStyle w:val="FootnoteReference"/>
          <w:rFonts w:ascii="Verdana" w:hAnsi="Verdana" w:eastAsia="Verdana" w:cs="Verdana"/>
          <w:sz w:val="18"/>
          <w:szCs w:val="18"/>
        </w:rPr>
        <w:footnoteReference w:id="19"/>
      </w:r>
      <w:r w:rsidRPr="00262341" w:rsidR="00A63000">
        <w:rPr>
          <w:rFonts w:ascii="Verdana" w:hAnsi="Verdana" w:eastAsia="Verdana" w:cs="Verdana"/>
          <w:sz w:val="18"/>
          <w:szCs w:val="18"/>
        </w:rPr>
        <w:t xml:space="preserve"> </w:t>
      </w:r>
      <w:r w:rsidRPr="00262341" w:rsidR="2F9C5FCB">
        <w:rPr>
          <w:rFonts w:ascii="Verdana" w:hAnsi="Verdana" w:eastAsia="Verdana" w:cs="Verdana"/>
          <w:sz w:val="18"/>
          <w:szCs w:val="18"/>
        </w:rPr>
        <w:t xml:space="preserve">Toepassing van deze procedure is hier volgens het kabinet op zijn plaats. </w:t>
      </w:r>
    </w:p>
    <w:p w:rsidRPr="00262341" w:rsidR="009D460C" w:rsidP="00262341" w:rsidRDefault="009D460C" w14:paraId="4C86B5D7" w14:textId="77777777">
      <w:pPr>
        <w:spacing w:line="360" w:lineRule="auto"/>
        <w:rPr>
          <w:rFonts w:ascii="Verdana" w:hAnsi="Verdana" w:eastAsia="Verdana" w:cs="Verdana"/>
          <w:sz w:val="18"/>
          <w:szCs w:val="18"/>
        </w:rPr>
      </w:pPr>
    </w:p>
    <w:p w:rsidRPr="00262341" w:rsidR="67594143" w:rsidP="00262341" w:rsidRDefault="2F9C5FCB" w14:paraId="236766DF" w14:textId="2B893DA8">
      <w:pPr>
        <w:spacing w:line="360" w:lineRule="auto"/>
        <w:rPr>
          <w:rFonts w:ascii="Verdana" w:hAnsi="Verdana" w:eastAsia="Verdana" w:cs="Verdana"/>
          <w:sz w:val="18"/>
          <w:szCs w:val="18"/>
        </w:rPr>
      </w:pPr>
      <w:bookmarkStart w:name="_Hlk221184677" w:id="4"/>
      <w:r w:rsidRPr="00262341">
        <w:rPr>
          <w:rFonts w:ascii="Verdana" w:hAnsi="Verdana" w:eastAsia="Verdana" w:cs="Verdana"/>
          <w:sz w:val="18"/>
          <w:szCs w:val="18"/>
        </w:rPr>
        <w:t xml:space="preserve">Tevens geeft het voorstel de Commissie in de MDR de bevoegdheid om uitvoeringshandelingen vast te stellen voor de volgende onderwerpen: toezicht en selectie van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(artikel 39, lid 16</w:t>
      </w:r>
      <w:r w:rsidRPr="00262341" w:rsidR="00C144D1">
        <w:rPr>
          <w:rFonts w:ascii="Verdana" w:hAnsi="Verdana" w:eastAsia="Verdana" w:cs="Verdana"/>
          <w:sz w:val="18"/>
          <w:szCs w:val="18"/>
        </w:rPr>
        <w:t xml:space="preserve"> van de MDR</w:t>
      </w:r>
      <w:r w:rsidRPr="00262341" w:rsidR="0D49272E">
        <w:rPr>
          <w:rFonts w:ascii="Verdana" w:hAnsi="Verdana" w:eastAsia="Verdana" w:cs="Verdana"/>
          <w:sz w:val="18"/>
          <w:szCs w:val="18"/>
        </w:rPr>
        <w:t xml:space="preserve">), </w:t>
      </w:r>
      <w:r w:rsidRPr="00262341">
        <w:rPr>
          <w:rFonts w:ascii="Verdana" w:hAnsi="Verdana" w:eastAsia="Verdana" w:cs="Verdana"/>
          <w:sz w:val="18"/>
          <w:szCs w:val="18"/>
        </w:rPr>
        <w:t xml:space="preserve">de kosten van toezicht en het initiële aanwijzingsproces van </w:t>
      </w:r>
      <w:proofErr w:type="spellStart"/>
      <w:r w:rsidRPr="00262341">
        <w:rPr>
          <w:rFonts w:ascii="Verdana" w:hAnsi="Verdana" w:eastAsia="Verdana" w:cs="Verdana"/>
          <w:i/>
          <w:sz w:val="18"/>
          <w:szCs w:val="18"/>
        </w:rPr>
        <w:t>notified</w:t>
      </w:r>
      <w:proofErr w:type="spellEnd"/>
      <w:r w:rsidRPr="00262341">
        <w:rPr>
          <w:rFonts w:ascii="Verdana" w:hAnsi="Verdana" w:eastAsia="Verdana" w:cs="Verdana"/>
          <w:i/>
          <w:sz w:val="18"/>
          <w:szCs w:val="18"/>
        </w:rPr>
        <w:t xml:space="preserve"> </w:t>
      </w:r>
      <w:proofErr w:type="spellStart"/>
      <w:r w:rsidRPr="00262341">
        <w:rPr>
          <w:rFonts w:ascii="Verdana" w:hAnsi="Verdana" w:eastAsia="Verdana" w:cs="Verdana"/>
          <w:i/>
          <w:sz w:val="18"/>
          <w:szCs w:val="18"/>
        </w:rPr>
        <w:t>bodies</w:t>
      </w:r>
      <w:proofErr w:type="spellEnd"/>
      <w:r w:rsidRPr="00262341">
        <w:rPr>
          <w:rFonts w:ascii="Verdana" w:hAnsi="Verdana" w:eastAsia="Verdana" w:cs="Verdana"/>
          <w:sz w:val="18"/>
          <w:szCs w:val="18"/>
        </w:rPr>
        <w:t xml:space="preserve"> (artikel 40a, lid 2</w:t>
      </w:r>
      <w:r w:rsidRPr="00262341" w:rsidR="00C144D1">
        <w:rPr>
          <w:rFonts w:ascii="Verdana" w:hAnsi="Verdana" w:eastAsia="Verdana" w:cs="Verdana"/>
          <w:sz w:val="18"/>
          <w:szCs w:val="18"/>
        </w:rPr>
        <w:t xml:space="preserve"> van de MDR</w:t>
      </w:r>
      <w:r w:rsidRPr="00262341" w:rsidR="0D49272E">
        <w:rPr>
          <w:rFonts w:ascii="Verdana" w:hAnsi="Verdana" w:eastAsia="Verdana" w:cs="Verdana"/>
          <w:sz w:val="18"/>
          <w:szCs w:val="18"/>
        </w:rPr>
        <w:t>)</w:t>
      </w:r>
      <w:r w:rsidRPr="00262341" w:rsidR="00A63000">
        <w:rPr>
          <w:rFonts w:ascii="Verdana" w:hAnsi="Verdana" w:eastAsia="Verdana" w:cs="Verdana"/>
          <w:sz w:val="18"/>
          <w:szCs w:val="18"/>
        </w:rPr>
        <w:t>,</w:t>
      </w:r>
      <w:r w:rsidRPr="00262341" w:rsidR="0D49272E">
        <w:rPr>
          <w:rFonts w:ascii="Verdana" w:hAnsi="Verdana" w:eastAsia="Verdana" w:cs="Verdana"/>
          <w:sz w:val="18"/>
          <w:szCs w:val="18"/>
        </w:rPr>
        <w:t xml:space="preserve"> en de kosten van de </w:t>
      </w:r>
      <w:proofErr w:type="spellStart"/>
      <w:r w:rsidRPr="00262341" w:rsidR="0D49272E">
        <w:rPr>
          <w:rFonts w:ascii="Verdana" w:hAnsi="Verdana" w:eastAsia="Verdana" w:cs="Verdana"/>
          <w:i/>
          <w:sz w:val="18"/>
          <w:szCs w:val="18"/>
        </w:rPr>
        <w:t>notified</w:t>
      </w:r>
      <w:proofErr w:type="spellEnd"/>
      <w:r w:rsidRPr="00262341" w:rsidR="0D49272E">
        <w:rPr>
          <w:rFonts w:ascii="Verdana" w:hAnsi="Verdana" w:eastAsia="Verdana" w:cs="Verdana"/>
          <w:i/>
          <w:sz w:val="18"/>
          <w:szCs w:val="18"/>
        </w:rPr>
        <w:t xml:space="preserve"> </w:t>
      </w:r>
      <w:proofErr w:type="spellStart"/>
      <w:r w:rsidRPr="00262341" w:rsidR="0D49272E">
        <w:rPr>
          <w:rFonts w:ascii="Verdana" w:hAnsi="Verdana" w:eastAsia="Verdana" w:cs="Verdana"/>
          <w:i/>
          <w:sz w:val="18"/>
          <w:szCs w:val="18"/>
        </w:rPr>
        <w:t>bodies</w:t>
      </w:r>
      <w:proofErr w:type="spellEnd"/>
      <w:r w:rsidRPr="00262341" w:rsidR="0D49272E">
        <w:rPr>
          <w:rFonts w:ascii="Verdana" w:hAnsi="Verdana" w:eastAsia="Verdana" w:cs="Verdana"/>
          <w:sz w:val="18"/>
          <w:szCs w:val="18"/>
        </w:rPr>
        <w:t xml:space="preserve"> aan fabrikanten (artikel 50, lid 3). </w:t>
      </w:r>
      <w:r w:rsidRPr="00262341">
        <w:rPr>
          <w:rFonts w:ascii="Verdana" w:hAnsi="Verdana" w:eastAsia="Verdana" w:cs="Verdana"/>
          <w:sz w:val="18"/>
          <w:szCs w:val="18"/>
        </w:rPr>
        <w:t>Toekenning van deze bevoegdh</w:t>
      </w:r>
      <w:r w:rsidRPr="00262341" w:rsidR="00950DA5">
        <w:rPr>
          <w:rFonts w:ascii="Verdana" w:hAnsi="Verdana" w:eastAsia="Verdana" w:cs="Verdana"/>
          <w:sz w:val="18"/>
          <w:szCs w:val="18"/>
        </w:rPr>
        <w:t xml:space="preserve">eden </w:t>
      </w:r>
      <w:r w:rsidRPr="00262341">
        <w:rPr>
          <w:rFonts w:ascii="Verdana" w:hAnsi="Verdana" w:eastAsia="Verdana" w:cs="Verdana"/>
          <w:sz w:val="18"/>
          <w:szCs w:val="18"/>
        </w:rPr>
        <w:t>is in beginsel mogelijk, omdat het niet-essentiële onderdelen van de basishandeling betref</w:t>
      </w:r>
      <w:r w:rsidRPr="00262341" w:rsidR="00950DA5">
        <w:rPr>
          <w:rFonts w:ascii="Verdana" w:hAnsi="Verdana" w:eastAsia="Verdana" w:cs="Verdana"/>
          <w:sz w:val="18"/>
          <w:szCs w:val="18"/>
        </w:rPr>
        <w:t xml:space="preserve">fen. </w:t>
      </w:r>
      <w:r w:rsidRPr="00262341">
        <w:rPr>
          <w:rFonts w:ascii="Verdana" w:hAnsi="Verdana" w:eastAsia="Verdana" w:cs="Verdana"/>
          <w:sz w:val="18"/>
          <w:szCs w:val="18"/>
        </w:rPr>
        <w:t xml:space="preserve">Toekenning van deze bevoegdheden acht het kabinet echter niet wenselijk. Het kabinet </w:t>
      </w:r>
      <w:r w:rsidR="00704334">
        <w:rPr>
          <w:rFonts w:ascii="Verdana" w:hAnsi="Verdana" w:eastAsia="Verdana" w:cs="Verdana"/>
          <w:sz w:val="18"/>
          <w:szCs w:val="18"/>
        </w:rPr>
        <w:t xml:space="preserve">is namelijk geen voorstander van het toekennen van </w:t>
      </w:r>
      <w:r w:rsidRPr="00262341">
        <w:rPr>
          <w:rFonts w:ascii="Verdana" w:hAnsi="Verdana" w:eastAsia="Verdana" w:cs="Verdana"/>
          <w:sz w:val="18"/>
          <w:szCs w:val="18"/>
        </w:rPr>
        <w:t>deze bevoegdheden</w:t>
      </w:r>
      <w:r w:rsidR="00704334">
        <w:rPr>
          <w:rFonts w:ascii="Verdana" w:hAnsi="Verdana" w:eastAsia="Verdana" w:cs="Verdana"/>
          <w:sz w:val="18"/>
          <w:szCs w:val="18"/>
        </w:rPr>
        <w:t xml:space="preserve"> aan de Commissie.</w:t>
      </w:r>
      <w:r w:rsidRPr="00262341">
        <w:rPr>
          <w:rFonts w:ascii="Verdana" w:hAnsi="Verdana" w:eastAsia="Verdana" w:cs="Verdana"/>
          <w:sz w:val="18"/>
          <w:szCs w:val="18"/>
        </w:rPr>
        <w:t xml:space="preserve"> De keuze voor uitvoering in plaat</w:t>
      </w:r>
      <w:r w:rsidRPr="00262341" w:rsidR="00111F4D">
        <w:rPr>
          <w:rFonts w:ascii="Verdana" w:hAnsi="Verdana" w:eastAsia="Verdana" w:cs="Verdana"/>
          <w:sz w:val="18"/>
          <w:szCs w:val="18"/>
        </w:rPr>
        <w:t>s</w:t>
      </w:r>
      <w:r w:rsidRPr="00262341">
        <w:rPr>
          <w:rFonts w:ascii="Verdana" w:hAnsi="Verdana" w:eastAsia="Verdana" w:cs="Verdana"/>
          <w:sz w:val="18"/>
          <w:szCs w:val="18"/>
        </w:rPr>
        <w:t xml:space="preserve"> van delegatie ligt hier voor de hand</w:t>
      </w:r>
      <w:r w:rsidRPr="00262341" w:rsidR="00A63000">
        <w:rPr>
          <w:rFonts w:ascii="Verdana" w:hAnsi="Verdana" w:eastAsia="Verdana" w:cs="Verdana"/>
          <w:sz w:val="18"/>
          <w:szCs w:val="18"/>
        </w:rPr>
        <w:t>,</w:t>
      </w:r>
      <w:r w:rsidRPr="00262341">
        <w:rPr>
          <w:rFonts w:ascii="Verdana" w:hAnsi="Verdana" w:eastAsia="Verdana" w:cs="Verdana"/>
          <w:sz w:val="18"/>
          <w:szCs w:val="18"/>
        </w:rPr>
        <w:t xml:space="preserve"> omdat </w:t>
      </w:r>
      <w:r w:rsidRPr="00262341" w:rsidR="00C12C1B">
        <w:rPr>
          <w:rFonts w:ascii="Verdana" w:hAnsi="Verdana" w:eastAsia="Verdana" w:cs="Verdana"/>
          <w:sz w:val="18"/>
          <w:szCs w:val="18"/>
        </w:rPr>
        <w:t xml:space="preserve">de </w:t>
      </w:r>
      <w:r w:rsidRPr="00262341">
        <w:rPr>
          <w:rFonts w:ascii="Verdana" w:hAnsi="Verdana" w:eastAsia="Verdana" w:cs="Verdana"/>
          <w:sz w:val="18"/>
          <w:szCs w:val="18"/>
        </w:rPr>
        <w:t>uitvoering van de verordening volgens eenvormige voorwaarden</w:t>
      </w:r>
      <w:r w:rsidRPr="00262341" w:rsidR="00C12C1B">
        <w:rPr>
          <w:rFonts w:ascii="Verdana" w:hAnsi="Verdana" w:eastAsia="Verdana" w:cs="Verdana"/>
          <w:sz w:val="18"/>
          <w:szCs w:val="18"/>
        </w:rPr>
        <w:t xml:space="preserve"> betreft</w:t>
      </w:r>
      <w:r w:rsidRPr="00262341">
        <w:rPr>
          <w:rFonts w:ascii="Verdana" w:hAnsi="Verdana" w:eastAsia="Verdana" w:cs="Verdana"/>
          <w:sz w:val="18"/>
          <w:szCs w:val="18"/>
        </w:rPr>
        <w:t>. De uitvoeringshandelingen worden vastgesteld volgens de</w:t>
      </w:r>
      <w:r w:rsidRPr="00262341" w:rsidR="007C3727">
        <w:rPr>
          <w:rFonts w:ascii="Verdana" w:hAnsi="Verdana" w:eastAsia="Verdana" w:cs="Verdana"/>
          <w:sz w:val="18"/>
          <w:szCs w:val="18"/>
        </w:rPr>
        <w:t xml:space="preserve"> onderzoeksprocedure als</w:t>
      </w:r>
      <w:r w:rsidRPr="00262341">
        <w:rPr>
          <w:rFonts w:ascii="Verdana" w:hAnsi="Verdana" w:eastAsia="Verdana" w:cs="Verdana"/>
          <w:sz w:val="18"/>
          <w:szCs w:val="18"/>
        </w:rPr>
        <w:t xml:space="preserve"> bedoeld in artikel 5 van verordening (EU) 182/2011. Toepassing van deze procedure is hier volgen</w:t>
      </w:r>
      <w:r w:rsidRPr="00262341" w:rsidR="00034296">
        <w:rPr>
          <w:rFonts w:ascii="Verdana" w:hAnsi="Verdana" w:eastAsia="Verdana" w:cs="Verdana"/>
          <w:sz w:val="18"/>
          <w:szCs w:val="18"/>
        </w:rPr>
        <w:t>s</w:t>
      </w:r>
      <w:r w:rsidRPr="00262341">
        <w:rPr>
          <w:rFonts w:ascii="Verdana" w:hAnsi="Verdana" w:eastAsia="Verdana" w:cs="Verdana"/>
          <w:sz w:val="18"/>
          <w:szCs w:val="18"/>
        </w:rPr>
        <w:t xml:space="preserve"> het kabinet wel op zijn plaats. </w:t>
      </w:r>
      <w:bookmarkEnd w:id="3"/>
    </w:p>
    <w:bookmarkEnd w:id="4"/>
    <w:p w:rsidRPr="00262341" w:rsidR="00D2172D" w:rsidP="00262341" w:rsidRDefault="00D2172D" w14:paraId="6D0DD077" w14:textId="77777777">
      <w:pPr>
        <w:spacing w:line="360" w:lineRule="auto"/>
        <w:rPr>
          <w:rFonts w:ascii="Verdana" w:hAnsi="Verdana" w:eastAsia="Verdana" w:cs="Verdana"/>
          <w:sz w:val="18"/>
          <w:szCs w:val="18"/>
        </w:rPr>
      </w:pPr>
    </w:p>
    <w:p w:rsidRPr="00262341" w:rsidR="0A394690" w:rsidP="00262341" w:rsidRDefault="3518C77A" w14:paraId="21538740" w14:textId="460348E3">
      <w:pPr>
        <w:numPr>
          <w:ilvl w:val="0"/>
          <w:numId w:val="13"/>
        </w:numPr>
        <w:spacing w:line="360" w:lineRule="auto"/>
        <w:rPr>
          <w:rFonts w:ascii="Verdana" w:hAnsi="Verdana" w:eastAsia="Verdana"/>
          <w:i/>
          <w:iCs/>
          <w:color w:val="000000" w:themeColor="text1"/>
          <w:sz w:val="18"/>
          <w:szCs w:val="18"/>
          <w:lang w:val="nl"/>
        </w:rPr>
      </w:pPr>
      <w:r w:rsidRPr="00262341">
        <w:rPr>
          <w:rFonts w:ascii="Verdana" w:hAnsi="Verdana" w:eastAsia="Verdana" w:cs="Verdana"/>
          <w:i/>
          <w:iCs/>
          <w:sz w:val="18"/>
          <w:szCs w:val="18"/>
        </w:rPr>
        <w:t>Voorgestelde datum inwerkingtreding</w:t>
      </w:r>
    </w:p>
    <w:p w:rsidRPr="00262341" w:rsidR="0A394690" w:rsidP="00262341" w:rsidRDefault="26DED561" w14:paraId="63DBA9B9" w14:textId="74B268DB">
      <w:pPr>
        <w:spacing w:line="360" w:lineRule="auto"/>
        <w:rPr>
          <w:rFonts w:ascii="Verdana" w:hAnsi="Verdana" w:eastAsia="Verdana" w:cs="Verdana"/>
          <w:sz w:val="18"/>
          <w:szCs w:val="18"/>
          <w:lang w:val="nl"/>
        </w:rPr>
      </w:pPr>
      <w:r w:rsidRPr="00262341">
        <w:rPr>
          <w:rFonts w:ascii="Verdana" w:hAnsi="Verdana" w:eastAsia="Verdana" w:cs="Verdana"/>
          <w:sz w:val="18"/>
          <w:szCs w:val="18"/>
          <w:lang w:val="nl"/>
        </w:rPr>
        <w:t>De Commissie verwacht dat aanname van de verordening door de medewetgevers (de Raad en het Parlement) in het tweede kwartaal van 2027</w:t>
      </w:r>
      <w:r w:rsidRPr="00262341" w:rsidR="00262341">
        <w:rPr>
          <w:rFonts w:ascii="Verdana" w:hAnsi="Verdana" w:eastAsia="Verdana" w:cs="Verdana"/>
          <w:sz w:val="18"/>
          <w:szCs w:val="18"/>
          <w:lang w:val="nl"/>
        </w:rPr>
        <w:t xml:space="preserve">. </w:t>
      </w:r>
      <w:r w:rsidRPr="00262341" w:rsidR="55AB80DB">
        <w:rPr>
          <w:rFonts w:ascii="Verdana" w:hAnsi="Verdana" w:eastAsia="Verdana" w:cs="Verdana"/>
          <w:color w:val="000000" w:themeColor="text1"/>
          <w:sz w:val="18"/>
          <w:szCs w:val="18"/>
          <w:lang w:val="nl"/>
        </w:rPr>
        <w:t>De verordening treedt in werking op de twintigste dag na bekendmaking in het Publicatieblad van de Europe</w:t>
      </w:r>
      <w:r w:rsidRPr="00262341" w:rsidR="00AD79B6">
        <w:rPr>
          <w:rFonts w:ascii="Verdana" w:hAnsi="Verdana" w:eastAsia="Verdana" w:cs="Verdana"/>
          <w:color w:val="000000" w:themeColor="text1"/>
          <w:sz w:val="18"/>
          <w:szCs w:val="18"/>
          <w:lang w:val="nl"/>
        </w:rPr>
        <w:t>se</w:t>
      </w:r>
      <w:r w:rsidRPr="00262341" w:rsidR="55AB80DB">
        <w:rPr>
          <w:rFonts w:ascii="Verdana" w:hAnsi="Verdana" w:eastAsia="Verdana" w:cs="Verdana"/>
          <w:color w:val="000000" w:themeColor="text1"/>
          <w:sz w:val="18"/>
          <w:szCs w:val="18"/>
          <w:lang w:val="nl"/>
        </w:rPr>
        <w:t xml:space="preserve"> Unie. De verordening is gefaseerd van toepassing, waarbij het grootste deel van de bepalingen van toepassing is zes maanden na inwerkingtreding. Het kabinet uit haar zorgen over de inwerkingtredings- en uitvoeringstermijn en acht het wenselijk om deze termijnen haalbaar te maken. </w:t>
      </w:r>
    </w:p>
    <w:p w:rsidRPr="00262341" w:rsidR="26DED561" w:rsidP="00262341" w:rsidRDefault="26DED561" w14:paraId="23135A9B" w14:textId="30E85427">
      <w:pPr>
        <w:spacing w:line="360" w:lineRule="auto"/>
        <w:rPr>
          <w:rFonts w:ascii="Verdana" w:hAnsi="Verdana" w:eastAsia="Verdana" w:cs="Verdana"/>
          <w:sz w:val="18"/>
          <w:szCs w:val="18"/>
          <w:lang w:val="nl"/>
        </w:rPr>
      </w:pPr>
    </w:p>
    <w:p w:rsidRPr="00262341" w:rsidR="00CB7FF8" w:rsidP="00262341" w:rsidRDefault="26DED561" w14:paraId="5D315F20" w14:textId="77777777">
      <w:pPr>
        <w:numPr>
          <w:ilvl w:val="0"/>
          <w:numId w:val="13"/>
        </w:numPr>
        <w:spacing w:line="360" w:lineRule="auto"/>
        <w:rPr>
          <w:rFonts w:ascii="Verdana" w:hAnsi="Verdana"/>
          <w:i/>
          <w:iCs/>
          <w:color w:val="000000" w:themeColor="text1"/>
          <w:sz w:val="18"/>
          <w:szCs w:val="18"/>
        </w:rPr>
      </w:pPr>
      <w:r w:rsidRPr="00262341">
        <w:rPr>
          <w:rFonts w:ascii="Verdana" w:hAnsi="Verdana" w:eastAsia="Verdana" w:cs="Verdana"/>
          <w:i/>
          <w:iCs/>
          <w:sz w:val="18"/>
          <w:szCs w:val="18"/>
        </w:rPr>
        <w:t>Wenselijkheid evaluatie-/horizonbepaling</w:t>
      </w:r>
    </w:p>
    <w:p w:rsidRPr="00262341" w:rsidR="00706AB2" w:rsidP="00262341" w:rsidRDefault="0BB81D5C" w14:paraId="25584447" w14:textId="14D44602">
      <w:pPr>
        <w:spacing w:line="360" w:lineRule="auto"/>
        <w:rPr>
          <w:rFonts w:ascii="Verdana" w:hAnsi="Verdana" w:eastAsia="Verdana" w:cs="Verdana"/>
          <w:sz w:val="18"/>
          <w:szCs w:val="18"/>
        </w:rPr>
      </w:pPr>
      <w:r w:rsidRPr="00262341">
        <w:rPr>
          <w:rFonts w:ascii="Verdana" w:hAnsi="Verdana" w:eastAsia="Verdana" w:cs="Verdana"/>
          <w:sz w:val="18"/>
          <w:szCs w:val="18"/>
        </w:rPr>
        <w:t xml:space="preserve">Uiterlijk vijf jaar na de datum van toepassing van deze verordening voert de Commissie een evaluatie van deze verordening uit en brengt zij verslag uit over de belangrijkste bevindingen aan het Europees Parlement en de Raad. Het kabinet erkent dat de huidige evaluatie nodig was om de beschikbaarheid en innovatie van medische hulpmiddelen te borgen. Echter ziet zij ook dat evaluaties van verordeningen die nog niet volledig </w:t>
      </w:r>
      <w:r w:rsidRPr="00262341" w:rsidR="00693BB3">
        <w:rPr>
          <w:rFonts w:ascii="Verdana" w:hAnsi="Verdana" w:eastAsia="Verdana" w:cs="Verdana"/>
          <w:sz w:val="18"/>
          <w:szCs w:val="18"/>
        </w:rPr>
        <w:t xml:space="preserve">uitgevoerd </w:t>
      </w:r>
      <w:r w:rsidRPr="00262341">
        <w:rPr>
          <w:rFonts w:ascii="Verdana" w:hAnsi="Verdana" w:eastAsia="Verdana" w:cs="Verdana"/>
          <w:sz w:val="18"/>
          <w:szCs w:val="18"/>
        </w:rPr>
        <w:t>zijn, een onvolledig beeld geven. Ook heeft het kabinet gezien dat, in afwachting van de huidige evaluatie, de industrie niet of minder geïnvesteerd heeft in naleving van de verordeningen. Een nieuwe evaluatie op korte termijn kan ervoor zorgen dat industrie wederom zal afwachten of de eisen wellicht minder streng worden. Dit komt niet ten goede aan de beschikbaarheid en patiëntveiligheid</w:t>
      </w:r>
      <w:r w:rsidRPr="00262341" w:rsidR="00A63000">
        <w:rPr>
          <w:rFonts w:ascii="Verdana" w:hAnsi="Verdana" w:eastAsia="Verdana" w:cs="Verdana"/>
          <w:sz w:val="18"/>
          <w:szCs w:val="18"/>
        </w:rPr>
        <w:t>,</w:t>
      </w:r>
      <w:r w:rsidRPr="00262341">
        <w:rPr>
          <w:rFonts w:ascii="Verdana" w:hAnsi="Verdana" w:eastAsia="Verdana" w:cs="Verdana"/>
          <w:sz w:val="18"/>
          <w:szCs w:val="18"/>
        </w:rPr>
        <w:t xml:space="preserve"> en dit wil het kabinet voorkomen in de toekomst. Om deze reden is het kabinet van mening dat een evaluatie na 5 jaar alleen </w:t>
      </w:r>
      <w:r w:rsidRPr="00262341" w:rsidR="00AD79B6">
        <w:rPr>
          <w:rFonts w:ascii="Verdana" w:hAnsi="Verdana" w:eastAsia="Verdana" w:cs="Verdana"/>
          <w:sz w:val="18"/>
          <w:szCs w:val="18"/>
        </w:rPr>
        <w:t>wenselijk is</w:t>
      </w:r>
      <w:r w:rsidRPr="00262341">
        <w:rPr>
          <w:rFonts w:ascii="Verdana" w:hAnsi="Verdana" w:eastAsia="Verdana" w:cs="Verdana"/>
          <w:sz w:val="18"/>
          <w:szCs w:val="18"/>
        </w:rPr>
        <w:t xml:space="preserve"> als de wetgeving op termijn volledig is </w:t>
      </w:r>
      <w:r w:rsidRPr="00262341" w:rsidR="3E72EED3">
        <w:rPr>
          <w:rFonts w:ascii="Verdana" w:hAnsi="Verdana" w:eastAsia="Verdana" w:cs="Verdana"/>
          <w:sz w:val="18"/>
          <w:szCs w:val="18"/>
        </w:rPr>
        <w:t>uitgevoerd</w:t>
      </w:r>
      <w:r w:rsidRPr="00262341" w:rsidR="005B2217">
        <w:rPr>
          <w:rFonts w:ascii="Verdana" w:hAnsi="Verdana" w:eastAsia="Verdana" w:cs="Verdana"/>
          <w:sz w:val="18"/>
          <w:szCs w:val="18"/>
        </w:rPr>
        <w:t>.</w:t>
      </w:r>
    </w:p>
    <w:p w:rsidRPr="00262341" w:rsidR="00B538E7" w:rsidP="00262341" w:rsidRDefault="00B538E7" w14:paraId="39268DCE" w14:textId="693FECB4">
      <w:pPr>
        <w:spacing w:line="360" w:lineRule="auto"/>
        <w:rPr>
          <w:rFonts w:ascii="Verdana" w:hAnsi="Verdana" w:eastAsia="Verdana" w:cs="Verdana"/>
          <w:sz w:val="18"/>
          <w:szCs w:val="18"/>
        </w:rPr>
      </w:pPr>
    </w:p>
    <w:p w:rsidRPr="00262341" w:rsidR="00B538E7" w:rsidP="00262341" w:rsidRDefault="26DED561" w14:paraId="4A1B3547" w14:textId="2DB03893">
      <w:pPr>
        <w:numPr>
          <w:ilvl w:val="0"/>
          <w:numId w:val="13"/>
        </w:numPr>
        <w:spacing w:line="360" w:lineRule="auto"/>
        <w:rPr>
          <w:rFonts w:ascii="Verdana" w:hAnsi="Verdana"/>
          <w:i/>
          <w:iCs/>
          <w:color w:val="000000" w:themeColor="text1"/>
          <w:sz w:val="18"/>
          <w:szCs w:val="18"/>
        </w:rPr>
      </w:pPr>
      <w:r w:rsidRPr="00262341">
        <w:rPr>
          <w:rFonts w:ascii="Verdana" w:hAnsi="Verdana" w:eastAsia="Verdana" w:cs="Verdana"/>
          <w:i/>
          <w:iCs/>
          <w:sz w:val="18"/>
          <w:szCs w:val="18"/>
        </w:rPr>
        <w:t>Constitutionele toets</w:t>
      </w:r>
    </w:p>
    <w:p w:rsidRPr="00A3291D" w:rsidR="00CB7FF8" w:rsidP="00A3291D" w:rsidRDefault="26DED561" w14:paraId="10D7B8CA" w14:textId="02261D67">
      <w:pPr>
        <w:spacing w:line="360" w:lineRule="auto"/>
        <w:rPr>
          <w:rFonts w:ascii="Verdana" w:hAnsi="Verdana" w:eastAsia="Verdana" w:cs="Verdana"/>
          <w:sz w:val="18"/>
          <w:szCs w:val="18"/>
        </w:rPr>
      </w:pPr>
      <w:r w:rsidRPr="00262341">
        <w:rPr>
          <w:rFonts w:ascii="Verdana" w:hAnsi="Verdana" w:eastAsia="Verdana" w:cs="Verdana"/>
          <w:sz w:val="18"/>
          <w:szCs w:val="18"/>
        </w:rPr>
        <w:t xml:space="preserve">Niet van toepassing </w:t>
      </w:r>
    </w:p>
    <w:p w:rsidRPr="00262341" w:rsidR="00C92EA1" w:rsidP="00262341" w:rsidRDefault="26DED561" w14:paraId="4B4AE063" w14:textId="77777777">
      <w:pPr>
        <w:numPr>
          <w:ilvl w:val="0"/>
          <w:numId w:val="40"/>
        </w:numPr>
        <w:spacing w:line="360" w:lineRule="auto"/>
        <w:rPr>
          <w:rFonts w:ascii="Verdana" w:hAnsi="Verdana"/>
          <w:b/>
          <w:bCs/>
          <w:color w:val="000000" w:themeColor="text1"/>
          <w:sz w:val="18"/>
          <w:szCs w:val="18"/>
        </w:rPr>
      </w:pPr>
      <w:r w:rsidRPr="00262341">
        <w:rPr>
          <w:rFonts w:ascii="Verdana" w:hAnsi="Verdana" w:eastAsia="Verdana" w:cs="Verdana"/>
          <w:b/>
          <w:bCs/>
          <w:sz w:val="18"/>
          <w:szCs w:val="18"/>
        </w:rPr>
        <w:lastRenderedPageBreak/>
        <w:t>Implicaties voor uitvoering en/of handhaving</w:t>
      </w:r>
    </w:p>
    <w:p w:rsidRPr="00262341" w:rsidR="00097C76" w:rsidP="00262341" w:rsidRDefault="00C92EA1" w14:paraId="200A4481" w14:textId="2A55F2E5">
      <w:pPr>
        <w:spacing w:line="360" w:lineRule="auto"/>
        <w:rPr>
          <w:rFonts w:ascii="Verdana" w:hAnsi="Verdana"/>
          <w:color w:val="000000" w:themeColor="text1"/>
          <w:sz w:val="18"/>
          <w:szCs w:val="18"/>
        </w:rPr>
      </w:pPr>
      <w:r w:rsidRPr="00262341">
        <w:rPr>
          <w:rFonts w:ascii="Verdana" w:hAnsi="Verdana"/>
          <w:color w:val="000000" w:themeColor="text1"/>
          <w:sz w:val="18"/>
          <w:szCs w:val="18"/>
        </w:rPr>
        <w:t xml:space="preserve">a) </w:t>
      </w:r>
      <w:r w:rsidRPr="00262341" w:rsidR="0BB81D5C">
        <w:rPr>
          <w:rFonts w:ascii="Verdana" w:hAnsi="Verdana" w:eastAsia="Verdana" w:cs="Verdana"/>
          <w:i/>
          <w:iCs/>
          <w:sz w:val="18"/>
          <w:szCs w:val="18"/>
        </w:rPr>
        <w:t>Uitvoerbaarheid</w:t>
      </w:r>
    </w:p>
    <w:p w:rsidRPr="00262341" w:rsidR="0BB81D5C" w:rsidP="00262341" w:rsidRDefault="43B7FD55" w14:paraId="44E5F5F5" w14:textId="45958989">
      <w:pPr>
        <w:spacing w:line="360" w:lineRule="auto"/>
        <w:rPr>
          <w:rFonts w:ascii="Verdana" w:hAnsi="Verdana"/>
          <w:sz w:val="18"/>
          <w:szCs w:val="18"/>
        </w:rPr>
      </w:pPr>
      <w:r w:rsidRPr="00262341">
        <w:rPr>
          <w:rFonts w:ascii="Verdana" w:hAnsi="Verdana" w:eastAsia="Verdana" w:cs="Verdana"/>
          <w:sz w:val="18"/>
          <w:szCs w:val="18"/>
        </w:rPr>
        <w:t xml:space="preserve">Het voorstel bevat naar alle waarschijnlijkheid een taakverzwaring en/of extra administratieve lasten voor Medisch Ethische </w:t>
      </w:r>
      <w:proofErr w:type="spellStart"/>
      <w:r w:rsidRPr="00262341">
        <w:rPr>
          <w:rFonts w:ascii="Verdana" w:hAnsi="Verdana" w:eastAsia="Verdana" w:cs="Verdana"/>
          <w:sz w:val="18"/>
          <w:szCs w:val="18"/>
        </w:rPr>
        <w:t>Toetsings</w:t>
      </w:r>
      <w:proofErr w:type="spellEnd"/>
      <w:r w:rsidRPr="00262341">
        <w:rPr>
          <w:rFonts w:ascii="Verdana" w:hAnsi="Verdana" w:eastAsia="Verdana" w:cs="Verdana"/>
          <w:sz w:val="18"/>
          <w:szCs w:val="18"/>
        </w:rPr>
        <w:t xml:space="preserve"> Commissies (METC). </w:t>
      </w:r>
    </w:p>
    <w:p w:rsidRPr="00262341" w:rsidR="7CE79681" w:rsidP="00262341" w:rsidRDefault="7CE79681" w14:paraId="5EB972B6" w14:textId="77777777">
      <w:pPr>
        <w:spacing w:line="360" w:lineRule="auto"/>
        <w:outlineLvl w:val="0"/>
        <w:rPr>
          <w:rFonts w:ascii="Verdana" w:hAnsi="Verdana" w:eastAsia="Verdana" w:cs="Verdana"/>
          <w:i/>
          <w:iCs/>
          <w:sz w:val="18"/>
          <w:szCs w:val="18"/>
        </w:rPr>
      </w:pPr>
    </w:p>
    <w:p w:rsidRPr="00262341" w:rsidR="00097C76" w:rsidP="00262341" w:rsidRDefault="0BB81D5C" w14:paraId="5EB90DCB" w14:textId="1995CEC1">
      <w:pPr>
        <w:pStyle w:val="ListParagraph"/>
        <w:numPr>
          <w:ilvl w:val="0"/>
          <w:numId w:val="10"/>
        </w:numPr>
        <w:spacing w:line="360" w:lineRule="auto"/>
        <w:outlineLvl w:val="0"/>
        <w:rPr>
          <w:rFonts w:ascii="Verdana" w:hAnsi="Verdana"/>
          <w:i/>
          <w:iCs/>
          <w:color w:val="000000" w:themeColor="text1"/>
          <w:sz w:val="18"/>
          <w:szCs w:val="18"/>
        </w:rPr>
      </w:pPr>
      <w:r w:rsidRPr="00262341">
        <w:rPr>
          <w:rFonts w:ascii="Verdana" w:hAnsi="Verdana" w:eastAsia="Verdana" w:cs="Verdana"/>
          <w:i/>
          <w:iCs/>
          <w:sz w:val="18"/>
          <w:szCs w:val="18"/>
        </w:rPr>
        <w:t>Handhaafbaarheid</w:t>
      </w:r>
    </w:p>
    <w:p w:rsidR="528D676E" w:rsidP="00262341" w:rsidRDefault="15433931" w14:paraId="549846B5" w14:textId="49A7DEA3">
      <w:pPr>
        <w:spacing w:line="360" w:lineRule="auto"/>
        <w:rPr>
          <w:rFonts w:ascii="Verdana" w:hAnsi="Verdana" w:eastAsia="Verdana" w:cs="Verdana"/>
          <w:sz w:val="18"/>
          <w:szCs w:val="18"/>
        </w:rPr>
      </w:pPr>
      <w:r w:rsidRPr="00262341">
        <w:rPr>
          <w:rFonts w:ascii="Verdana" w:hAnsi="Verdana" w:eastAsia="Verdana" w:cs="Verdana"/>
          <w:sz w:val="18"/>
          <w:szCs w:val="18"/>
        </w:rPr>
        <w:t xml:space="preserve">Een aantal wetsvoorstellen leiden tot een betere handhaafbaarheid van de bepalingen uit de </w:t>
      </w:r>
      <w:r w:rsidRPr="00262341" w:rsidR="3518C77A">
        <w:rPr>
          <w:rFonts w:ascii="Verdana" w:hAnsi="Verdana" w:eastAsia="Verdana" w:cs="Verdana"/>
          <w:sz w:val="18"/>
          <w:szCs w:val="18"/>
        </w:rPr>
        <w:t>MDR en IVDR</w:t>
      </w:r>
      <w:r w:rsidRPr="00262341">
        <w:rPr>
          <w:rFonts w:ascii="Verdana" w:hAnsi="Verdana" w:eastAsia="Verdana" w:cs="Verdana"/>
          <w:sz w:val="18"/>
          <w:szCs w:val="18"/>
        </w:rPr>
        <w:t>. Dit komt onder andere omdat op diverse plekken verplichtingen voor marktdeelnemers worden verduidelijkt, waardoor deze verplichtingen ook voor IGJ beter te handhaven zijn.</w:t>
      </w:r>
      <w:r w:rsidRPr="00262341" w:rsidR="338A80F8">
        <w:rPr>
          <w:rFonts w:ascii="Verdana" w:hAnsi="Verdana" w:eastAsia="Verdana" w:cs="Verdana"/>
          <w:sz w:val="18"/>
          <w:szCs w:val="18"/>
        </w:rPr>
        <w:t xml:space="preserve"> </w:t>
      </w:r>
      <w:r w:rsidRPr="00262341">
        <w:rPr>
          <w:rFonts w:ascii="Verdana" w:hAnsi="Verdana" w:eastAsia="Verdana" w:cs="Verdana"/>
          <w:sz w:val="18"/>
          <w:szCs w:val="18"/>
        </w:rPr>
        <w:t xml:space="preserve">Tegelijkertijd hebben enkele wijzigingsvoorstellen ook een negatief effect op </w:t>
      </w:r>
      <w:r w:rsidRPr="00262341" w:rsidR="003225BA">
        <w:rPr>
          <w:rFonts w:ascii="Verdana" w:hAnsi="Verdana" w:eastAsia="Verdana" w:cs="Verdana"/>
          <w:sz w:val="18"/>
          <w:szCs w:val="18"/>
        </w:rPr>
        <w:t>het toezicht op de naleving van de</w:t>
      </w:r>
      <w:r w:rsidRPr="00262341">
        <w:rPr>
          <w:rFonts w:ascii="Verdana" w:hAnsi="Verdana" w:eastAsia="Verdana" w:cs="Verdana"/>
          <w:sz w:val="18"/>
          <w:szCs w:val="18"/>
        </w:rPr>
        <w:t xml:space="preserve"> verordeningen</w:t>
      </w:r>
      <w:r w:rsidRPr="00262341" w:rsidR="003225BA">
        <w:rPr>
          <w:rFonts w:ascii="Verdana" w:hAnsi="Verdana" w:eastAsia="Verdana" w:cs="Verdana"/>
          <w:sz w:val="18"/>
          <w:szCs w:val="18"/>
        </w:rPr>
        <w:t xml:space="preserve"> en de handhaafbaarheid ervan</w:t>
      </w:r>
      <w:r w:rsidRPr="00262341">
        <w:rPr>
          <w:rFonts w:ascii="Verdana" w:hAnsi="Verdana" w:eastAsia="Verdana" w:cs="Verdana"/>
          <w:sz w:val="18"/>
          <w:szCs w:val="18"/>
        </w:rPr>
        <w:t xml:space="preserve">. Het betreft onder andere de </w:t>
      </w:r>
      <w:r w:rsidRPr="00262341" w:rsidR="00C92EA1">
        <w:rPr>
          <w:rFonts w:ascii="Verdana" w:hAnsi="Verdana" w:eastAsia="Verdana" w:cs="Verdana"/>
          <w:sz w:val="18"/>
          <w:szCs w:val="18"/>
        </w:rPr>
        <w:t xml:space="preserve">volgende </w:t>
      </w:r>
      <w:r w:rsidRPr="00262341">
        <w:rPr>
          <w:rFonts w:ascii="Verdana" w:hAnsi="Verdana" w:eastAsia="Verdana" w:cs="Verdana"/>
          <w:sz w:val="18"/>
          <w:szCs w:val="18"/>
        </w:rPr>
        <w:t>voorstellen</w:t>
      </w:r>
      <w:r w:rsidRPr="00262341" w:rsidR="003542BC">
        <w:rPr>
          <w:rFonts w:ascii="Verdana" w:hAnsi="Verdana" w:eastAsia="Verdana" w:cs="Verdana"/>
          <w:sz w:val="18"/>
          <w:szCs w:val="18"/>
        </w:rPr>
        <w:t xml:space="preserve">: </w:t>
      </w:r>
      <w:r w:rsidRPr="00262341" w:rsidR="00C92EA1">
        <w:rPr>
          <w:rFonts w:ascii="Verdana" w:hAnsi="Verdana" w:eastAsia="Verdana" w:cs="Verdana"/>
          <w:sz w:val="18"/>
          <w:szCs w:val="18"/>
        </w:rPr>
        <w:t xml:space="preserve"> </w:t>
      </w:r>
    </w:p>
    <w:p w:rsidRPr="00262341" w:rsidR="004B4D9A" w:rsidP="00262341" w:rsidRDefault="004B4D9A" w14:paraId="795C8F75" w14:textId="77777777">
      <w:pPr>
        <w:spacing w:line="360" w:lineRule="auto"/>
        <w:rPr>
          <w:rFonts w:ascii="Verdana" w:hAnsi="Verdana" w:eastAsia="Verdana" w:cs="Verdana"/>
          <w:sz w:val="18"/>
          <w:szCs w:val="18"/>
        </w:rPr>
      </w:pPr>
    </w:p>
    <w:p w:rsidRPr="00262341" w:rsidR="003225BA" w:rsidP="00262341" w:rsidRDefault="43B7FD55" w14:paraId="464812B3" w14:textId="138BD490">
      <w:pPr>
        <w:spacing w:after="160" w:line="360" w:lineRule="auto"/>
        <w:contextualSpacing/>
        <w:rPr>
          <w:rFonts w:ascii="Verdana" w:hAnsi="Verdana" w:eastAsiaTheme="minorEastAsia" w:cstheme="minorBidi"/>
          <w:sz w:val="18"/>
          <w:szCs w:val="18"/>
        </w:rPr>
      </w:pPr>
      <w:r w:rsidRPr="00262341">
        <w:rPr>
          <w:rFonts w:ascii="Verdana" w:hAnsi="Verdana"/>
          <w:i/>
          <w:sz w:val="18"/>
          <w:szCs w:val="18"/>
        </w:rPr>
        <w:t xml:space="preserve">In-house </w:t>
      </w:r>
      <w:r w:rsidRPr="00262341">
        <w:rPr>
          <w:rFonts w:ascii="Verdana" w:hAnsi="Verdana"/>
          <w:sz w:val="18"/>
          <w:szCs w:val="18"/>
        </w:rPr>
        <w:t xml:space="preserve">productie van medische hulpmiddelen, omdat enkele voorgestelde versoepelingen waarschijnlijk zullen leiden tot een toename van de hoeveelheid in-huis geproduceerde hulpmiddelen, die met minder procedurele waarborgen (zoals een conformiteitsbeoordeling door een </w:t>
      </w:r>
      <w:proofErr w:type="spellStart"/>
      <w:r w:rsidRPr="00262341">
        <w:rPr>
          <w:rFonts w:ascii="Verdana" w:hAnsi="Verdana"/>
          <w:sz w:val="18"/>
          <w:szCs w:val="18"/>
        </w:rPr>
        <w:t>notified</w:t>
      </w:r>
      <w:proofErr w:type="spellEnd"/>
      <w:r w:rsidRPr="00262341">
        <w:rPr>
          <w:rFonts w:ascii="Verdana" w:hAnsi="Verdana"/>
          <w:sz w:val="18"/>
          <w:szCs w:val="18"/>
        </w:rPr>
        <w:t xml:space="preserve"> body) en met een mindere mate van traceerbaarheid in omloop komen, waardoor er op een grotere groep producten ook van overheidswege minder zicht is.</w:t>
      </w:r>
    </w:p>
    <w:p w:rsidR="47A70CB0" w:rsidP="00262341" w:rsidRDefault="15433931" w14:paraId="69E1F994" w14:textId="326D0509">
      <w:pPr>
        <w:spacing w:line="360" w:lineRule="auto"/>
        <w:rPr>
          <w:rFonts w:ascii="Verdana" w:hAnsi="Verdana" w:eastAsia="Verdana" w:cs="Verdana"/>
          <w:sz w:val="18"/>
          <w:szCs w:val="18"/>
        </w:rPr>
      </w:pPr>
      <w:r w:rsidRPr="00262341">
        <w:rPr>
          <w:rFonts w:ascii="Verdana" w:hAnsi="Verdana" w:eastAsia="Verdana" w:cs="Verdana"/>
          <w:sz w:val="18"/>
          <w:szCs w:val="18"/>
        </w:rPr>
        <w:t>Classificatieregels van software als medisch hulpmiddel (regel 11</w:t>
      </w:r>
      <w:r w:rsidRPr="00262341" w:rsidR="6F0DCD31">
        <w:rPr>
          <w:rFonts w:ascii="Verdana" w:hAnsi="Verdana" w:eastAsia="Verdana" w:cs="Verdana"/>
          <w:sz w:val="18"/>
          <w:szCs w:val="18"/>
        </w:rPr>
        <w:t xml:space="preserve"> </w:t>
      </w:r>
      <w:r w:rsidRPr="00262341" w:rsidR="6F0DCD31">
        <w:rPr>
          <w:rFonts w:ascii="Verdana" w:hAnsi="Verdana"/>
          <w:sz w:val="18"/>
          <w:szCs w:val="18"/>
        </w:rPr>
        <w:t>van bijlage VIII bij de MDR</w:t>
      </w:r>
      <w:r w:rsidRPr="00262341">
        <w:rPr>
          <w:rFonts w:ascii="Verdana" w:hAnsi="Verdana" w:eastAsia="Verdana" w:cs="Verdana"/>
          <w:sz w:val="18"/>
          <w:szCs w:val="18"/>
        </w:rPr>
        <w:t>), omdat de voorgestelde bewoording onvoldoende duidelijk is om bij overtreding met voldoende juridische zekerheid te kunnen handhaven.</w:t>
      </w:r>
    </w:p>
    <w:p w:rsidRPr="00262341" w:rsidR="004B4D9A" w:rsidP="00262341" w:rsidRDefault="004B4D9A" w14:paraId="4A6D0601" w14:textId="77777777">
      <w:pPr>
        <w:spacing w:line="360" w:lineRule="auto"/>
        <w:rPr>
          <w:rFonts w:ascii="Verdana" w:hAnsi="Verdana"/>
          <w:sz w:val="18"/>
          <w:szCs w:val="18"/>
        </w:rPr>
      </w:pPr>
    </w:p>
    <w:p w:rsidRPr="00262341" w:rsidR="528D676E" w:rsidP="00262341" w:rsidRDefault="43B7FD55" w14:paraId="60170F35" w14:textId="062DDA91">
      <w:pPr>
        <w:spacing w:line="360" w:lineRule="auto"/>
        <w:rPr>
          <w:rFonts w:ascii="Verdana" w:hAnsi="Verdana" w:eastAsia="Verdana"/>
          <w:sz w:val="18"/>
          <w:szCs w:val="18"/>
        </w:rPr>
      </w:pPr>
      <w:r w:rsidRPr="00262341">
        <w:rPr>
          <w:rFonts w:ascii="Verdana" w:hAnsi="Verdana" w:eastAsia="Verdana" w:cs="Verdana"/>
          <w:sz w:val="18"/>
          <w:szCs w:val="18"/>
        </w:rPr>
        <w:t xml:space="preserve">Verlaging van kwalificaties en beschikbaarheid van de </w:t>
      </w:r>
      <w:r w:rsidRPr="00262341">
        <w:rPr>
          <w:rFonts w:ascii="Verdana" w:hAnsi="Verdana" w:eastAsia="Verdana" w:cs="Verdana"/>
          <w:i/>
          <w:iCs/>
          <w:sz w:val="18"/>
          <w:szCs w:val="18"/>
        </w:rPr>
        <w:t xml:space="preserve">person </w:t>
      </w:r>
      <w:proofErr w:type="spellStart"/>
      <w:r w:rsidRPr="00262341">
        <w:rPr>
          <w:rFonts w:ascii="Verdana" w:hAnsi="Verdana" w:eastAsia="Verdana" w:cs="Verdana"/>
          <w:i/>
          <w:iCs/>
          <w:sz w:val="18"/>
          <w:szCs w:val="18"/>
        </w:rPr>
        <w:t>responsible</w:t>
      </w:r>
      <w:proofErr w:type="spellEnd"/>
      <w:r w:rsidRPr="00262341">
        <w:rPr>
          <w:rFonts w:ascii="Verdana" w:hAnsi="Verdana" w:eastAsia="Verdana" w:cs="Verdana"/>
          <w:i/>
          <w:iCs/>
          <w:sz w:val="18"/>
          <w:szCs w:val="18"/>
        </w:rPr>
        <w:t xml:space="preserve"> for regulatory compliance</w:t>
      </w:r>
      <w:r w:rsidRPr="00262341">
        <w:rPr>
          <w:rFonts w:ascii="Verdana" w:hAnsi="Verdana" w:eastAsia="Verdana" w:cs="Verdana"/>
          <w:sz w:val="18"/>
          <w:szCs w:val="18"/>
        </w:rPr>
        <w:t xml:space="preserve"> (PRRC), omdat de PRRC een belangrijk aanspreekpunt is bij het toezicht van IGJ op de naleving van veiligheidseisen door fabrikanten en gemachtigden. Lagere eisen zullen toezicht en handhaving door IGJ bemoeilijken.</w:t>
      </w:r>
    </w:p>
    <w:p w:rsidRPr="00262341" w:rsidR="00C92EA1" w:rsidP="00262341" w:rsidRDefault="00C92EA1" w14:paraId="173659AF" w14:textId="77777777">
      <w:pPr>
        <w:spacing w:line="360" w:lineRule="auto"/>
        <w:rPr>
          <w:rFonts w:ascii="Verdana" w:hAnsi="Verdana" w:eastAsia="Verdana" w:cs="Verdana"/>
          <w:b/>
          <w:bCs/>
          <w:sz w:val="18"/>
          <w:szCs w:val="18"/>
        </w:rPr>
      </w:pPr>
    </w:p>
    <w:p w:rsidRPr="00262341" w:rsidR="00421A0F" w:rsidP="00262341" w:rsidRDefault="0BB81D5C" w14:paraId="2288D043" w14:textId="209439AC">
      <w:pPr>
        <w:pStyle w:val="ListParagraph"/>
        <w:numPr>
          <w:ilvl w:val="0"/>
          <w:numId w:val="40"/>
        </w:numPr>
        <w:spacing w:line="360" w:lineRule="auto"/>
        <w:rPr>
          <w:rFonts w:ascii="Verdana" w:hAnsi="Verdana"/>
          <w:b/>
          <w:bCs/>
          <w:i/>
          <w:iCs/>
          <w:color w:val="000000" w:themeColor="text1"/>
          <w:sz w:val="18"/>
          <w:szCs w:val="18"/>
        </w:rPr>
      </w:pPr>
      <w:r w:rsidRPr="00262341">
        <w:rPr>
          <w:rFonts w:ascii="Verdana" w:hAnsi="Verdana" w:eastAsia="Verdana" w:cs="Verdana"/>
          <w:b/>
          <w:bCs/>
          <w:i/>
          <w:iCs/>
          <w:sz w:val="18"/>
          <w:szCs w:val="18"/>
        </w:rPr>
        <w:t xml:space="preserve">Implicaties voor ontwikkelingslanden </w:t>
      </w:r>
    </w:p>
    <w:p w:rsidRPr="00262341" w:rsidR="009A3B1D" w:rsidP="00262341" w:rsidRDefault="26DED561" w14:paraId="1CEE0BF7" w14:textId="0C4EB4C7">
      <w:pPr>
        <w:spacing w:line="360" w:lineRule="auto"/>
        <w:rPr>
          <w:rFonts w:ascii="Verdana" w:hAnsi="Verdana" w:eastAsia="Verdana" w:cs="Verdana"/>
          <w:b/>
          <w:bCs/>
          <w:sz w:val="18"/>
          <w:szCs w:val="18"/>
        </w:rPr>
      </w:pPr>
      <w:r w:rsidRPr="00262341">
        <w:rPr>
          <w:rFonts w:ascii="Verdana" w:hAnsi="Verdana" w:eastAsia="Verdana" w:cs="Verdana"/>
          <w:sz w:val="18"/>
          <w:szCs w:val="18"/>
        </w:rPr>
        <w:t xml:space="preserve">Het kabinet voorziet geen additionele implicaties voor ontwikkelingslanden. </w:t>
      </w:r>
    </w:p>
    <w:p w:rsidRPr="00262341" w:rsidR="00C92EA1" w:rsidP="00262341" w:rsidRDefault="00C92EA1" w14:paraId="588E8D4F" w14:textId="77777777">
      <w:pPr>
        <w:spacing w:line="360" w:lineRule="auto"/>
        <w:ind w:left="360"/>
        <w:rPr>
          <w:rFonts w:ascii="Verdana" w:hAnsi="Verdana" w:eastAsia="Verdana" w:cs="Verdana"/>
          <w:b/>
          <w:bCs/>
          <w:sz w:val="18"/>
          <w:szCs w:val="18"/>
        </w:rPr>
      </w:pPr>
    </w:p>
    <w:bookmarkEnd w:id="0"/>
    <w:bookmarkEnd w:id="1"/>
    <w:p w:rsidRPr="00E72E12" w:rsidR="009A3B1D" w:rsidP="00493620" w:rsidRDefault="009A3B1D" w14:paraId="6B379056" w14:textId="10B87AE4">
      <w:pPr>
        <w:spacing w:line="360" w:lineRule="auto"/>
        <w:rPr>
          <w:rFonts w:ascii="Verdana" w:hAnsi="Verdana" w:eastAsia="Verdana" w:cs="Verdana"/>
          <w:sz w:val="18"/>
          <w:szCs w:val="18"/>
        </w:rPr>
      </w:pPr>
    </w:p>
    <w:sectPr w:rsidRPr="00E72E12" w:rsidR="009A3B1D" w:rsidSect="00FF5459">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316C" w14:textId="77777777" w:rsidR="0027744D" w:rsidRPr="000D7BBA" w:rsidRDefault="0027744D">
      <w:r w:rsidRPr="000D7BBA">
        <w:separator/>
      </w:r>
    </w:p>
  </w:endnote>
  <w:endnote w:type="continuationSeparator" w:id="0">
    <w:p w14:paraId="235BAF3B" w14:textId="77777777" w:rsidR="0027744D" w:rsidRPr="000D7BBA" w:rsidRDefault="0027744D">
      <w:r w:rsidRPr="000D7BBA">
        <w:continuationSeparator/>
      </w:r>
    </w:p>
  </w:endnote>
  <w:endnote w:type="continuationNotice" w:id="1">
    <w:p w14:paraId="2B68D447" w14:textId="77777777" w:rsidR="0027744D" w:rsidRDefault="002774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D83D667" w:rsidR="0037596E" w:rsidRPr="000D7BBA" w:rsidRDefault="00E817F0">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3586CA9D" wp14:editId="07EE95C1">
              <wp:simplePos x="635" y="635"/>
              <wp:positionH relativeFrom="page">
                <wp:align>left</wp:align>
              </wp:positionH>
              <wp:positionV relativeFrom="page">
                <wp:align>bottom</wp:align>
              </wp:positionV>
              <wp:extent cx="1009015" cy="368300"/>
              <wp:effectExtent l="0" t="0" r="635" b="0"/>
              <wp:wrapNone/>
              <wp:docPr id="45358834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AD71649" w14:textId="487EC117"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6CA9D"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AD71649" w14:textId="487EC117"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v:textbox>
              <w10:wrap anchorx="page" anchory="page"/>
            </v:shape>
          </w:pict>
        </mc:Fallback>
      </mc:AlternateContent>
    </w:r>
    <w:r w:rsidR="0037596E" w:rsidRPr="000D7BBA">
      <w:rPr>
        <w:rStyle w:val="PageNumber"/>
      </w:rPr>
      <w:fldChar w:fldCharType="begin"/>
    </w:r>
    <w:r w:rsidR="0037596E" w:rsidRPr="000D7BBA">
      <w:rPr>
        <w:rStyle w:val="PageNumber"/>
      </w:rPr>
      <w:instrText xml:space="preserve">PAGE  </w:instrText>
    </w:r>
    <w:r w:rsidR="0037596E" w:rsidRPr="000D7BBA">
      <w:rPr>
        <w:rStyle w:val="PageNumber"/>
      </w:rPr>
      <w:fldChar w:fldCharType="separate"/>
    </w:r>
    <w:r w:rsidR="00E3509E" w:rsidRPr="000D7BBA">
      <w:rPr>
        <w:rStyle w:val="PageNumber"/>
      </w:rPr>
      <w:t>2</w:t>
    </w:r>
    <w:r w:rsidR="0037596E" w:rsidRPr="000D7BBA">
      <w:rPr>
        <w:rStyle w:val="PageNumber"/>
      </w:rPr>
      <w:fldChar w:fldCharType="end"/>
    </w:r>
  </w:p>
  <w:p w14:paraId="3BBF4F64" w14:textId="77777777" w:rsidR="0037596E" w:rsidRPr="000D7BBA"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45C53770" w:rsidR="0037596E" w:rsidRPr="000D7BBA" w:rsidRDefault="00E817F0">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BEA6692" wp14:editId="08960D0C">
              <wp:simplePos x="635" y="635"/>
              <wp:positionH relativeFrom="page">
                <wp:align>left</wp:align>
              </wp:positionH>
              <wp:positionV relativeFrom="page">
                <wp:align>bottom</wp:align>
              </wp:positionV>
              <wp:extent cx="1009015" cy="368300"/>
              <wp:effectExtent l="0" t="0" r="635" b="0"/>
              <wp:wrapNone/>
              <wp:docPr id="197097877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64D7E79" w14:textId="35F9A8C5"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A6692"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64D7E79" w14:textId="35F9A8C5"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v:textbox>
              <w10:wrap anchorx="page" anchory="page"/>
            </v:shape>
          </w:pict>
        </mc:Fallback>
      </mc:AlternateContent>
    </w:r>
    <w:r w:rsidR="0037596E" w:rsidRPr="000D7BBA">
      <w:rPr>
        <w:rStyle w:val="PageNumber"/>
      </w:rPr>
      <w:fldChar w:fldCharType="begin"/>
    </w:r>
    <w:r w:rsidR="0037596E" w:rsidRPr="000D7BBA">
      <w:rPr>
        <w:rStyle w:val="PageNumber"/>
      </w:rPr>
      <w:instrText xml:space="preserve">PAGE  </w:instrText>
    </w:r>
    <w:r w:rsidR="0037596E" w:rsidRPr="000D7BBA">
      <w:rPr>
        <w:rStyle w:val="PageNumber"/>
      </w:rPr>
      <w:fldChar w:fldCharType="separate"/>
    </w:r>
    <w:r w:rsidR="00CE72F7" w:rsidRPr="000D7BBA">
      <w:rPr>
        <w:rStyle w:val="PageNumber"/>
      </w:rPr>
      <w:t>2</w:t>
    </w:r>
    <w:r w:rsidR="0037596E" w:rsidRPr="000D7BBA">
      <w:rPr>
        <w:rStyle w:val="PageNumber"/>
      </w:rPr>
      <w:fldChar w:fldCharType="end"/>
    </w:r>
  </w:p>
  <w:p w14:paraId="27D74473" w14:textId="77777777" w:rsidR="0037596E" w:rsidRPr="000D7BBA"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A956" w14:textId="0C136EB6" w:rsidR="00E817F0" w:rsidRDefault="00E817F0">
    <w:pPr>
      <w:pStyle w:val="Footer"/>
    </w:pPr>
    <w:r>
      <w:rPr>
        <w:noProof/>
      </w:rPr>
      <mc:AlternateContent>
        <mc:Choice Requires="wps">
          <w:drawing>
            <wp:anchor distT="0" distB="0" distL="0" distR="0" simplePos="0" relativeHeight="251658240" behindDoc="0" locked="0" layoutInCell="1" allowOverlap="1" wp14:anchorId="608AFD9A" wp14:editId="5EE39C7B">
              <wp:simplePos x="635" y="635"/>
              <wp:positionH relativeFrom="page">
                <wp:align>left</wp:align>
              </wp:positionH>
              <wp:positionV relativeFrom="page">
                <wp:align>bottom</wp:align>
              </wp:positionV>
              <wp:extent cx="1009015" cy="368300"/>
              <wp:effectExtent l="0" t="0" r="635" b="0"/>
              <wp:wrapNone/>
              <wp:docPr id="126168274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7193F7C" w14:textId="2EA563DF"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AFD9A"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47193F7C" w14:textId="2EA563DF"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BE45" w14:textId="77777777" w:rsidR="0027744D" w:rsidRPr="000D7BBA" w:rsidRDefault="0027744D">
      <w:r w:rsidRPr="000D7BBA">
        <w:separator/>
      </w:r>
    </w:p>
  </w:footnote>
  <w:footnote w:type="continuationSeparator" w:id="0">
    <w:p w14:paraId="7EFB2137" w14:textId="77777777" w:rsidR="0027744D" w:rsidRPr="000D7BBA" w:rsidRDefault="0027744D">
      <w:r w:rsidRPr="000D7BBA">
        <w:continuationSeparator/>
      </w:r>
    </w:p>
  </w:footnote>
  <w:footnote w:type="continuationNotice" w:id="1">
    <w:p w14:paraId="5027E73D" w14:textId="77777777" w:rsidR="0027744D" w:rsidRDefault="0027744D">
      <w:pPr>
        <w:spacing w:line="240" w:lineRule="auto"/>
      </w:pPr>
    </w:p>
  </w:footnote>
  <w:footnote w:id="2">
    <w:p w14:paraId="0C65B18C" w14:textId="139C2358" w:rsidR="3BC6BAAD" w:rsidRPr="00262341" w:rsidRDefault="3BC6BAAD" w:rsidP="000C7A34">
      <w:pPr>
        <w:pStyle w:val="FootnoteText"/>
        <w:rPr>
          <w:rFonts w:ascii="Verdana" w:hAnsi="Verdana"/>
          <w:lang w:val="pt-PT"/>
        </w:rPr>
      </w:pPr>
      <w:r w:rsidRPr="00262341">
        <w:rPr>
          <w:rStyle w:val="FootnoteReference"/>
          <w:rFonts w:ascii="Verdana" w:hAnsi="Verdana"/>
        </w:rPr>
        <w:footnoteRef/>
      </w:r>
      <w:r w:rsidRPr="00262341">
        <w:rPr>
          <w:rFonts w:ascii="Verdana" w:hAnsi="Verdana"/>
          <w:lang w:val="pt-PT"/>
        </w:rPr>
        <w:t xml:space="preserve"> </w:t>
      </w:r>
      <w:r w:rsidR="005B16D8" w:rsidRPr="00262341">
        <w:rPr>
          <w:rFonts w:ascii="Verdana" w:hAnsi="Verdana"/>
          <w:lang w:val="pt-PT"/>
        </w:rPr>
        <w:t>Europese Commissie, COM(2025) 1023 final, 16 december 2025.</w:t>
      </w:r>
    </w:p>
  </w:footnote>
  <w:footnote w:id="3">
    <w:p w14:paraId="4CE60CB1" w14:textId="0907B0E0" w:rsidR="000B4DD1" w:rsidRPr="00262341" w:rsidRDefault="000B4DD1" w:rsidP="00E25887">
      <w:pPr>
        <w:pStyle w:val="FootnoteText"/>
        <w:ind w:left="113" w:hanging="113"/>
        <w:rPr>
          <w:rFonts w:ascii="Verdana" w:hAnsi="Verdana"/>
        </w:rPr>
      </w:pPr>
      <w:r w:rsidRPr="00262341">
        <w:rPr>
          <w:rStyle w:val="FootnoteReference"/>
          <w:rFonts w:ascii="Verdana" w:hAnsi="Verdana"/>
        </w:rPr>
        <w:footnoteRef/>
      </w:r>
      <w:r w:rsidRPr="00262341">
        <w:rPr>
          <w:rFonts w:ascii="Verdana" w:hAnsi="Verdana"/>
        </w:rPr>
        <w:t xml:space="preserve"> </w:t>
      </w:r>
      <w:r w:rsidR="000C1705" w:rsidRPr="00262341">
        <w:rPr>
          <w:rFonts w:ascii="Verdana" w:hAnsi="Verdana"/>
        </w:rPr>
        <w:t>Verordening (EU) 2017/745 van het Europees Parlement en de Raad van 5 april 2017 betreffende medische</w:t>
      </w:r>
      <w:r w:rsidR="00E25887">
        <w:rPr>
          <w:rFonts w:ascii="Verdana" w:hAnsi="Verdana"/>
        </w:rPr>
        <w:t xml:space="preserve"> </w:t>
      </w:r>
      <w:r w:rsidR="000C1705" w:rsidRPr="00262341">
        <w:rPr>
          <w:rFonts w:ascii="Verdana" w:hAnsi="Verdana"/>
        </w:rPr>
        <w:t>hulpmiddelen.</w:t>
      </w:r>
    </w:p>
  </w:footnote>
  <w:footnote w:id="4">
    <w:p w14:paraId="3081B0C1" w14:textId="1726F847" w:rsidR="000B4DD1" w:rsidRPr="00262341" w:rsidRDefault="000B4DD1"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w:t>
      </w:r>
      <w:r w:rsidR="000C1705" w:rsidRPr="00262341">
        <w:rPr>
          <w:rFonts w:ascii="Verdana" w:hAnsi="Verdana"/>
        </w:rPr>
        <w:t>Verordening (EU) 2017/746 van het Europees Parlement en de Raad van 5 april 2017 betreffende medische hulpmiddelen voor in-vitrodiagnostiek.</w:t>
      </w:r>
    </w:p>
  </w:footnote>
  <w:footnote w:id="5">
    <w:p w14:paraId="2D7DC312" w14:textId="21ED1711" w:rsidR="000B4DD1" w:rsidRPr="004A59C7" w:rsidRDefault="000B4DD1" w:rsidP="00ED7DF4">
      <w:pPr>
        <w:pStyle w:val="FootnoteText"/>
        <w:ind w:left="170" w:hanging="170"/>
        <w:rPr>
          <w:rFonts w:ascii="Verdana" w:hAnsi="Verdana"/>
          <w:szCs w:val="16"/>
        </w:rPr>
      </w:pPr>
      <w:r w:rsidRPr="004A59C7">
        <w:rPr>
          <w:rStyle w:val="FootnoteReference"/>
          <w:rFonts w:ascii="Verdana" w:hAnsi="Verdana"/>
          <w:szCs w:val="16"/>
        </w:rPr>
        <w:footnoteRef/>
      </w:r>
      <w:r w:rsidRPr="004A59C7">
        <w:rPr>
          <w:rFonts w:ascii="Verdana" w:hAnsi="Verdana"/>
          <w:szCs w:val="16"/>
        </w:rPr>
        <w:t xml:space="preserve"> </w:t>
      </w:r>
      <w:r w:rsidRPr="00262341">
        <w:rPr>
          <w:rFonts w:ascii="Verdana" w:hAnsi="Verdana"/>
          <w:szCs w:val="16"/>
        </w:rPr>
        <w:t xml:space="preserve">Medische hulpmiddelen </w:t>
      </w:r>
      <w:r w:rsidR="0032216B" w:rsidRPr="00262341">
        <w:rPr>
          <w:rFonts w:ascii="Verdana" w:hAnsi="Verdana"/>
          <w:szCs w:val="16"/>
        </w:rPr>
        <w:t xml:space="preserve">voor </w:t>
      </w:r>
      <w:r w:rsidRPr="00262341">
        <w:rPr>
          <w:rFonts w:ascii="Verdana" w:hAnsi="Verdana"/>
          <w:szCs w:val="16"/>
        </w:rPr>
        <w:t>ziekten of aandoeningen die</w:t>
      </w:r>
      <w:r w:rsidR="008842AE" w:rsidRPr="00262341">
        <w:rPr>
          <w:rFonts w:ascii="Verdana" w:hAnsi="Verdana"/>
          <w:szCs w:val="16"/>
        </w:rPr>
        <w:t xml:space="preserve"> &lt;</w:t>
      </w:r>
      <w:r w:rsidRPr="00262341">
        <w:rPr>
          <w:rFonts w:ascii="Verdana" w:hAnsi="Verdana"/>
          <w:szCs w:val="16"/>
        </w:rPr>
        <w:t>12.000 patiënten per</w:t>
      </w:r>
      <w:r w:rsidR="00726DD4" w:rsidRPr="00262341">
        <w:rPr>
          <w:rFonts w:ascii="Verdana" w:hAnsi="Verdana"/>
          <w:szCs w:val="16"/>
        </w:rPr>
        <w:t xml:space="preserve"> </w:t>
      </w:r>
      <w:r w:rsidRPr="00262341">
        <w:rPr>
          <w:rFonts w:ascii="Verdana" w:hAnsi="Verdana"/>
          <w:szCs w:val="16"/>
        </w:rPr>
        <w:t>jaar in de EU</w:t>
      </w:r>
      <w:r w:rsidR="008842AE" w:rsidRPr="00262341">
        <w:rPr>
          <w:rFonts w:ascii="Verdana" w:hAnsi="Verdana"/>
          <w:szCs w:val="16"/>
        </w:rPr>
        <w:t xml:space="preserve"> treffen</w:t>
      </w:r>
      <w:r w:rsidRPr="004A59C7">
        <w:rPr>
          <w:rFonts w:ascii="Verdana" w:hAnsi="Verdana"/>
          <w:szCs w:val="16"/>
        </w:rPr>
        <w:t xml:space="preserve"> </w:t>
      </w:r>
    </w:p>
  </w:footnote>
  <w:footnote w:id="6">
    <w:p w14:paraId="07B4429A" w14:textId="77777777" w:rsidR="00726DD4" w:rsidRPr="004A59C7" w:rsidRDefault="000B4DD1" w:rsidP="00ED7DF4">
      <w:pPr>
        <w:spacing w:after="160" w:line="259" w:lineRule="auto"/>
        <w:ind w:left="170" w:hanging="170"/>
        <w:rPr>
          <w:rFonts w:ascii="Verdana" w:hAnsi="Verdana"/>
          <w:sz w:val="16"/>
          <w:szCs w:val="16"/>
        </w:rPr>
      </w:pPr>
      <w:r w:rsidRPr="004A59C7">
        <w:rPr>
          <w:rStyle w:val="FootnoteReference"/>
          <w:rFonts w:ascii="Verdana" w:hAnsi="Verdana"/>
          <w:sz w:val="16"/>
          <w:szCs w:val="16"/>
        </w:rPr>
        <w:footnoteRef/>
      </w:r>
      <w:r w:rsidRPr="004A59C7">
        <w:rPr>
          <w:rFonts w:ascii="Verdana" w:hAnsi="Verdana"/>
          <w:sz w:val="16"/>
          <w:szCs w:val="16"/>
        </w:rPr>
        <w:t xml:space="preserve"> </w:t>
      </w:r>
      <w:r w:rsidR="00726DD4" w:rsidRPr="00262341">
        <w:rPr>
          <w:rFonts w:ascii="Verdana" w:hAnsi="Verdana"/>
          <w:sz w:val="16"/>
          <w:szCs w:val="16"/>
        </w:rPr>
        <w:t>Panels van aangestelde experts die op aanvraag, en tegen betaling, ondersteuning bieden bij de wetenschappelijke beoordeling van medische hulpmiddelen.</w:t>
      </w:r>
    </w:p>
    <w:p w14:paraId="1E0D9FEC" w14:textId="296BB057" w:rsidR="000B4DD1" w:rsidRPr="00262341" w:rsidRDefault="000B4DD1">
      <w:pPr>
        <w:pStyle w:val="FootnoteText"/>
        <w:rPr>
          <w:rFonts w:ascii="Verdana" w:hAnsi="Verdana"/>
        </w:rPr>
      </w:pPr>
    </w:p>
  </w:footnote>
  <w:footnote w:id="7">
    <w:p w14:paraId="63F2FE53" w14:textId="69F6F2E4" w:rsidR="000C1705" w:rsidRPr="00262341" w:rsidRDefault="000C1705"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Verordening (EU) nr. 536/2014 van het Europees Parlement en de Raad van 16 april 2014 betreffende klinische proeven met geneesmiddelen voor menselijk gebruik en tot intrekking van Richtlijn 2001/20/EG.</w:t>
      </w:r>
    </w:p>
  </w:footnote>
  <w:footnote w:id="8">
    <w:p w14:paraId="0D5D02DE" w14:textId="39E06E52" w:rsidR="000C1705" w:rsidRPr="00262341" w:rsidRDefault="000C1705"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Verordening (EU) 2024/2847 van het Europees Parlement en de Raad van 23 oktober 2024 betreffende horizontale cyberbeveiligingsvereisten voor producten met digitale elementen en tot wijziging van Verordeningen (EU) nr. 168/2013 en (EU) 2019/1020 en Richtlijn (EU) 2020/1828 (Cyberweerbaarheidswet).</w:t>
      </w:r>
    </w:p>
  </w:footnote>
  <w:footnote w:id="9">
    <w:p w14:paraId="5F5E6FC4" w14:textId="5E39DCC2" w:rsidR="000C1705" w:rsidRPr="00262341" w:rsidRDefault="000C1705"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Verordening (EU) 2024/1689 van het Europees Parlement en de Raad van 13 juni 2024 tot vaststelling van geharmoniseerde regels voor kunstmatige intelligentie en tot wijziging van Verordeningen (EG) nr. 300/2008, (EU) nr. 167/2013, (EU) nr. 168/2013, (EU) 2018/858, (EU) 2018/1139 en (EU) 2019/2144 en Richtlijnen 2014/90/EU, (EU) 2016/797 en (EU) 2020/1828 (Wet inzake artificiële intelligentie).</w:t>
      </w:r>
    </w:p>
  </w:footnote>
  <w:footnote w:id="10">
    <w:p w14:paraId="0A15A304" w14:textId="7FB47829" w:rsidR="000C1705" w:rsidRPr="00262341" w:rsidRDefault="000C1705"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Kamerstukken II 2025/06, 32805, nr. 188.</w:t>
      </w:r>
    </w:p>
  </w:footnote>
  <w:footnote w:id="11">
    <w:p w14:paraId="2AF1C0A9" w14:textId="53784980" w:rsidR="00B71CAD" w:rsidRPr="00262341" w:rsidRDefault="00B71CAD"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'Digital Omnibus on AI Regulation Proposal', European Commission, https://digital-strategy.ec.europa.eu/en/library/digital-omnibus-ai-regulation-proposal (19 november 2025)</w:t>
      </w:r>
    </w:p>
  </w:footnote>
  <w:footnote w:id="12">
    <w:p w14:paraId="4E91D84C" w14:textId="5F4FF03B" w:rsidR="00B71CAD" w:rsidRPr="00262341" w:rsidRDefault="00B71CAD" w:rsidP="00ED7DF4">
      <w:pPr>
        <w:pStyle w:val="FootnoteText"/>
        <w:ind w:left="170" w:hanging="170"/>
        <w:rPr>
          <w:rFonts w:ascii="Verdana" w:hAnsi="Verdana"/>
          <w:lang w:val="en-US"/>
        </w:rPr>
      </w:pPr>
      <w:r w:rsidRPr="00262341">
        <w:rPr>
          <w:rStyle w:val="FootnoteReference"/>
          <w:rFonts w:ascii="Verdana" w:hAnsi="Verdana"/>
        </w:rPr>
        <w:footnoteRef/>
      </w:r>
      <w:r w:rsidRPr="00262341">
        <w:rPr>
          <w:rFonts w:ascii="Verdana" w:hAnsi="Verdana"/>
          <w:lang w:val="en-US"/>
        </w:rPr>
        <w:t xml:space="preserve"> 'Medical Devices and In Vitro Diagnostics Regulations: publication of a consensus statement from the EU Competent Authorities to the EU Commission', CAMD, https://www.camd-europe.eu/regulatory/publication-of-a-consensus-statement/ (6 september 2024)</w:t>
      </w:r>
    </w:p>
  </w:footnote>
  <w:footnote w:id="13">
    <w:p w14:paraId="3BCE4E9D" w14:textId="7500A1DF" w:rsidR="00B71CAD" w:rsidRPr="00262341" w:rsidRDefault="00B71CAD" w:rsidP="00ED7DF4">
      <w:pPr>
        <w:pStyle w:val="FootnoteText"/>
        <w:ind w:left="170" w:hanging="170"/>
        <w:rPr>
          <w:rFonts w:ascii="Verdana" w:hAnsi="Verdana"/>
          <w:lang w:val="en-US"/>
        </w:rPr>
      </w:pPr>
      <w:r w:rsidRPr="00262341">
        <w:rPr>
          <w:rStyle w:val="FootnoteReference"/>
          <w:rFonts w:ascii="Verdana" w:hAnsi="Verdana"/>
        </w:rPr>
        <w:footnoteRef/>
      </w:r>
      <w:r w:rsidRPr="00262341">
        <w:rPr>
          <w:rFonts w:ascii="Verdana" w:hAnsi="Verdana"/>
          <w:lang w:val="en-US"/>
        </w:rPr>
        <w:t xml:space="preserve"> 'Consensus statement on coordination and governance of the regulatory system for medical devices at the EU level', Competent Authorities for Medical Devices (CAMD), https://www.camd-europe.eu/wp-content/uploads/2025/07/2507_ConsensusStatement_Utrecht_F-1.pdf (11 juli 2025)</w:t>
      </w:r>
    </w:p>
  </w:footnote>
  <w:footnote w:id="14">
    <w:p w14:paraId="4C39C0F5" w14:textId="4754DD9A" w:rsidR="00B71CAD" w:rsidRPr="00262341" w:rsidRDefault="00B71CAD" w:rsidP="00ED7DF4">
      <w:pPr>
        <w:pStyle w:val="FootnoteText"/>
        <w:ind w:left="170" w:hanging="170"/>
        <w:rPr>
          <w:rFonts w:ascii="Verdana" w:hAnsi="Verdana"/>
          <w:lang w:val="en-US"/>
        </w:rPr>
      </w:pPr>
      <w:r w:rsidRPr="00262341">
        <w:rPr>
          <w:rStyle w:val="FootnoteReference"/>
          <w:rFonts w:ascii="Verdana" w:hAnsi="Verdana"/>
        </w:rPr>
        <w:footnoteRef/>
      </w:r>
      <w:r w:rsidRPr="00262341">
        <w:rPr>
          <w:rFonts w:ascii="Verdana" w:hAnsi="Verdana"/>
          <w:lang w:val="en-US"/>
        </w:rPr>
        <w:t xml:space="preserve"> 'Employment, Social Policy, Health and Consumer Affairs Council (Health)', Council of the European Union, https://www.consilium.europa.eu/en/meetings/epsco/2024/12/03/ (3, december 2025)</w:t>
      </w:r>
    </w:p>
  </w:footnote>
  <w:footnote w:id="15">
    <w:p w14:paraId="18F4D545" w14:textId="321A499E" w:rsidR="00B71CAD" w:rsidRPr="00262341" w:rsidRDefault="00B71CAD" w:rsidP="00ED7DF4">
      <w:pPr>
        <w:pStyle w:val="FootnoteText"/>
        <w:ind w:left="170" w:hanging="170"/>
        <w:rPr>
          <w:rFonts w:ascii="Verdana" w:hAnsi="Verdana"/>
          <w:lang w:val="en-US"/>
        </w:rPr>
      </w:pPr>
      <w:r w:rsidRPr="00262341">
        <w:rPr>
          <w:rStyle w:val="FootnoteReference"/>
          <w:rFonts w:ascii="Verdana" w:hAnsi="Verdana"/>
        </w:rPr>
        <w:footnoteRef/>
      </w:r>
      <w:r w:rsidRPr="00262341">
        <w:rPr>
          <w:rFonts w:ascii="Verdana" w:hAnsi="Verdana"/>
          <w:lang w:val="en-US"/>
        </w:rPr>
        <w:t xml:space="preserve"> Europees Parlement, Ontwerpresolutie B10-0125/2024, 26 september 2024.</w:t>
      </w:r>
    </w:p>
  </w:footnote>
  <w:footnote w:id="16">
    <w:p w14:paraId="579DF549" w14:textId="25AF86D5" w:rsidR="00B71CAD" w:rsidRPr="00262341" w:rsidRDefault="00B71CAD" w:rsidP="00ED7DF4">
      <w:pPr>
        <w:pStyle w:val="FootnoteText"/>
        <w:ind w:left="170" w:hanging="170"/>
        <w:rPr>
          <w:rFonts w:ascii="Verdana" w:hAnsi="Verdana"/>
          <w:lang w:val="en-US"/>
        </w:rPr>
      </w:pPr>
      <w:r w:rsidRPr="00262341">
        <w:rPr>
          <w:rStyle w:val="FootnoteReference"/>
          <w:rFonts w:ascii="Verdana" w:hAnsi="Verdana"/>
        </w:rPr>
        <w:footnoteRef/>
      </w:r>
      <w:r w:rsidRPr="00262341">
        <w:rPr>
          <w:rFonts w:ascii="Verdana" w:hAnsi="Verdana"/>
          <w:lang w:val="en-US"/>
        </w:rPr>
        <w:t xml:space="preserve"> MedTech Europe, 'MedTech Europe IVDR &amp; MDR Survey Results 2024 Public Report', december 2024.</w:t>
      </w:r>
    </w:p>
  </w:footnote>
  <w:footnote w:id="17">
    <w:p w14:paraId="1F93396E" w14:textId="7D318FC7" w:rsidR="00B71CAD" w:rsidRPr="00262341" w:rsidRDefault="00B71CAD" w:rsidP="00ED7DF4">
      <w:pPr>
        <w:pStyle w:val="FootnoteText"/>
        <w:ind w:left="170" w:hanging="170"/>
        <w:rPr>
          <w:rFonts w:ascii="Verdana" w:hAnsi="Verdana"/>
          <w:lang w:val="en-US"/>
        </w:rPr>
      </w:pPr>
      <w:r w:rsidRPr="00262341">
        <w:rPr>
          <w:rStyle w:val="FootnoteReference"/>
          <w:rFonts w:ascii="Verdana" w:hAnsi="Verdana"/>
        </w:rPr>
        <w:footnoteRef/>
      </w:r>
      <w:r w:rsidRPr="00262341">
        <w:rPr>
          <w:rFonts w:ascii="Verdana" w:hAnsi="Verdana"/>
          <w:lang w:val="en-US"/>
        </w:rPr>
        <w:t xml:space="preserve"> 'Staff working document on cost-savings for the proposal to reduce and simplify regulations on medical and diagnostic devices', European Commission, https://health.ec.europa.eu/publications/staff-working-document-cost-savings-proposal-reduce-and-simplify-regulations-medical-and-diagnostic_en (16 december 2025)</w:t>
      </w:r>
    </w:p>
  </w:footnote>
  <w:footnote w:id="18">
    <w:p w14:paraId="15B63200" w14:textId="03271515" w:rsidR="000A5B8B" w:rsidRPr="00262341" w:rsidRDefault="000A5B8B"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Verordening (EU) 2022/2371 van het Europees Parlement en de Raad van 23 november 2022 betreffende ernstige grensoverschrijdende gezondheidsbedreigingen en tot intrekking van Besluit nr. 1082/2013/EU.</w:t>
      </w:r>
    </w:p>
  </w:footnote>
  <w:footnote w:id="19">
    <w:p w14:paraId="3C59170F" w14:textId="71DB9B2A" w:rsidR="000A5B8B" w:rsidRPr="00262341" w:rsidRDefault="000A5B8B" w:rsidP="00ED7DF4">
      <w:pPr>
        <w:pStyle w:val="FootnoteText"/>
        <w:ind w:left="170" w:hanging="170"/>
        <w:rPr>
          <w:rFonts w:ascii="Verdana" w:hAnsi="Verdana"/>
        </w:rPr>
      </w:pPr>
      <w:r w:rsidRPr="00262341">
        <w:rPr>
          <w:rStyle w:val="FootnoteReference"/>
          <w:rFonts w:ascii="Verdana" w:hAnsi="Verdana"/>
        </w:rPr>
        <w:footnoteRef/>
      </w:r>
      <w:r w:rsidRPr="00262341">
        <w:rPr>
          <w:rFonts w:ascii="Verdana" w:hAnsi="Verdana"/>
        </w:rPr>
        <w:t xml:space="preserve"> </w:t>
      </w:r>
      <w:r w:rsidRPr="00262341">
        <w:rPr>
          <w:rFonts w:ascii="Verdana" w:eastAsia="Verdana" w:hAnsi="Verdana"/>
          <w:szCs w:val="16"/>
        </w:rPr>
        <w:t>Verordening (EU) 182/2011 van het Europees parlement en de Raad van 16 februari 2011 tot vaststelling van de algemene voorschriften en beginselen die van toepassing zijn op de wijze waarop de lidstaten de uitoefening van de uitvoeringsbevoegdheden door de Commissie controleren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6E79" w14:textId="77777777" w:rsidR="00A3291D" w:rsidRDefault="00A3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38B6" w14:textId="53CB0B41" w:rsidR="00EB777D" w:rsidRPr="00574F02" w:rsidRDefault="00EB777D">
    <w:pPr>
      <w:pStyle w:val="Header"/>
      <w:jc w:val="right"/>
      <w:rPr>
        <w:rFonts w:ascii="Verdana" w:hAnsi="Verdana"/>
        <w:b/>
        <w:bCs/>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B5A3" w14:textId="77777777" w:rsidR="00A3291D" w:rsidRDefault="00A3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4BD"/>
    <w:multiLevelType w:val="hybridMultilevel"/>
    <w:tmpl w:val="81505C82"/>
    <w:lvl w:ilvl="0" w:tplc="42B6D3DA">
      <w:start w:val="1"/>
      <w:numFmt w:val="bullet"/>
      <w:lvlText w:val=""/>
      <w:lvlJc w:val="left"/>
      <w:pPr>
        <w:ind w:left="1020" w:hanging="360"/>
      </w:pPr>
      <w:rPr>
        <w:rFonts w:ascii="Symbol" w:hAnsi="Symbol"/>
      </w:rPr>
    </w:lvl>
    <w:lvl w:ilvl="1" w:tplc="047EA9CC">
      <w:start w:val="1"/>
      <w:numFmt w:val="bullet"/>
      <w:lvlText w:val=""/>
      <w:lvlJc w:val="left"/>
      <w:pPr>
        <w:ind w:left="1020" w:hanging="360"/>
      </w:pPr>
      <w:rPr>
        <w:rFonts w:ascii="Symbol" w:hAnsi="Symbol"/>
      </w:rPr>
    </w:lvl>
    <w:lvl w:ilvl="2" w:tplc="A3846FB2">
      <w:start w:val="1"/>
      <w:numFmt w:val="bullet"/>
      <w:lvlText w:val=""/>
      <w:lvlJc w:val="left"/>
      <w:pPr>
        <w:ind w:left="1020" w:hanging="360"/>
      </w:pPr>
      <w:rPr>
        <w:rFonts w:ascii="Symbol" w:hAnsi="Symbol"/>
      </w:rPr>
    </w:lvl>
    <w:lvl w:ilvl="3" w:tplc="8CF2A8EE">
      <w:start w:val="1"/>
      <w:numFmt w:val="bullet"/>
      <w:lvlText w:val=""/>
      <w:lvlJc w:val="left"/>
      <w:pPr>
        <w:ind w:left="1020" w:hanging="360"/>
      </w:pPr>
      <w:rPr>
        <w:rFonts w:ascii="Symbol" w:hAnsi="Symbol"/>
      </w:rPr>
    </w:lvl>
    <w:lvl w:ilvl="4" w:tplc="2166BD0C">
      <w:start w:val="1"/>
      <w:numFmt w:val="bullet"/>
      <w:lvlText w:val=""/>
      <w:lvlJc w:val="left"/>
      <w:pPr>
        <w:ind w:left="1020" w:hanging="360"/>
      </w:pPr>
      <w:rPr>
        <w:rFonts w:ascii="Symbol" w:hAnsi="Symbol"/>
      </w:rPr>
    </w:lvl>
    <w:lvl w:ilvl="5" w:tplc="2AF8E580">
      <w:start w:val="1"/>
      <w:numFmt w:val="bullet"/>
      <w:lvlText w:val=""/>
      <w:lvlJc w:val="left"/>
      <w:pPr>
        <w:ind w:left="1020" w:hanging="360"/>
      </w:pPr>
      <w:rPr>
        <w:rFonts w:ascii="Symbol" w:hAnsi="Symbol"/>
      </w:rPr>
    </w:lvl>
    <w:lvl w:ilvl="6" w:tplc="E2A204AE">
      <w:start w:val="1"/>
      <w:numFmt w:val="bullet"/>
      <w:lvlText w:val=""/>
      <w:lvlJc w:val="left"/>
      <w:pPr>
        <w:ind w:left="1020" w:hanging="360"/>
      </w:pPr>
      <w:rPr>
        <w:rFonts w:ascii="Symbol" w:hAnsi="Symbol"/>
      </w:rPr>
    </w:lvl>
    <w:lvl w:ilvl="7" w:tplc="E04ECA84">
      <w:start w:val="1"/>
      <w:numFmt w:val="bullet"/>
      <w:lvlText w:val=""/>
      <w:lvlJc w:val="left"/>
      <w:pPr>
        <w:ind w:left="1020" w:hanging="360"/>
      </w:pPr>
      <w:rPr>
        <w:rFonts w:ascii="Symbol" w:hAnsi="Symbol"/>
      </w:rPr>
    </w:lvl>
    <w:lvl w:ilvl="8" w:tplc="A5C28CAC">
      <w:start w:val="1"/>
      <w:numFmt w:val="bullet"/>
      <w:lvlText w:val=""/>
      <w:lvlJc w:val="left"/>
      <w:pPr>
        <w:ind w:left="1020" w:hanging="360"/>
      </w:pPr>
      <w:rPr>
        <w:rFonts w:ascii="Symbol" w:hAnsi="Symbol"/>
      </w:rPr>
    </w:lvl>
  </w:abstractNum>
  <w:abstractNum w:abstractNumId="1" w15:restartNumberingAfterBreak="0">
    <w:nsid w:val="04B30164"/>
    <w:multiLevelType w:val="hybridMultilevel"/>
    <w:tmpl w:val="3D204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A6123"/>
    <w:multiLevelType w:val="hybridMultilevel"/>
    <w:tmpl w:val="9F7E0D2A"/>
    <w:lvl w:ilvl="0" w:tplc="44F00908">
      <w:start w:val="1"/>
      <w:numFmt w:val="decimal"/>
      <w:lvlText w:val="%1."/>
      <w:lvlJc w:val="left"/>
      <w:pPr>
        <w:ind w:left="1020" w:hanging="360"/>
      </w:pPr>
    </w:lvl>
    <w:lvl w:ilvl="1" w:tplc="BEF8C3A2">
      <w:start w:val="1"/>
      <w:numFmt w:val="decimal"/>
      <w:lvlText w:val="%2."/>
      <w:lvlJc w:val="left"/>
      <w:pPr>
        <w:ind w:left="1020" w:hanging="360"/>
      </w:pPr>
    </w:lvl>
    <w:lvl w:ilvl="2" w:tplc="D09CAF4A">
      <w:start w:val="1"/>
      <w:numFmt w:val="decimal"/>
      <w:lvlText w:val="%3."/>
      <w:lvlJc w:val="left"/>
      <w:pPr>
        <w:ind w:left="1020" w:hanging="360"/>
      </w:pPr>
    </w:lvl>
    <w:lvl w:ilvl="3" w:tplc="57B4F10A">
      <w:start w:val="1"/>
      <w:numFmt w:val="decimal"/>
      <w:lvlText w:val="%4."/>
      <w:lvlJc w:val="left"/>
      <w:pPr>
        <w:ind w:left="1020" w:hanging="360"/>
      </w:pPr>
    </w:lvl>
    <w:lvl w:ilvl="4" w:tplc="A9CA5BE4">
      <w:start w:val="1"/>
      <w:numFmt w:val="decimal"/>
      <w:lvlText w:val="%5."/>
      <w:lvlJc w:val="left"/>
      <w:pPr>
        <w:ind w:left="1020" w:hanging="360"/>
      </w:pPr>
    </w:lvl>
    <w:lvl w:ilvl="5" w:tplc="A8241844">
      <w:start w:val="1"/>
      <w:numFmt w:val="decimal"/>
      <w:lvlText w:val="%6."/>
      <w:lvlJc w:val="left"/>
      <w:pPr>
        <w:ind w:left="1020" w:hanging="360"/>
      </w:pPr>
    </w:lvl>
    <w:lvl w:ilvl="6" w:tplc="70B42E68">
      <w:start w:val="1"/>
      <w:numFmt w:val="decimal"/>
      <w:lvlText w:val="%7."/>
      <w:lvlJc w:val="left"/>
      <w:pPr>
        <w:ind w:left="1020" w:hanging="360"/>
      </w:pPr>
    </w:lvl>
    <w:lvl w:ilvl="7" w:tplc="B032E10A">
      <w:start w:val="1"/>
      <w:numFmt w:val="decimal"/>
      <w:lvlText w:val="%8."/>
      <w:lvlJc w:val="left"/>
      <w:pPr>
        <w:ind w:left="1020" w:hanging="360"/>
      </w:pPr>
    </w:lvl>
    <w:lvl w:ilvl="8" w:tplc="F2E021B0">
      <w:start w:val="1"/>
      <w:numFmt w:val="decimal"/>
      <w:lvlText w:val="%9."/>
      <w:lvlJc w:val="left"/>
      <w:pPr>
        <w:ind w:left="1020" w:hanging="360"/>
      </w:pPr>
    </w:lvl>
  </w:abstractNum>
  <w:abstractNum w:abstractNumId="3"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072806"/>
    <w:multiLevelType w:val="hybridMultilevel"/>
    <w:tmpl w:val="6EAE6AC4"/>
    <w:lvl w:ilvl="0" w:tplc="463A6DD2">
      <w:start w:val="1"/>
      <w:numFmt w:val="bullet"/>
      <w:lvlText w:val=""/>
      <w:lvlJc w:val="left"/>
      <w:pPr>
        <w:ind w:left="1428" w:hanging="360"/>
      </w:pPr>
      <w:rPr>
        <w:rFonts w:ascii="Symbol" w:hAnsi="Symbol" w:hint="default"/>
      </w:rPr>
    </w:lvl>
    <w:lvl w:ilvl="1" w:tplc="9C329530">
      <w:start w:val="1"/>
      <w:numFmt w:val="bullet"/>
      <w:lvlText w:val="o"/>
      <w:lvlJc w:val="left"/>
      <w:pPr>
        <w:ind w:left="2148" w:hanging="360"/>
      </w:pPr>
      <w:rPr>
        <w:rFonts w:ascii="Courier New" w:hAnsi="Courier New" w:hint="default"/>
      </w:rPr>
    </w:lvl>
    <w:lvl w:ilvl="2" w:tplc="CB227E6A">
      <w:start w:val="1"/>
      <w:numFmt w:val="bullet"/>
      <w:lvlText w:val=""/>
      <w:lvlJc w:val="left"/>
      <w:pPr>
        <w:ind w:left="2868" w:hanging="360"/>
      </w:pPr>
      <w:rPr>
        <w:rFonts w:ascii="Wingdings" w:hAnsi="Wingdings" w:hint="default"/>
      </w:rPr>
    </w:lvl>
    <w:lvl w:ilvl="3" w:tplc="09C64B82">
      <w:start w:val="1"/>
      <w:numFmt w:val="bullet"/>
      <w:lvlText w:val=""/>
      <w:lvlJc w:val="left"/>
      <w:pPr>
        <w:ind w:left="3588" w:hanging="360"/>
      </w:pPr>
      <w:rPr>
        <w:rFonts w:ascii="Symbol" w:hAnsi="Symbol" w:hint="default"/>
      </w:rPr>
    </w:lvl>
    <w:lvl w:ilvl="4" w:tplc="5388E1B8">
      <w:start w:val="1"/>
      <w:numFmt w:val="bullet"/>
      <w:lvlText w:val="o"/>
      <w:lvlJc w:val="left"/>
      <w:pPr>
        <w:ind w:left="4308" w:hanging="360"/>
      </w:pPr>
      <w:rPr>
        <w:rFonts w:ascii="Courier New" w:hAnsi="Courier New" w:hint="default"/>
      </w:rPr>
    </w:lvl>
    <w:lvl w:ilvl="5" w:tplc="F990AEBA">
      <w:start w:val="1"/>
      <w:numFmt w:val="bullet"/>
      <w:lvlText w:val=""/>
      <w:lvlJc w:val="left"/>
      <w:pPr>
        <w:ind w:left="5028" w:hanging="360"/>
      </w:pPr>
      <w:rPr>
        <w:rFonts w:ascii="Wingdings" w:hAnsi="Wingdings" w:hint="default"/>
      </w:rPr>
    </w:lvl>
    <w:lvl w:ilvl="6" w:tplc="AA006BEE">
      <w:start w:val="1"/>
      <w:numFmt w:val="bullet"/>
      <w:lvlText w:val=""/>
      <w:lvlJc w:val="left"/>
      <w:pPr>
        <w:ind w:left="5748" w:hanging="360"/>
      </w:pPr>
      <w:rPr>
        <w:rFonts w:ascii="Symbol" w:hAnsi="Symbol" w:hint="default"/>
      </w:rPr>
    </w:lvl>
    <w:lvl w:ilvl="7" w:tplc="FFFAD0F8">
      <w:start w:val="1"/>
      <w:numFmt w:val="bullet"/>
      <w:lvlText w:val="o"/>
      <w:lvlJc w:val="left"/>
      <w:pPr>
        <w:ind w:left="6468" w:hanging="360"/>
      </w:pPr>
      <w:rPr>
        <w:rFonts w:ascii="Courier New" w:hAnsi="Courier New" w:hint="default"/>
      </w:rPr>
    </w:lvl>
    <w:lvl w:ilvl="8" w:tplc="46C42D7A">
      <w:start w:val="1"/>
      <w:numFmt w:val="bullet"/>
      <w:lvlText w:val=""/>
      <w:lvlJc w:val="left"/>
      <w:pPr>
        <w:ind w:left="7188" w:hanging="360"/>
      </w:pPr>
      <w:rPr>
        <w:rFonts w:ascii="Wingdings" w:hAnsi="Wingdings" w:hint="default"/>
      </w:rPr>
    </w:lvl>
  </w:abstractNum>
  <w:abstractNum w:abstractNumId="5" w15:restartNumberingAfterBreak="0">
    <w:nsid w:val="12CE21AC"/>
    <w:multiLevelType w:val="hybridMultilevel"/>
    <w:tmpl w:val="485C76B0"/>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281CAF"/>
    <w:multiLevelType w:val="hybridMultilevel"/>
    <w:tmpl w:val="5EC2D646"/>
    <w:lvl w:ilvl="0" w:tplc="F5428F34">
      <w:start w:val="1"/>
      <w:numFmt w:val="decimal"/>
      <w:lvlText w:val="%1"/>
      <w:lvlJc w:val="left"/>
      <w:pPr>
        <w:ind w:left="720" w:hanging="360"/>
      </w:pPr>
    </w:lvl>
    <w:lvl w:ilvl="1" w:tplc="237CC362">
      <w:start w:val="1"/>
      <w:numFmt w:val="lowerLetter"/>
      <w:lvlText w:val="%2."/>
      <w:lvlJc w:val="left"/>
      <w:pPr>
        <w:ind w:left="1440" w:hanging="360"/>
      </w:pPr>
    </w:lvl>
    <w:lvl w:ilvl="2" w:tplc="FB9666CA">
      <w:start w:val="1"/>
      <w:numFmt w:val="lowerRoman"/>
      <w:lvlText w:val="%3."/>
      <w:lvlJc w:val="right"/>
      <w:pPr>
        <w:ind w:left="2160" w:hanging="180"/>
      </w:pPr>
    </w:lvl>
    <w:lvl w:ilvl="3" w:tplc="C5B8BC6E">
      <w:start w:val="1"/>
      <w:numFmt w:val="decimal"/>
      <w:lvlText w:val="%4."/>
      <w:lvlJc w:val="left"/>
      <w:pPr>
        <w:ind w:left="2880" w:hanging="360"/>
      </w:pPr>
    </w:lvl>
    <w:lvl w:ilvl="4" w:tplc="6F188568">
      <w:start w:val="1"/>
      <w:numFmt w:val="lowerLetter"/>
      <w:lvlText w:val="%5."/>
      <w:lvlJc w:val="left"/>
      <w:pPr>
        <w:ind w:left="3600" w:hanging="360"/>
      </w:pPr>
    </w:lvl>
    <w:lvl w:ilvl="5" w:tplc="63A4F14C">
      <w:start w:val="1"/>
      <w:numFmt w:val="lowerRoman"/>
      <w:lvlText w:val="%6."/>
      <w:lvlJc w:val="right"/>
      <w:pPr>
        <w:ind w:left="4320" w:hanging="180"/>
      </w:pPr>
    </w:lvl>
    <w:lvl w:ilvl="6" w:tplc="8132F78E">
      <w:start w:val="1"/>
      <w:numFmt w:val="decimal"/>
      <w:lvlText w:val="%7."/>
      <w:lvlJc w:val="left"/>
      <w:pPr>
        <w:ind w:left="5040" w:hanging="360"/>
      </w:pPr>
    </w:lvl>
    <w:lvl w:ilvl="7" w:tplc="B238C4BA">
      <w:start w:val="1"/>
      <w:numFmt w:val="lowerLetter"/>
      <w:lvlText w:val="%8."/>
      <w:lvlJc w:val="left"/>
      <w:pPr>
        <w:ind w:left="5760" w:hanging="360"/>
      </w:pPr>
    </w:lvl>
    <w:lvl w:ilvl="8" w:tplc="97D6706E">
      <w:start w:val="1"/>
      <w:numFmt w:val="lowerRoman"/>
      <w:lvlText w:val="%9."/>
      <w:lvlJc w:val="right"/>
      <w:pPr>
        <w:ind w:left="6480" w:hanging="180"/>
      </w:pPr>
    </w:lvl>
  </w:abstractNum>
  <w:abstractNum w:abstractNumId="7" w15:restartNumberingAfterBreak="0">
    <w:nsid w:val="1C191E5B"/>
    <w:multiLevelType w:val="multilevel"/>
    <w:tmpl w:val="98A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729DA"/>
    <w:multiLevelType w:val="hybridMultilevel"/>
    <w:tmpl w:val="E77C01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B23498"/>
    <w:multiLevelType w:val="hybridMultilevel"/>
    <w:tmpl w:val="A2FE580C"/>
    <w:lvl w:ilvl="0" w:tplc="194CE07C">
      <w:start w:val="8"/>
      <w:numFmt w:val="decimal"/>
      <w:lvlText w:val="%1)"/>
      <w:lvlJc w:val="left"/>
      <w:pPr>
        <w:ind w:left="720" w:hanging="360"/>
      </w:pPr>
      <w:rPr>
        <w:rFonts w:eastAsia="Verdana" w:cs="Verdana"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CF3161"/>
    <w:multiLevelType w:val="hybridMultilevel"/>
    <w:tmpl w:val="27C893D8"/>
    <w:lvl w:ilvl="0" w:tplc="307A1682">
      <w:start w:val="1"/>
      <w:numFmt w:val="bullet"/>
      <w:lvlText w:val=""/>
      <w:lvlJc w:val="left"/>
      <w:pPr>
        <w:ind w:left="720" w:hanging="360"/>
      </w:pPr>
      <w:rPr>
        <w:rFonts w:ascii="Symbol" w:hAnsi="Symbol" w:hint="default"/>
      </w:rPr>
    </w:lvl>
    <w:lvl w:ilvl="1" w:tplc="C418845E">
      <w:start w:val="1"/>
      <w:numFmt w:val="bullet"/>
      <w:lvlText w:val="o"/>
      <w:lvlJc w:val="left"/>
      <w:pPr>
        <w:ind w:left="1440" w:hanging="360"/>
      </w:pPr>
      <w:rPr>
        <w:rFonts w:ascii="Courier New" w:hAnsi="Courier New" w:hint="default"/>
      </w:rPr>
    </w:lvl>
    <w:lvl w:ilvl="2" w:tplc="7A048038">
      <w:start w:val="1"/>
      <w:numFmt w:val="bullet"/>
      <w:lvlText w:val=""/>
      <w:lvlJc w:val="left"/>
      <w:pPr>
        <w:ind w:left="2160" w:hanging="360"/>
      </w:pPr>
      <w:rPr>
        <w:rFonts w:ascii="Wingdings" w:hAnsi="Wingdings" w:hint="default"/>
      </w:rPr>
    </w:lvl>
    <w:lvl w:ilvl="3" w:tplc="65283F88">
      <w:start w:val="1"/>
      <w:numFmt w:val="bullet"/>
      <w:lvlText w:val=""/>
      <w:lvlJc w:val="left"/>
      <w:pPr>
        <w:ind w:left="2880" w:hanging="360"/>
      </w:pPr>
      <w:rPr>
        <w:rFonts w:ascii="Symbol" w:hAnsi="Symbol" w:hint="default"/>
      </w:rPr>
    </w:lvl>
    <w:lvl w:ilvl="4" w:tplc="D284B994">
      <w:start w:val="1"/>
      <w:numFmt w:val="bullet"/>
      <w:lvlText w:val="o"/>
      <w:lvlJc w:val="left"/>
      <w:pPr>
        <w:ind w:left="3600" w:hanging="360"/>
      </w:pPr>
      <w:rPr>
        <w:rFonts w:ascii="Courier New" w:hAnsi="Courier New" w:hint="default"/>
      </w:rPr>
    </w:lvl>
    <w:lvl w:ilvl="5" w:tplc="1CF4324E">
      <w:start w:val="1"/>
      <w:numFmt w:val="bullet"/>
      <w:lvlText w:val=""/>
      <w:lvlJc w:val="left"/>
      <w:pPr>
        <w:ind w:left="4320" w:hanging="360"/>
      </w:pPr>
      <w:rPr>
        <w:rFonts w:ascii="Wingdings" w:hAnsi="Wingdings" w:hint="default"/>
      </w:rPr>
    </w:lvl>
    <w:lvl w:ilvl="6" w:tplc="391C3A0A">
      <w:start w:val="1"/>
      <w:numFmt w:val="bullet"/>
      <w:lvlText w:val=""/>
      <w:lvlJc w:val="left"/>
      <w:pPr>
        <w:ind w:left="5040" w:hanging="360"/>
      </w:pPr>
      <w:rPr>
        <w:rFonts w:ascii="Symbol" w:hAnsi="Symbol" w:hint="default"/>
      </w:rPr>
    </w:lvl>
    <w:lvl w:ilvl="7" w:tplc="0F64F2FE">
      <w:start w:val="1"/>
      <w:numFmt w:val="bullet"/>
      <w:lvlText w:val="o"/>
      <w:lvlJc w:val="left"/>
      <w:pPr>
        <w:ind w:left="5760" w:hanging="360"/>
      </w:pPr>
      <w:rPr>
        <w:rFonts w:ascii="Courier New" w:hAnsi="Courier New" w:hint="default"/>
      </w:rPr>
    </w:lvl>
    <w:lvl w:ilvl="8" w:tplc="9342ADB8">
      <w:start w:val="1"/>
      <w:numFmt w:val="bullet"/>
      <w:lvlText w:val=""/>
      <w:lvlJc w:val="left"/>
      <w:pPr>
        <w:ind w:left="6480" w:hanging="360"/>
      </w:pPr>
      <w:rPr>
        <w:rFonts w:ascii="Wingdings" w:hAnsi="Wingdings" w:hint="default"/>
      </w:rPr>
    </w:lvl>
  </w:abstractNum>
  <w:abstractNum w:abstractNumId="13" w15:restartNumberingAfterBreak="0">
    <w:nsid w:val="36C14635"/>
    <w:multiLevelType w:val="hybridMultilevel"/>
    <w:tmpl w:val="C2B06E64"/>
    <w:lvl w:ilvl="0" w:tplc="B016D9F2">
      <w:start w:val="5"/>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114A84"/>
    <w:multiLevelType w:val="hybridMultilevel"/>
    <w:tmpl w:val="C0609C3E"/>
    <w:lvl w:ilvl="0" w:tplc="A17A4194">
      <w:start w:val="1"/>
      <w:numFmt w:val="bullet"/>
      <w:lvlText w:val=""/>
      <w:lvlJc w:val="left"/>
      <w:pPr>
        <w:ind w:left="720" w:hanging="360"/>
      </w:pPr>
      <w:rPr>
        <w:rFonts w:ascii="Symbol" w:hAnsi="Symbol" w:hint="default"/>
      </w:rPr>
    </w:lvl>
    <w:lvl w:ilvl="1" w:tplc="3664F48C">
      <w:start w:val="1"/>
      <w:numFmt w:val="bullet"/>
      <w:lvlText w:val="o"/>
      <w:lvlJc w:val="left"/>
      <w:pPr>
        <w:ind w:left="1440" w:hanging="360"/>
      </w:pPr>
      <w:rPr>
        <w:rFonts w:ascii="Courier New" w:hAnsi="Courier New" w:hint="default"/>
      </w:rPr>
    </w:lvl>
    <w:lvl w:ilvl="2" w:tplc="2BC21836">
      <w:start w:val="1"/>
      <w:numFmt w:val="bullet"/>
      <w:lvlText w:val=""/>
      <w:lvlJc w:val="left"/>
      <w:pPr>
        <w:ind w:left="2160" w:hanging="360"/>
      </w:pPr>
      <w:rPr>
        <w:rFonts w:ascii="Wingdings" w:hAnsi="Wingdings" w:hint="default"/>
      </w:rPr>
    </w:lvl>
    <w:lvl w:ilvl="3" w:tplc="32AAEF68">
      <w:start w:val="1"/>
      <w:numFmt w:val="bullet"/>
      <w:lvlText w:val=""/>
      <w:lvlJc w:val="left"/>
      <w:pPr>
        <w:ind w:left="2880" w:hanging="360"/>
      </w:pPr>
      <w:rPr>
        <w:rFonts w:ascii="Symbol" w:hAnsi="Symbol" w:hint="default"/>
      </w:rPr>
    </w:lvl>
    <w:lvl w:ilvl="4" w:tplc="F36C05C8">
      <w:start w:val="1"/>
      <w:numFmt w:val="bullet"/>
      <w:lvlText w:val="o"/>
      <w:lvlJc w:val="left"/>
      <w:pPr>
        <w:ind w:left="3600" w:hanging="360"/>
      </w:pPr>
      <w:rPr>
        <w:rFonts w:ascii="Courier New" w:hAnsi="Courier New" w:hint="default"/>
      </w:rPr>
    </w:lvl>
    <w:lvl w:ilvl="5" w:tplc="4AF8689E">
      <w:start w:val="1"/>
      <w:numFmt w:val="bullet"/>
      <w:lvlText w:val=""/>
      <w:lvlJc w:val="left"/>
      <w:pPr>
        <w:ind w:left="4320" w:hanging="360"/>
      </w:pPr>
      <w:rPr>
        <w:rFonts w:ascii="Wingdings" w:hAnsi="Wingdings" w:hint="default"/>
      </w:rPr>
    </w:lvl>
    <w:lvl w:ilvl="6" w:tplc="D8E2CE50">
      <w:start w:val="1"/>
      <w:numFmt w:val="bullet"/>
      <w:lvlText w:val=""/>
      <w:lvlJc w:val="left"/>
      <w:pPr>
        <w:ind w:left="5040" w:hanging="360"/>
      </w:pPr>
      <w:rPr>
        <w:rFonts w:ascii="Symbol" w:hAnsi="Symbol" w:hint="default"/>
      </w:rPr>
    </w:lvl>
    <w:lvl w:ilvl="7" w:tplc="64C0840E">
      <w:start w:val="1"/>
      <w:numFmt w:val="bullet"/>
      <w:lvlText w:val="o"/>
      <w:lvlJc w:val="left"/>
      <w:pPr>
        <w:ind w:left="5760" w:hanging="360"/>
      </w:pPr>
      <w:rPr>
        <w:rFonts w:ascii="Courier New" w:hAnsi="Courier New" w:hint="default"/>
      </w:rPr>
    </w:lvl>
    <w:lvl w:ilvl="8" w:tplc="70DC3328">
      <w:start w:val="1"/>
      <w:numFmt w:val="bullet"/>
      <w:lvlText w:val=""/>
      <w:lvlJc w:val="left"/>
      <w:pPr>
        <w:ind w:left="6480" w:hanging="360"/>
      </w:pPr>
      <w:rPr>
        <w:rFonts w:ascii="Wingdings" w:hAnsi="Wingdings" w:hint="default"/>
      </w:rPr>
    </w:lvl>
  </w:abstractNum>
  <w:abstractNum w:abstractNumId="15"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03F6725"/>
    <w:multiLevelType w:val="hybridMultilevel"/>
    <w:tmpl w:val="60DA0764"/>
    <w:lvl w:ilvl="0" w:tplc="F746EF88">
      <w:start w:val="45"/>
      <w:numFmt w:val="decimal"/>
      <w:lvlText w:val="%1."/>
      <w:lvlJc w:val="left"/>
      <w:pPr>
        <w:ind w:left="720" w:hanging="360"/>
      </w:pPr>
    </w:lvl>
    <w:lvl w:ilvl="1" w:tplc="BC545CBA">
      <w:start w:val="1"/>
      <w:numFmt w:val="lowerLetter"/>
      <w:lvlText w:val="%2."/>
      <w:lvlJc w:val="left"/>
      <w:pPr>
        <w:ind w:left="1440" w:hanging="360"/>
      </w:pPr>
    </w:lvl>
    <w:lvl w:ilvl="2" w:tplc="CD001DA8">
      <w:start w:val="1"/>
      <w:numFmt w:val="lowerRoman"/>
      <w:lvlText w:val="%3."/>
      <w:lvlJc w:val="right"/>
      <w:pPr>
        <w:ind w:left="2160" w:hanging="180"/>
      </w:pPr>
    </w:lvl>
    <w:lvl w:ilvl="3" w:tplc="0EF66482">
      <w:start w:val="1"/>
      <w:numFmt w:val="decimal"/>
      <w:lvlText w:val="%4."/>
      <w:lvlJc w:val="left"/>
      <w:pPr>
        <w:ind w:left="2880" w:hanging="360"/>
      </w:pPr>
    </w:lvl>
    <w:lvl w:ilvl="4" w:tplc="4C1AFE70">
      <w:start w:val="1"/>
      <w:numFmt w:val="lowerLetter"/>
      <w:lvlText w:val="%5."/>
      <w:lvlJc w:val="left"/>
      <w:pPr>
        <w:ind w:left="3600" w:hanging="360"/>
      </w:pPr>
    </w:lvl>
    <w:lvl w:ilvl="5" w:tplc="994A3108">
      <w:start w:val="1"/>
      <w:numFmt w:val="lowerRoman"/>
      <w:lvlText w:val="%6."/>
      <w:lvlJc w:val="right"/>
      <w:pPr>
        <w:ind w:left="4320" w:hanging="180"/>
      </w:pPr>
    </w:lvl>
    <w:lvl w:ilvl="6" w:tplc="8A008656">
      <w:start w:val="1"/>
      <w:numFmt w:val="decimal"/>
      <w:lvlText w:val="%7."/>
      <w:lvlJc w:val="left"/>
      <w:pPr>
        <w:ind w:left="5040" w:hanging="360"/>
      </w:pPr>
    </w:lvl>
    <w:lvl w:ilvl="7" w:tplc="3C1C7152">
      <w:start w:val="1"/>
      <w:numFmt w:val="lowerLetter"/>
      <w:lvlText w:val="%8."/>
      <w:lvlJc w:val="left"/>
      <w:pPr>
        <w:ind w:left="5760" w:hanging="360"/>
      </w:pPr>
    </w:lvl>
    <w:lvl w:ilvl="8" w:tplc="F768E9C8">
      <w:start w:val="1"/>
      <w:numFmt w:val="lowerRoman"/>
      <w:lvlText w:val="%9."/>
      <w:lvlJc w:val="right"/>
      <w:pPr>
        <w:ind w:left="6480" w:hanging="180"/>
      </w:pPr>
    </w:lvl>
  </w:abstractNum>
  <w:abstractNum w:abstractNumId="17" w15:restartNumberingAfterBreak="0">
    <w:nsid w:val="43445C2D"/>
    <w:multiLevelType w:val="hybridMultilevel"/>
    <w:tmpl w:val="A29E0ACA"/>
    <w:lvl w:ilvl="0" w:tplc="40964828">
      <w:start w:val="1"/>
      <w:numFmt w:val="lowerLetter"/>
      <w:lvlText w:val="%1)"/>
      <w:lvlJc w:val="left"/>
      <w:pPr>
        <w:ind w:left="360" w:hanging="360"/>
      </w:pPr>
      <w:rPr>
        <w:rFonts w:ascii="Verdana" w:hAnsi="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780508"/>
    <w:multiLevelType w:val="hybridMultilevel"/>
    <w:tmpl w:val="518CBBAA"/>
    <w:lvl w:ilvl="0" w:tplc="E3640FFE">
      <w:start w:val="1"/>
      <w:numFmt w:val="bullet"/>
      <w:lvlText w:val=""/>
      <w:lvlJc w:val="left"/>
      <w:pPr>
        <w:ind w:left="720" w:hanging="360"/>
      </w:pPr>
      <w:rPr>
        <w:rFonts w:ascii="Symbol" w:hAnsi="Symbol" w:hint="default"/>
      </w:rPr>
    </w:lvl>
    <w:lvl w:ilvl="1" w:tplc="06122B74">
      <w:start w:val="1"/>
      <w:numFmt w:val="bullet"/>
      <w:lvlText w:val="o"/>
      <w:lvlJc w:val="left"/>
      <w:pPr>
        <w:ind w:left="1440" w:hanging="360"/>
      </w:pPr>
      <w:rPr>
        <w:rFonts w:ascii="Courier New" w:hAnsi="Courier New" w:hint="default"/>
      </w:rPr>
    </w:lvl>
    <w:lvl w:ilvl="2" w:tplc="74820024">
      <w:start w:val="1"/>
      <w:numFmt w:val="bullet"/>
      <w:lvlText w:val=""/>
      <w:lvlJc w:val="left"/>
      <w:pPr>
        <w:ind w:left="2160" w:hanging="360"/>
      </w:pPr>
      <w:rPr>
        <w:rFonts w:ascii="Wingdings" w:hAnsi="Wingdings" w:hint="default"/>
      </w:rPr>
    </w:lvl>
    <w:lvl w:ilvl="3" w:tplc="E6B080DA">
      <w:start w:val="1"/>
      <w:numFmt w:val="bullet"/>
      <w:lvlText w:val=""/>
      <w:lvlJc w:val="left"/>
      <w:pPr>
        <w:ind w:left="2880" w:hanging="360"/>
      </w:pPr>
      <w:rPr>
        <w:rFonts w:ascii="Symbol" w:hAnsi="Symbol" w:hint="default"/>
      </w:rPr>
    </w:lvl>
    <w:lvl w:ilvl="4" w:tplc="B9EAE38E">
      <w:start w:val="1"/>
      <w:numFmt w:val="bullet"/>
      <w:lvlText w:val="o"/>
      <w:lvlJc w:val="left"/>
      <w:pPr>
        <w:ind w:left="3600" w:hanging="360"/>
      </w:pPr>
      <w:rPr>
        <w:rFonts w:ascii="Courier New" w:hAnsi="Courier New" w:hint="default"/>
      </w:rPr>
    </w:lvl>
    <w:lvl w:ilvl="5" w:tplc="6D32903C">
      <w:start w:val="1"/>
      <w:numFmt w:val="bullet"/>
      <w:lvlText w:val=""/>
      <w:lvlJc w:val="left"/>
      <w:pPr>
        <w:ind w:left="4320" w:hanging="360"/>
      </w:pPr>
      <w:rPr>
        <w:rFonts w:ascii="Wingdings" w:hAnsi="Wingdings" w:hint="default"/>
      </w:rPr>
    </w:lvl>
    <w:lvl w:ilvl="6" w:tplc="B4243C3A">
      <w:start w:val="1"/>
      <w:numFmt w:val="bullet"/>
      <w:lvlText w:val=""/>
      <w:lvlJc w:val="left"/>
      <w:pPr>
        <w:ind w:left="5040" w:hanging="360"/>
      </w:pPr>
      <w:rPr>
        <w:rFonts w:ascii="Symbol" w:hAnsi="Symbol" w:hint="default"/>
      </w:rPr>
    </w:lvl>
    <w:lvl w:ilvl="7" w:tplc="CD84DE10">
      <w:start w:val="1"/>
      <w:numFmt w:val="bullet"/>
      <w:lvlText w:val="o"/>
      <w:lvlJc w:val="left"/>
      <w:pPr>
        <w:ind w:left="5760" w:hanging="360"/>
      </w:pPr>
      <w:rPr>
        <w:rFonts w:ascii="Courier New" w:hAnsi="Courier New" w:hint="default"/>
      </w:rPr>
    </w:lvl>
    <w:lvl w:ilvl="8" w:tplc="9766C8BE">
      <w:start w:val="1"/>
      <w:numFmt w:val="bullet"/>
      <w:lvlText w:val=""/>
      <w:lvlJc w:val="left"/>
      <w:pPr>
        <w:ind w:left="6480" w:hanging="360"/>
      </w:pPr>
      <w:rPr>
        <w:rFonts w:ascii="Wingdings" w:hAnsi="Wingdings" w:hint="default"/>
      </w:rPr>
    </w:lvl>
  </w:abstractNum>
  <w:abstractNum w:abstractNumId="19" w15:restartNumberingAfterBreak="0">
    <w:nsid w:val="46D17A39"/>
    <w:multiLevelType w:val="hybridMultilevel"/>
    <w:tmpl w:val="809C88DE"/>
    <w:lvl w:ilvl="0" w:tplc="4B3232C2">
      <w:start w:val="1"/>
      <w:numFmt w:val="bullet"/>
      <w:lvlText w:val=""/>
      <w:lvlJc w:val="left"/>
      <w:pPr>
        <w:ind w:left="1020" w:hanging="360"/>
      </w:pPr>
      <w:rPr>
        <w:rFonts w:ascii="Symbol" w:hAnsi="Symbol"/>
      </w:rPr>
    </w:lvl>
    <w:lvl w:ilvl="1" w:tplc="BD9CB3B0">
      <w:start w:val="1"/>
      <w:numFmt w:val="bullet"/>
      <w:lvlText w:val=""/>
      <w:lvlJc w:val="left"/>
      <w:pPr>
        <w:ind w:left="1020" w:hanging="360"/>
      </w:pPr>
      <w:rPr>
        <w:rFonts w:ascii="Symbol" w:hAnsi="Symbol"/>
      </w:rPr>
    </w:lvl>
    <w:lvl w:ilvl="2" w:tplc="E3B63A9A">
      <w:start w:val="1"/>
      <w:numFmt w:val="bullet"/>
      <w:lvlText w:val=""/>
      <w:lvlJc w:val="left"/>
      <w:pPr>
        <w:ind w:left="1020" w:hanging="360"/>
      </w:pPr>
      <w:rPr>
        <w:rFonts w:ascii="Symbol" w:hAnsi="Symbol"/>
      </w:rPr>
    </w:lvl>
    <w:lvl w:ilvl="3" w:tplc="97C27804">
      <w:start w:val="1"/>
      <w:numFmt w:val="bullet"/>
      <w:lvlText w:val=""/>
      <w:lvlJc w:val="left"/>
      <w:pPr>
        <w:ind w:left="1020" w:hanging="360"/>
      </w:pPr>
      <w:rPr>
        <w:rFonts w:ascii="Symbol" w:hAnsi="Symbol"/>
      </w:rPr>
    </w:lvl>
    <w:lvl w:ilvl="4" w:tplc="9BCEC436">
      <w:start w:val="1"/>
      <w:numFmt w:val="bullet"/>
      <w:lvlText w:val=""/>
      <w:lvlJc w:val="left"/>
      <w:pPr>
        <w:ind w:left="1020" w:hanging="360"/>
      </w:pPr>
      <w:rPr>
        <w:rFonts w:ascii="Symbol" w:hAnsi="Symbol"/>
      </w:rPr>
    </w:lvl>
    <w:lvl w:ilvl="5" w:tplc="F40C2AD8">
      <w:start w:val="1"/>
      <w:numFmt w:val="bullet"/>
      <w:lvlText w:val=""/>
      <w:lvlJc w:val="left"/>
      <w:pPr>
        <w:ind w:left="1020" w:hanging="360"/>
      </w:pPr>
      <w:rPr>
        <w:rFonts w:ascii="Symbol" w:hAnsi="Symbol"/>
      </w:rPr>
    </w:lvl>
    <w:lvl w:ilvl="6" w:tplc="09ECF312">
      <w:start w:val="1"/>
      <w:numFmt w:val="bullet"/>
      <w:lvlText w:val=""/>
      <w:lvlJc w:val="left"/>
      <w:pPr>
        <w:ind w:left="1020" w:hanging="360"/>
      </w:pPr>
      <w:rPr>
        <w:rFonts w:ascii="Symbol" w:hAnsi="Symbol"/>
      </w:rPr>
    </w:lvl>
    <w:lvl w:ilvl="7" w:tplc="809C3EFA">
      <w:start w:val="1"/>
      <w:numFmt w:val="bullet"/>
      <w:lvlText w:val=""/>
      <w:lvlJc w:val="left"/>
      <w:pPr>
        <w:ind w:left="1020" w:hanging="360"/>
      </w:pPr>
      <w:rPr>
        <w:rFonts w:ascii="Symbol" w:hAnsi="Symbol"/>
      </w:rPr>
    </w:lvl>
    <w:lvl w:ilvl="8" w:tplc="924CDCE4">
      <w:start w:val="1"/>
      <w:numFmt w:val="bullet"/>
      <w:lvlText w:val=""/>
      <w:lvlJc w:val="left"/>
      <w:pPr>
        <w:ind w:left="1020" w:hanging="360"/>
      </w:pPr>
      <w:rPr>
        <w:rFonts w:ascii="Symbol" w:hAnsi="Symbol"/>
      </w:rPr>
    </w:lvl>
  </w:abstractNum>
  <w:abstractNum w:abstractNumId="20"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1" w15:restartNumberingAfterBreak="0">
    <w:nsid w:val="4A294B46"/>
    <w:multiLevelType w:val="hybridMultilevel"/>
    <w:tmpl w:val="E4F63D34"/>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7B2E78"/>
    <w:multiLevelType w:val="hybridMultilevel"/>
    <w:tmpl w:val="DFF8C19C"/>
    <w:lvl w:ilvl="0" w:tplc="CEB8DFF2">
      <w:start w:val="3"/>
      <w:numFmt w:val="decimal"/>
      <w:lvlText w:val="%1."/>
      <w:lvlJc w:val="left"/>
      <w:pPr>
        <w:ind w:left="36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2B7A9E"/>
    <w:multiLevelType w:val="hybridMultilevel"/>
    <w:tmpl w:val="808AA25E"/>
    <w:lvl w:ilvl="0" w:tplc="733AFDFC">
      <w:start w:val="43"/>
      <w:numFmt w:val="decimal"/>
      <w:lvlText w:val="%1."/>
      <w:lvlJc w:val="left"/>
      <w:pPr>
        <w:ind w:left="720" w:hanging="360"/>
      </w:pPr>
    </w:lvl>
    <w:lvl w:ilvl="1" w:tplc="3F8407D8">
      <w:start w:val="1"/>
      <w:numFmt w:val="lowerLetter"/>
      <w:lvlText w:val="%2."/>
      <w:lvlJc w:val="left"/>
      <w:pPr>
        <w:ind w:left="1440" w:hanging="360"/>
      </w:pPr>
    </w:lvl>
    <w:lvl w:ilvl="2" w:tplc="2F986B46">
      <w:start w:val="1"/>
      <w:numFmt w:val="lowerRoman"/>
      <w:lvlText w:val="%3."/>
      <w:lvlJc w:val="right"/>
      <w:pPr>
        <w:ind w:left="2160" w:hanging="180"/>
      </w:pPr>
    </w:lvl>
    <w:lvl w:ilvl="3" w:tplc="C65686B0">
      <w:start w:val="1"/>
      <w:numFmt w:val="decimal"/>
      <w:lvlText w:val="%4."/>
      <w:lvlJc w:val="left"/>
      <w:pPr>
        <w:ind w:left="2880" w:hanging="360"/>
      </w:pPr>
    </w:lvl>
    <w:lvl w:ilvl="4" w:tplc="6E180D2C">
      <w:start w:val="1"/>
      <w:numFmt w:val="lowerLetter"/>
      <w:lvlText w:val="%5."/>
      <w:lvlJc w:val="left"/>
      <w:pPr>
        <w:ind w:left="3600" w:hanging="360"/>
      </w:pPr>
    </w:lvl>
    <w:lvl w:ilvl="5" w:tplc="B3623390">
      <w:start w:val="1"/>
      <w:numFmt w:val="lowerRoman"/>
      <w:lvlText w:val="%6."/>
      <w:lvlJc w:val="right"/>
      <w:pPr>
        <w:ind w:left="4320" w:hanging="180"/>
      </w:pPr>
    </w:lvl>
    <w:lvl w:ilvl="6" w:tplc="9E26C958">
      <w:start w:val="1"/>
      <w:numFmt w:val="decimal"/>
      <w:lvlText w:val="%7."/>
      <w:lvlJc w:val="left"/>
      <w:pPr>
        <w:ind w:left="5040" w:hanging="360"/>
      </w:pPr>
    </w:lvl>
    <w:lvl w:ilvl="7" w:tplc="C9D0B3CC">
      <w:start w:val="1"/>
      <w:numFmt w:val="lowerLetter"/>
      <w:lvlText w:val="%8."/>
      <w:lvlJc w:val="left"/>
      <w:pPr>
        <w:ind w:left="5760" w:hanging="360"/>
      </w:pPr>
    </w:lvl>
    <w:lvl w:ilvl="8" w:tplc="4A86802C">
      <w:start w:val="1"/>
      <w:numFmt w:val="lowerRoman"/>
      <w:lvlText w:val="%9."/>
      <w:lvlJc w:val="right"/>
      <w:pPr>
        <w:ind w:left="6480" w:hanging="180"/>
      </w:pPr>
    </w:lvl>
  </w:abstractNum>
  <w:abstractNum w:abstractNumId="24" w15:restartNumberingAfterBreak="0">
    <w:nsid w:val="53861062"/>
    <w:multiLevelType w:val="hybridMultilevel"/>
    <w:tmpl w:val="60BC75DE"/>
    <w:lvl w:ilvl="0" w:tplc="5D54FA28">
      <w:start w:val="100"/>
      <w:numFmt w:val="lowerRoman"/>
      <w:lvlText w:val="%1."/>
      <w:lvlJc w:val="left"/>
      <w:pPr>
        <w:ind w:left="720" w:hanging="360"/>
      </w:pPr>
    </w:lvl>
    <w:lvl w:ilvl="1" w:tplc="56C64492">
      <w:start w:val="1"/>
      <w:numFmt w:val="lowerLetter"/>
      <w:lvlText w:val="%2."/>
      <w:lvlJc w:val="left"/>
      <w:pPr>
        <w:ind w:left="1440" w:hanging="360"/>
      </w:pPr>
    </w:lvl>
    <w:lvl w:ilvl="2" w:tplc="FD809A4E">
      <w:start w:val="1"/>
      <w:numFmt w:val="lowerRoman"/>
      <w:lvlText w:val="%3."/>
      <w:lvlJc w:val="right"/>
      <w:pPr>
        <w:ind w:left="2160" w:hanging="180"/>
      </w:pPr>
    </w:lvl>
    <w:lvl w:ilvl="3" w:tplc="11B6BC9A">
      <w:start w:val="1"/>
      <w:numFmt w:val="decimal"/>
      <w:lvlText w:val="%4."/>
      <w:lvlJc w:val="left"/>
      <w:pPr>
        <w:ind w:left="2880" w:hanging="360"/>
      </w:pPr>
    </w:lvl>
    <w:lvl w:ilvl="4" w:tplc="EEA83CDE">
      <w:start w:val="1"/>
      <w:numFmt w:val="lowerLetter"/>
      <w:lvlText w:val="%5."/>
      <w:lvlJc w:val="left"/>
      <w:pPr>
        <w:ind w:left="3600" w:hanging="360"/>
      </w:pPr>
    </w:lvl>
    <w:lvl w:ilvl="5" w:tplc="9D764C72">
      <w:start w:val="1"/>
      <w:numFmt w:val="lowerRoman"/>
      <w:lvlText w:val="%6."/>
      <w:lvlJc w:val="right"/>
      <w:pPr>
        <w:ind w:left="4320" w:hanging="180"/>
      </w:pPr>
    </w:lvl>
    <w:lvl w:ilvl="6" w:tplc="40EE34E6">
      <w:start w:val="1"/>
      <w:numFmt w:val="decimal"/>
      <w:lvlText w:val="%7."/>
      <w:lvlJc w:val="left"/>
      <w:pPr>
        <w:ind w:left="5040" w:hanging="360"/>
      </w:pPr>
    </w:lvl>
    <w:lvl w:ilvl="7" w:tplc="AF7EFB7C">
      <w:start w:val="1"/>
      <w:numFmt w:val="lowerLetter"/>
      <w:lvlText w:val="%8."/>
      <w:lvlJc w:val="left"/>
      <w:pPr>
        <w:ind w:left="5760" w:hanging="360"/>
      </w:pPr>
    </w:lvl>
    <w:lvl w:ilvl="8" w:tplc="57FE45A6">
      <w:start w:val="1"/>
      <w:numFmt w:val="lowerRoman"/>
      <w:lvlText w:val="%9."/>
      <w:lvlJc w:val="right"/>
      <w:pPr>
        <w:ind w:left="6480" w:hanging="180"/>
      </w:pPr>
    </w:lvl>
  </w:abstractNum>
  <w:abstractNum w:abstractNumId="25" w15:restartNumberingAfterBreak="0">
    <w:nsid w:val="561658D6"/>
    <w:multiLevelType w:val="hybridMultilevel"/>
    <w:tmpl w:val="95BE3410"/>
    <w:lvl w:ilvl="0" w:tplc="C2107B00">
      <w:start w:val="1"/>
      <w:numFmt w:val="bullet"/>
      <w:lvlText w:val=""/>
      <w:lvlJc w:val="left"/>
      <w:pPr>
        <w:ind w:left="720" w:hanging="360"/>
      </w:pPr>
      <w:rPr>
        <w:rFonts w:ascii="Symbol" w:hAnsi="Symbol" w:hint="default"/>
      </w:rPr>
    </w:lvl>
    <w:lvl w:ilvl="1" w:tplc="121897E6">
      <w:start w:val="1"/>
      <w:numFmt w:val="bullet"/>
      <w:lvlText w:val="o"/>
      <w:lvlJc w:val="left"/>
      <w:pPr>
        <w:ind w:left="1440" w:hanging="360"/>
      </w:pPr>
      <w:rPr>
        <w:rFonts w:ascii="Courier New" w:hAnsi="Courier New" w:hint="default"/>
      </w:rPr>
    </w:lvl>
    <w:lvl w:ilvl="2" w:tplc="E3B2CD1C">
      <w:start w:val="1"/>
      <w:numFmt w:val="bullet"/>
      <w:lvlText w:val=""/>
      <w:lvlJc w:val="left"/>
      <w:pPr>
        <w:ind w:left="2160" w:hanging="360"/>
      </w:pPr>
      <w:rPr>
        <w:rFonts w:ascii="Wingdings" w:hAnsi="Wingdings" w:hint="default"/>
      </w:rPr>
    </w:lvl>
    <w:lvl w:ilvl="3" w:tplc="671C3D50">
      <w:start w:val="1"/>
      <w:numFmt w:val="bullet"/>
      <w:lvlText w:val=""/>
      <w:lvlJc w:val="left"/>
      <w:pPr>
        <w:ind w:left="2880" w:hanging="360"/>
      </w:pPr>
      <w:rPr>
        <w:rFonts w:ascii="Symbol" w:hAnsi="Symbol" w:hint="default"/>
      </w:rPr>
    </w:lvl>
    <w:lvl w:ilvl="4" w:tplc="91FE20D4">
      <w:start w:val="1"/>
      <w:numFmt w:val="bullet"/>
      <w:lvlText w:val="o"/>
      <w:lvlJc w:val="left"/>
      <w:pPr>
        <w:ind w:left="3600" w:hanging="360"/>
      </w:pPr>
      <w:rPr>
        <w:rFonts w:ascii="Courier New" w:hAnsi="Courier New" w:hint="default"/>
      </w:rPr>
    </w:lvl>
    <w:lvl w:ilvl="5" w:tplc="D3504440">
      <w:start w:val="1"/>
      <w:numFmt w:val="bullet"/>
      <w:lvlText w:val=""/>
      <w:lvlJc w:val="left"/>
      <w:pPr>
        <w:ind w:left="4320" w:hanging="360"/>
      </w:pPr>
      <w:rPr>
        <w:rFonts w:ascii="Wingdings" w:hAnsi="Wingdings" w:hint="default"/>
      </w:rPr>
    </w:lvl>
    <w:lvl w:ilvl="6" w:tplc="D8F6D662">
      <w:start w:val="1"/>
      <w:numFmt w:val="bullet"/>
      <w:lvlText w:val=""/>
      <w:lvlJc w:val="left"/>
      <w:pPr>
        <w:ind w:left="5040" w:hanging="360"/>
      </w:pPr>
      <w:rPr>
        <w:rFonts w:ascii="Symbol" w:hAnsi="Symbol" w:hint="default"/>
      </w:rPr>
    </w:lvl>
    <w:lvl w:ilvl="7" w:tplc="0C821204">
      <w:start w:val="1"/>
      <w:numFmt w:val="bullet"/>
      <w:lvlText w:val="o"/>
      <w:lvlJc w:val="left"/>
      <w:pPr>
        <w:ind w:left="5760" w:hanging="360"/>
      </w:pPr>
      <w:rPr>
        <w:rFonts w:ascii="Courier New" w:hAnsi="Courier New" w:hint="default"/>
      </w:rPr>
    </w:lvl>
    <w:lvl w:ilvl="8" w:tplc="956E065E">
      <w:start w:val="1"/>
      <w:numFmt w:val="bullet"/>
      <w:lvlText w:val=""/>
      <w:lvlJc w:val="left"/>
      <w:pPr>
        <w:ind w:left="6480" w:hanging="360"/>
      </w:pPr>
      <w:rPr>
        <w:rFonts w:ascii="Wingdings" w:hAnsi="Wingdings" w:hint="default"/>
      </w:rPr>
    </w:lvl>
  </w:abstractNum>
  <w:abstractNum w:abstractNumId="26" w15:restartNumberingAfterBreak="0">
    <w:nsid w:val="58F0465B"/>
    <w:multiLevelType w:val="hybridMultilevel"/>
    <w:tmpl w:val="CDAA9E12"/>
    <w:lvl w:ilvl="0" w:tplc="8EF6176A">
      <w:start w:val="1"/>
      <w:numFmt w:val="decimal"/>
      <w:lvlText w:val="%1."/>
      <w:lvlJc w:val="left"/>
      <w:pPr>
        <w:ind w:left="720" w:hanging="360"/>
      </w:pPr>
    </w:lvl>
    <w:lvl w:ilvl="1" w:tplc="9B824600">
      <w:start w:val="1"/>
      <w:numFmt w:val="lowerLetter"/>
      <w:lvlText w:val="%2."/>
      <w:lvlJc w:val="left"/>
      <w:pPr>
        <w:ind w:left="1440" w:hanging="360"/>
      </w:pPr>
    </w:lvl>
    <w:lvl w:ilvl="2" w:tplc="D500E0DE">
      <w:start w:val="1"/>
      <w:numFmt w:val="lowerRoman"/>
      <w:lvlText w:val="%3."/>
      <w:lvlJc w:val="right"/>
      <w:pPr>
        <w:ind w:left="2160" w:hanging="180"/>
      </w:pPr>
    </w:lvl>
    <w:lvl w:ilvl="3" w:tplc="23888842">
      <w:start w:val="1"/>
      <w:numFmt w:val="decimal"/>
      <w:lvlText w:val="%4."/>
      <w:lvlJc w:val="left"/>
      <w:pPr>
        <w:ind w:left="2880" w:hanging="360"/>
      </w:pPr>
    </w:lvl>
    <w:lvl w:ilvl="4" w:tplc="B7221EC2">
      <w:start w:val="1"/>
      <w:numFmt w:val="lowerLetter"/>
      <w:lvlText w:val="%5."/>
      <w:lvlJc w:val="left"/>
      <w:pPr>
        <w:ind w:left="3600" w:hanging="360"/>
      </w:pPr>
    </w:lvl>
    <w:lvl w:ilvl="5" w:tplc="484039D0">
      <w:start w:val="1"/>
      <w:numFmt w:val="lowerRoman"/>
      <w:lvlText w:val="%6."/>
      <w:lvlJc w:val="right"/>
      <w:pPr>
        <w:ind w:left="4320" w:hanging="180"/>
      </w:pPr>
    </w:lvl>
    <w:lvl w:ilvl="6" w:tplc="694CED46">
      <w:start w:val="1"/>
      <w:numFmt w:val="decimal"/>
      <w:lvlText w:val="%7."/>
      <w:lvlJc w:val="left"/>
      <w:pPr>
        <w:ind w:left="5040" w:hanging="360"/>
      </w:pPr>
    </w:lvl>
    <w:lvl w:ilvl="7" w:tplc="1FFEA0A2">
      <w:start w:val="1"/>
      <w:numFmt w:val="lowerLetter"/>
      <w:lvlText w:val="%8."/>
      <w:lvlJc w:val="left"/>
      <w:pPr>
        <w:ind w:left="5760" w:hanging="360"/>
      </w:pPr>
    </w:lvl>
    <w:lvl w:ilvl="8" w:tplc="08E82724">
      <w:start w:val="1"/>
      <w:numFmt w:val="lowerRoman"/>
      <w:lvlText w:val="%9."/>
      <w:lvlJc w:val="right"/>
      <w:pPr>
        <w:ind w:left="6480" w:hanging="180"/>
      </w:pPr>
    </w:lvl>
  </w:abstractNum>
  <w:abstractNum w:abstractNumId="27" w15:restartNumberingAfterBreak="0">
    <w:nsid w:val="59D33F23"/>
    <w:multiLevelType w:val="hybridMultilevel"/>
    <w:tmpl w:val="E7229BC0"/>
    <w:lvl w:ilvl="0" w:tplc="8752ED10">
      <w:start w:val="5"/>
      <w:numFmt w:val="lowerLetter"/>
      <w:lvlText w:val="%1."/>
      <w:lvlJc w:val="left"/>
      <w:pPr>
        <w:ind w:left="720" w:hanging="360"/>
      </w:pPr>
    </w:lvl>
    <w:lvl w:ilvl="1" w:tplc="110660F4">
      <w:start w:val="1"/>
      <w:numFmt w:val="lowerLetter"/>
      <w:lvlText w:val="%2."/>
      <w:lvlJc w:val="left"/>
      <w:pPr>
        <w:ind w:left="1440" w:hanging="360"/>
      </w:pPr>
    </w:lvl>
    <w:lvl w:ilvl="2" w:tplc="0DFCEE10">
      <w:start w:val="1"/>
      <w:numFmt w:val="lowerRoman"/>
      <w:lvlText w:val="%3."/>
      <w:lvlJc w:val="right"/>
      <w:pPr>
        <w:ind w:left="2160" w:hanging="180"/>
      </w:pPr>
    </w:lvl>
    <w:lvl w:ilvl="3" w:tplc="68142234">
      <w:start w:val="1"/>
      <w:numFmt w:val="decimal"/>
      <w:lvlText w:val="%4."/>
      <w:lvlJc w:val="left"/>
      <w:pPr>
        <w:ind w:left="2880" w:hanging="360"/>
      </w:pPr>
    </w:lvl>
    <w:lvl w:ilvl="4" w:tplc="7A3E3992">
      <w:start w:val="1"/>
      <w:numFmt w:val="lowerLetter"/>
      <w:lvlText w:val="%5."/>
      <w:lvlJc w:val="left"/>
      <w:pPr>
        <w:ind w:left="3600" w:hanging="360"/>
      </w:pPr>
    </w:lvl>
    <w:lvl w:ilvl="5" w:tplc="EDF21286">
      <w:start w:val="1"/>
      <w:numFmt w:val="lowerRoman"/>
      <w:lvlText w:val="%6."/>
      <w:lvlJc w:val="right"/>
      <w:pPr>
        <w:ind w:left="4320" w:hanging="180"/>
      </w:pPr>
    </w:lvl>
    <w:lvl w:ilvl="6" w:tplc="E704192C">
      <w:start w:val="1"/>
      <w:numFmt w:val="decimal"/>
      <w:lvlText w:val="%7."/>
      <w:lvlJc w:val="left"/>
      <w:pPr>
        <w:ind w:left="5040" w:hanging="360"/>
      </w:pPr>
    </w:lvl>
    <w:lvl w:ilvl="7" w:tplc="0A50EE38">
      <w:start w:val="1"/>
      <w:numFmt w:val="lowerLetter"/>
      <w:lvlText w:val="%8."/>
      <w:lvlJc w:val="left"/>
      <w:pPr>
        <w:ind w:left="5760" w:hanging="360"/>
      </w:pPr>
    </w:lvl>
    <w:lvl w:ilvl="8" w:tplc="9C944EA8">
      <w:start w:val="1"/>
      <w:numFmt w:val="lowerRoman"/>
      <w:lvlText w:val="%9."/>
      <w:lvlJc w:val="right"/>
      <w:pPr>
        <w:ind w:left="6480" w:hanging="180"/>
      </w:pPr>
    </w:lvl>
  </w:abstractNum>
  <w:abstractNum w:abstractNumId="28" w15:restartNumberingAfterBreak="0">
    <w:nsid w:val="5E411B96"/>
    <w:multiLevelType w:val="hybridMultilevel"/>
    <w:tmpl w:val="18865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30F0D68"/>
    <w:multiLevelType w:val="hybridMultilevel"/>
    <w:tmpl w:val="413CF240"/>
    <w:lvl w:ilvl="0" w:tplc="79F4E63C">
      <w:start w:val="11"/>
      <w:numFmt w:val="decimal"/>
      <w:lvlText w:val="%1."/>
      <w:lvlJc w:val="left"/>
      <w:pPr>
        <w:ind w:left="72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B13386"/>
    <w:multiLevelType w:val="hybridMultilevel"/>
    <w:tmpl w:val="996AF526"/>
    <w:lvl w:ilvl="0" w:tplc="568498B8">
      <w:start w:val="1"/>
      <w:numFmt w:val="bullet"/>
      <w:lvlText w:val=""/>
      <w:lvlJc w:val="left"/>
      <w:pPr>
        <w:ind w:left="720" w:hanging="360"/>
      </w:pPr>
      <w:rPr>
        <w:rFonts w:ascii="Symbol" w:hAnsi="Symbol" w:hint="default"/>
      </w:rPr>
    </w:lvl>
    <w:lvl w:ilvl="1" w:tplc="6F626694">
      <w:start w:val="1"/>
      <w:numFmt w:val="bullet"/>
      <w:lvlText w:val="o"/>
      <w:lvlJc w:val="left"/>
      <w:pPr>
        <w:ind w:left="1440" w:hanging="360"/>
      </w:pPr>
      <w:rPr>
        <w:rFonts w:ascii="Courier New" w:hAnsi="Courier New" w:hint="default"/>
      </w:rPr>
    </w:lvl>
    <w:lvl w:ilvl="2" w:tplc="C158D21E">
      <w:start w:val="1"/>
      <w:numFmt w:val="bullet"/>
      <w:lvlText w:val=""/>
      <w:lvlJc w:val="left"/>
      <w:pPr>
        <w:ind w:left="2160" w:hanging="360"/>
      </w:pPr>
      <w:rPr>
        <w:rFonts w:ascii="Wingdings" w:hAnsi="Wingdings" w:hint="default"/>
      </w:rPr>
    </w:lvl>
    <w:lvl w:ilvl="3" w:tplc="57EEC7A2">
      <w:start w:val="1"/>
      <w:numFmt w:val="bullet"/>
      <w:lvlText w:val=""/>
      <w:lvlJc w:val="left"/>
      <w:pPr>
        <w:ind w:left="2880" w:hanging="360"/>
      </w:pPr>
      <w:rPr>
        <w:rFonts w:ascii="Symbol" w:hAnsi="Symbol" w:hint="default"/>
      </w:rPr>
    </w:lvl>
    <w:lvl w:ilvl="4" w:tplc="3CB432BC">
      <w:start w:val="1"/>
      <w:numFmt w:val="bullet"/>
      <w:lvlText w:val="o"/>
      <w:lvlJc w:val="left"/>
      <w:pPr>
        <w:ind w:left="3600" w:hanging="360"/>
      </w:pPr>
      <w:rPr>
        <w:rFonts w:ascii="Courier New" w:hAnsi="Courier New" w:hint="default"/>
      </w:rPr>
    </w:lvl>
    <w:lvl w:ilvl="5" w:tplc="B08A109A">
      <w:start w:val="1"/>
      <w:numFmt w:val="bullet"/>
      <w:lvlText w:val=""/>
      <w:lvlJc w:val="left"/>
      <w:pPr>
        <w:ind w:left="4320" w:hanging="360"/>
      </w:pPr>
      <w:rPr>
        <w:rFonts w:ascii="Wingdings" w:hAnsi="Wingdings" w:hint="default"/>
      </w:rPr>
    </w:lvl>
    <w:lvl w:ilvl="6" w:tplc="610C65CE">
      <w:start w:val="1"/>
      <w:numFmt w:val="bullet"/>
      <w:lvlText w:val=""/>
      <w:lvlJc w:val="left"/>
      <w:pPr>
        <w:ind w:left="5040" w:hanging="360"/>
      </w:pPr>
      <w:rPr>
        <w:rFonts w:ascii="Symbol" w:hAnsi="Symbol" w:hint="default"/>
      </w:rPr>
    </w:lvl>
    <w:lvl w:ilvl="7" w:tplc="01C4F896">
      <w:start w:val="1"/>
      <w:numFmt w:val="bullet"/>
      <w:lvlText w:val="o"/>
      <w:lvlJc w:val="left"/>
      <w:pPr>
        <w:ind w:left="5760" w:hanging="360"/>
      </w:pPr>
      <w:rPr>
        <w:rFonts w:ascii="Courier New" w:hAnsi="Courier New" w:hint="default"/>
      </w:rPr>
    </w:lvl>
    <w:lvl w:ilvl="8" w:tplc="35DCCB6E">
      <w:start w:val="1"/>
      <w:numFmt w:val="bullet"/>
      <w:lvlText w:val=""/>
      <w:lvlJc w:val="left"/>
      <w:pPr>
        <w:ind w:left="6480" w:hanging="360"/>
      </w:pPr>
      <w:rPr>
        <w:rFonts w:ascii="Wingdings" w:hAnsi="Wingdings" w:hint="default"/>
      </w:rPr>
    </w:lvl>
  </w:abstractNum>
  <w:abstractNum w:abstractNumId="32"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EC6429"/>
    <w:multiLevelType w:val="hybridMultilevel"/>
    <w:tmpl w:val="9AC6070A"/>
    <w:lvl w:ilvl="0" w:tplc="6D2C9454">
      <w:start w:val="1"/>
      <w:numFmt w:val="bullet"/>
      <w:lvlText w:val=""/>
      <w:lvlJc w:val="left"/>
      <w:pPr>
        <w:ind w:left="720" w:hanging="360"/>
      </w:pPr>
      <w:rPr>
        <w:rFonts w:ascii="Symbol" w:hAnsi="Symbol" w:hint="default"/>
      </w:rPr>
    </w:lvl>
    <w:lvl w:ilvl="1" w:tplc="CAD24EE2">
      <w:start w:val="1"/>
      <w:numFmt w:val="bullet"/>
      <w:lvlText w:val="o"/>
      <w:lvlJc w:val="left"/>
      <w:pPr>
        <w:ind w:left="1440" w:hanging="360"/>
      </w:pPr>
      <w:rPr>
        <w:rFonts w:ascii="Courier New" w:hAnsi="Courier New" w:hint="default"/>
      </w:rPr>
    </w:lvl>
    <w:lvl w:ilvl="2" w:tplc="B08A3782">
      <w:start w:val="1"/>
      <w:numFmt w:val="bullet"/>
      <w:lvlText w:val=""/>
      <w:lvlJc w:val="left"/>
      <w:pPr>
        <w:ind w:left="2160" w:hanging="360"/>
      </w:pPr>
      <w:rPr>
        <w:rFonts w:ascii="Wingdings" w:hAnsi="Wingdings" w:hint="default"/>
      </w:rPr>
    </w:lvl>
    <w:lvl w:ilvl="3" w:tplc="C89ED884">
      <w:start w:val="1"/>
      <w:numFmt w:val="bullet"/>
      <w:lvlText w:val=""/>
      <w:lvlJc w:val="left"/>
      <w:pPr>
        <w:ind w:left="2880" w:hanging="360"/>
      </w:pPr>
      <w:rPr>
        <w:rFonts w:ascii="Symbol" w:hAnsi="Symbol" w:hint="default"/>
      </w:rPr>
    </w:lvl>
    <w:lvl w:ilvl="4" w:tplc="BD1C69B0">
      <w:start w:val="1"/>
      <w:numFmt w:val="bullet"/>
      <w:lvlText w:val="o"/>
      <w:lvlJc w:val="left"/>
      <w:pPr>
        <w:ind w:left="3600" w:hanging="360"/>
      </w:pPr>
      <w:rPr>
        <w:rFonts w:ascii="Courier New" w:hAnsi="Courier New" w:hint="default"/>
      </w:rPr>
    </w:lvl>
    <w:lvl w:ilvl="5" w:tplc="2076BDE8">
      <w:start w:val="1"/>
      <w:numFmt w:val="bullet"/>
      <w:lvlText w:val=""/>
      <w:lvlJc w:val="left"/>
      <w:pPr>
        <w:ind w:left="4320" w:hanging="360"/>
      </w:pPr>
      <w:rPr>
        <w:rFonts w:ascii="Wingdings" w:hAnsi="Wingdings" w:hint="default"/>
      </w:rPr>
    </w:lvl>
    <w:lvl w:ilvl="6" w:tplc="1D084446">
      <w:start w:val="1"/>
      <w:numFmt w:val="bullet"/>
      <w:lvlText w:val=""/>
      <w:lvlJc w:val="left"/>
      <w:pPr>
        <w:ind w:left="5040" w:hanging="360"/>
      </w:pPr>
      <w:rPr>
        <w:rFonts w:ascii="Symbol" w:hAnsi="Symbol" w:hint="default"/>
      </w:rPr>
    </w:lvl>
    <w:lvl w:ilvl="7" w:tplc="C0D64AD4">
      <w:start w:val="1"/>
      <w:numFmt w:val="bullet"/>
      <w:lvlText w:val="o"/>
      <w:lvlJc w:val="left"/>
      <w:pPr>
        <w:ind w:left="5760" w:hanging="360"/>
      </w:pPr>
      <w:rPr>
        <w:rFonts w:ascii="Courier New" w:hAnsi="Courier New" w:hint="default"/>
      </w:rPr>
    </w:lvl>
    <w:lvl w:ilvl="8" w:tplc="2084AA8A">
      <w:start w:val="1"/>
      <w:numFmt w:val="bullet"/>
      <w:lvlText w:val=""/>
      <w:lvlJc w:val="left"/>
      <w:pPr>
        <w:ind w:left="6480" w:hanging="360"/>
      </w:pPr>
      <w:rPr>
        <w:rFonts w:ascii="Wingdings" w:hAnsi="Wingdings" w:hint="default"/>
      </w:rPr>
    </w:lvl>
  </w:abstractNum>
  <w:abstractNum w:abstractNumId="35" w15:restartNumberingAfterBreak="0">
    <w:nsid w:val="6E672A6E"/>
    <w:multiLevelType w:val="hybridMultilevel"/>
    <w:tmpl w:val="E1868D74"/>
    <w:lvl w:ilvl="0" w:tplc="FBC2EACE">
      <w:start w:val="1"/>
      <w:numFmt w:val="bullet"/>
      <w:lvlText w:val=""/>
      <w:lvlJc w:val="left"/>
      <w:pPr>
        <w:ind w:left="720" w:hanging="360"/>
      </w:pPr>
      <w:rPr>
        <w:rFonts w:ascii="Symbol" w:hAnsi="Symbol" w:hint="default"/>
      </w:rPr>
    </w:lvl>
    <w:lvl w:ilvl="1" w:tplc="95D6C346">
      <w:start w:val="1"/>
      <w:numFmt w:val="bullet"/>
      <w:lvlText w:val="o"/>
      <w:lvlJc w:val="left"/>
      <w:pPr>
        <w:ind w:left="1440" w:hanging="360"/>
      </w:pPr>
      <w:rPr>
        <w:rFonts w:ascii="Courier New" w:hAnsi="Courier New" w:hint="default"/>
      </w:rPr>
    </w:lvl>
    <w:lvl w:ilvl="2" w:tplc="E96A3704">
      <w:start w:val="1"/>
      <w:numFmt w:val="bullet"/>
      <w:lvlText w:val=""/>
      <w:lvlJc w:val="left"/>
      <w:pPr>
        <w:ind w:left="2160" w:hanging="360"/>
      </w:pPr>
      <w:rPr>
        <w:rFonts w:ascii="Wingdings" w:hAnsi="Wingdings" w:hint="default"/>
      </w:rPr>
    </w:lvl>
    <w:lvl w:ilvl="3" w:tplc="0770B22A">
      <w:start w:val="1"/>
      <w:numFmt w:val="bullet"/>
      <w:lvlText w:val=""/>
      <w:lvlJc w:val="left"/>
      <w:pPr>
        <w:ind w:left="2880" w:hanging="360"/>
      </w:pPr>
      <w:rPr>
        <w:rFonts w:ascii="Symbol" w:hAnsi="Symbol" w:hint="default"/>
      </w:rPr>
    </w:lvl>
    <w:lvl w:ilvl="4" w:tplc="66AAF450">
      <w:start w:val="1"/>
      <w:numFmt w:val="bullet"/>
      <w:lvlText w:val="o"/>
      <w:lvlJc w:val="left"/>
      <w:pPr>
        <w:ind w:left="3600" w:hanging="360"/>
      </w:pPr>
      <w:rPr>
        <w:rFonts w:ascii="Courier New" w:hAnsi="Courier New" w:hint="default"/>
      </w:rPr>
    </w:lvl>
    <w:lvl w:ilvl="5" w:tplc="65A62E9A">
      <w:start w:val="1"/>
      <w:numFmt w:val="bullet"/>
      <w:lvlText w:val=""/>
      <w:lvlJc w:val="left"/>
      <w:pPr>
        <w:ind w:left="4320" w:hanging="360"/>
      </w:pPr>
      <w:rPr>
        <w:rFonts w:ascii="Wingdings" w:hAnsi="Wingdings" w:hint="default"/>
      </w:rPr>
    </w:lvl>
    <w:lvl w:ilvl="6" w:tplc="406AB7F0">
      <w:start w:val="1"/>
      <w:numFmt w:val="bullet"/>
      <w:lvlText w:val=""/>
      <w:lvlJc w:val="left"/>
      <w:pPr>
        <w:ind w:left="5040" w:hanging="360"/>
      </w:pPr>
      <w:rPr>
        <w:rFonts w:ascii="Symbol" w:hAnsi="Symbol" w:hint="default"/>
      </w:rPr>
    </w:lvl>
    <w:lvl w:ilvl="7" w:tplc="113C6CF4">
      <w:start w:val="1"/>
      <w:numFmt w:val="bullet"/>
      <w:lvlText w:val="o"/>
      <w:lvlJc w:val="left"/>
      <w:pPr>
        <w:ind w:left="5760" w:hanging="360"/>
      </w:pPr>
      <w:rPr>
        <w:rFonts w:ascii="Courier New" w:hAnsi="Courier New" w:hint="default"/>
      </w:rPr>
    </w:lvl>
    <w:lvl w:ilvl="8" w:tplc="5C9E7FDA">
      <w:start w:val="1"/>
      <w:numFmt w:val="bullet"/>
      <w:lvlText w:val=""/>
      <w:lvlJc w:val="left"/>
      <w:pPr>
        <w:ind w:left="6480" w:hanging="360"/>
      </w:pPr>
      <w:rPr>
        <w:rFonts w:ascii="Wingdings" w:hAnsi="Wingdings" w:hint="default"/>
      </w:rPr>
    </w:lvl>
  </w:abstractNum>
  <w:abstractNum w:abstractNumId="3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1E22854"/>
    <w:multiLevelType w:val="hybridMultilevel"/>
    <w:tmpl w:val="B3AC4ACC"/>
    <w:lvl w:ilvl="0" w:tplc="D570EB42">
      <w:start w:val="1"/>
      <w:numFmt w:val="bullet"/>
      <w:lvlText w:val=""/>
      <w:lvlJc w:val="left"/>
      <w:pPr>
        <w:ind w:left="720" w:hanging="360"/>
      </w:pPr>
      <w:rPr>
        <w:rFonts w:ascii="Symbol" w:hAnsi="Symbol" w:hint="default"/>
      </w:rPr>
    </w:lvl>
    <w:lvl w:ilvl="1" w:tplc="DC4A9BC2">
      <w:start w:val="1"/>
      <w:numFmt w:val="bullet"/>
      <w:lvlText w:val="o"/>
      <w:lvlJc w:val="left"/>
      <w:pPr>
        <w:ind w:left="1440" w:hanging="360"/>
      </w:pPr>
      <w:rPr>
        <w:rFonts w:ascii="Courier New" w:hAnsi="Courier New" w:hint="default"/>
      </w:rPr>
    </w:lvl>
    <w:lvl w:ilvl="2" w:tplc="08DC2D80">
      <w:start w:val="1"/>
      <w:numFmt w:val="bullet"/>
      <w:lvlText w:val=""/>
      <w:lvlJc w:val="left"/>
      <w:pPr>
        <w:ind w:left="2160" w:hanging="360"/>
      </w:pPr>
      <w:rPr>
        <w:rFonts w:ascii="Wingdings" w:hAnsi="Wingdings" w:hint="default"/>
      </w:rPr>
    </w:lvl>
    <w:lvl w:ilvl="3" w:tplc="EFAACF3E">
      <w:start w:val="1"/>
      <w:numFmt w:val="bullet"/>
      <w:lvlText w:val=""/>
      <w:lvlJc w:val="left"/>
      <w:pPr>
        <w:ind w:left="2880" w:hanging="360"/>
      </w:pPr>
      <w:rPr>
        <w:rFonts w:ascii="Symbol" w:hAnsi="Symbol" w:hint="default"/>
      </w:rPr>
    </w:lvl>
    <w:lvl w:ilvl="4" w:tplc="FDC4059C">
      <w:start w:val="1"/>
      <w:numFmt w:val="bullet"/>
      <w:lvlText w:val="o"/>
      <w:lvlJc w:val="left"/>
      <w:pPr>
        <w:ind w:left="3600" w:hanging="360"/>
      </w:pPr>
      <w:rPr>
        <w:rFonts w:ascii="Courier New" w:hAnsi="Courier New" w:hint="default"/>
      </w:rPr>
    </w:lvl>
    <w:lvl w:ilvl="5" w:tplc="AAC84E34">
      <w:start w:val="1"/>
      <w:numFmt w:val="bullet"/>
      <w:lvlText w:val=""/>
      <w:lvlJc w:val="left"/>
      <w:pPr>
        <w:ind w:left="4320" w:hanging="360"/>
      </w:pPr>
      <w:rPr>
        <w:rFonts w:ascii="Wingdings" w:hAnsi="Wingdings" w:hint="default"/>
      </w:rPr>
    </w:lvl>
    <w:lvl w:ilvl="6" w:tplc="AF20F1F0">
      <w:start w:val="1"/>
      <w:numFmt w:val="bullet"/>
      <w:lvlText w:val=""/>
      <w:lvlJc w:val="left"/>
      <w:pPr>
        <w:ind w:left="5040" w:hanging="360"/>
      </w:pPr>
      <w:rPr>
        <w:rFonts w:ascii="Symbol" w:hAnsi="Symbol" w:hint="default"/>
      </w:rPr>
    </w:lvl>
    <w:lvl w:ilvl="7" w:tplc="28989AE6">
      <w:start w:val="1"/>
      <w:numFmt w:val="bullet"/>
      <w:lvlText w:val="o"/>
      <w:lvlJc w:val="left"/>
      <w:pPr>
        <w:ind w:left="5760" w:hanging="360"/>
      </w:pPr>
      <w:rPr>
        <w:rFonts w:ascii="Courier New" w:hAnsi="Courier New" w:hint="default"/>
      </w:rPr>
    </w:lvl>
    <w:lvl w:ilvl="8" w:tplc="0CFC7880">
      <w:start w:val="1"/>
      <w:numFmt w:val="bullet"/>
      <w:lvlText w:val=""/>
      <w:lvlJc w:val="left"/>
      <w:pPr>
        <w:ind w:left="6480" w:hanging="360"/>
      </w:pPr>
      <w:rPr>
        <w:rFonts w:ascii="Wingdings" w:hAnsi="Wingdings" w:hint="default"/>
      </w:rPr>
    </w:lvl>
  </w:abstractNum>
  <w:abstractNum w:abstractNumId="3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823AEE"/>
    <w:multiLevelType w:val="hybridMultilevel"/>
    <w:tmpl w:val="804AFFEA"/>
    <w:lvl w:ilvl="0" w:tplc="7D0828E6">
      <w:start w:val="8"/>
      <w:numFmt w:val="decimal"/>
      <w:lvlText w:val="%1)"/>
      <w:lvlJc w:val="left"/>
      <w:pPr>
        <w:ind w:left="72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C0095A"/>
    <w:multiLevelType w:val="hybridMultilevel"/>
    <w:tmpl w:val="CF4E98F4"/>
    <w:lvl w:ilvl="0" w:tplc="3974AAF2">
      <w:start w:val="1"/>
      <w:numFmt w:val="bullet"/>
      <w:lvlText w:val=""/>
      <w:lvlJc w:val="left"/>
      <w:pPr>
        <w:ind w:left="720" w:hanging="360"/>
      </w:pPr>
      <w:rPr>
        <w:rFonts w:ascii="Symbol" w:hAnsi="Symbol" w:hint="default"/>
      </w:rPr>
    </w:lvl>
    <w:lvl w:ilvl="1" w:tplc="A76C5BD0">
      <w:start w:val="1"/>
      <w:numFmt w:val="bullet"/>
      <w:lvlText w:val="o"/>
      <w:lvlJc w:val="left"/>
      <w:pPr>
        <w:ind w:left="1440" w:hanging="360"/>
      </w:pPr>
      <w:rPr>
        <w:rFonts w:ascii="Courier New" w:hAnsi="Courier New" w:hint="default"/>
      </w:rPr>
    </w:lvl>
    <w:lvl w:ilvl="2" w:tplc="91C0014A">
      <w:start w:val="1"/>
      <w:numFmt w:val="bullet"/>
      <w:lvlText w:val=""/>
      <w:lvlJc w:val="left"/>
      <w:pPr>
        <w:ind w:left="2160" w:hanging="360"/>
      </w:pPr>
      <w:rPr>
        <w:rFonts w:ascii="Wingdings" w:hAnsi="Wingdings" w:hint="default"/>
      </w:rPr>
    </w:lvl>
    <w:lvl w:ilvl="3" w:tplc="BFB41762">
      <w:start w:val="1"/>
      <w:numFmt w:val="bullet"/>
      <w:lvlText w:val=""/>
      <w:lvlJc w:val="left"/>
      <w:pPr>
        <w:ind w:left="2880" w:hanging="360"/>
      </w:pPr>
      <w:rPr>
        <w:rFonts w:ascii="Symbol" w:hAnsi="Symbol" w:hint="default"/>
      </w:rPr>
    </w:lvl>
    <w:lvl w:ilvl="4" w:tplc="5C0C93D4">
      <w:start w:val="1"/>
      <w:numFmt w:val="bullet"/>
      <w:lvlText w:val="o"/>
      <w:lvlJc w:val="left"/>
      <w:pPr>
        <w:ind w:left="3600" w:hanging="360"/>
      </w:pPr>
      <w:rPr>
        <w:rFonts w:ascii="Courier New" w:hAnsi="Courier New" w:hint="default"/>
      </w:rPr>
    </w:lvl>
    <w:lvl w:ilvl="5" w:tplc="CE8EC5D2">
      <w:start w:val="1"/>
      <w:numFmt w:val="bullet"/>
      <w:lvlText w:val=""/>
      <w:lvlJc w:val="left"/>
      <w:pPr>
        <w:ind w:left="4320" w:hanging="360"/>
      </w:pPr>
      <w:rPr>
        <w:rFonts w:ascii="Wingdings" w:hAnsi="Wingdings" w:hint="default"/>
      </w:rPr>
    </w:lvl>
    <w:lvl w:ilvl="6" w:tplc="BA8AD830">
      <w:start w:val="1"/>
      <w:numFmt w:val="bullet"/>
      <w:lvlText w:val=""/>
      <w:lvlJc w:val="left"/>
      <w:pPr>
        <w:ind w:left="5040" w:hanging="360"/>
      </w:pPr>
      <w:rPr>
        <w:rFonts w:ascii="Symbol" w:hAnsi="Symbol" w:hint="default"/>
      </w:rPr>
    </w:lvl>
    <w:lvl w:ilvl="7" w:tplc="5FAA557C">
      <w:start w:val="1"/>
      <w:numFmt w:val="bullet"/>
      <w:lvlText w:val="o"/>
      <w:lvlJc w:val="left"/>
      <w:pPr>
        <w:ind w:left="5760" w:hanging="360"/>
      </w:pPr>
      <w:rPr>
        <w:rFonts w:ascii="Courier New" w:hAnsi="Courier New" w:hint="default"/>
      </w:rPr>
    </w:lvl>
    <w:lvl w:ilvl="8" w:tplc="C9BCCDE2">
      <w:start w:val="1"/>
      <w:numFmt w:val="bullet"/>
      <w:lvlText w:val=""/>
      <w:lvlJc w:val="left"/>
      <w:pPr>
        <w:ind w:left="6480" w:hanging="360"/>
      </w:pPr>
      <w:rPr>
        <w:rFonts w:ascii="Wingdings" w:hAnsi="Wingdings" w:hint="default"/>
      </w:rPr>
    </w:lvl>
  </w:abstractNum>
  <w:num w:numId="1" w16cid:durableId="1793279906">
    <w:abstractNumId w:val="12"/>
  </w:num>
  <w:num w:numId="2" w16cid:durableId="47842764">
    <w:abstractNumId w:val="25"/>
  </w:num>
  <w:num w:numId="3" w16cid:durableId="1499030327">
    <w:abstractNumId w:val="6"/>
  </w:num>
  <w:num w:numId="4" w16cid:durableId="1053041537">
    <w:abstractNumId w:val="31"/>
  </w:num>
  <w:num w:numId="5" w16cid:durableId="1747339558">
    <w:abstractNumId w:val="20"/>
  </w:num>
  <w:num w:numId="6" w16cid:durableId="113209241">
    <w:abstractNumId w:val="8"/>
  </w:num>
  <w:num w:numId="7" w16cid:durableId="1012147944">
    <w:abstractNumId w:val="36"/>
  </w:num>
  <w:num w:numId="8" w16cid:durableId="1913661989">
    <w:abstractNumId w:val="21"/>
  </w:num>
  <w:num w:numId="9" w16cid:durableId="1859390137">
    <w:abstractNumId w:val="32"/>
  </w:num>
  <w:num w:numId="10" w16cid:durableId="7568263">
    <w:abstractNumId w:val="15"/>
  </w:num>
  <w:num w:numId="11" w16cid:durableId="1844587130">
    <w:abstractNumId w:val="11"/>
  </w:num>
  <w:num w:numId="12" w16cid:durableId="754018156">
    <w:abstractNumId w:val="33"/>
  </w:num>
  <w:num w:numId="13" w16cid:durableId="824322273">
    <w:abstractNumId w:val="17"/>
  </w:num>
  <w:num w:numId="14" w16cid:durableId="923606381">
    <w:abstractNumId w:val="3"/>
  </w:num>
  <w:num w:numId="15" w16cid:durableId="1887596219">
    <w:abstractNumId w:val="29"/>
  </w:num>
  <w:num w:numId="16" w16cid:durableId="1496846912">
    <w:abstractNumId w:val="13"/>
  </w:num>
  <w:num w:numId="17" w16cid:durableId="111481760">
    <w:abstractNumId w:val="1"/>
  </w:num>
  <w:num w:numId="18" w16cid:durableId="711198942">
    <w:abstractNumId w:val="38"/>
  </w:num>
  <w:num w:numId="19" w16cid:durableId="378627044">
    <w:abstractNumId w:val="9"/>
  </w:num>
  <w:num w:numId="20" w16cid:durableId="1182476212">
    <w:abstractNumId w:val="28"/>
  </w:num>
  <w:num w:numId="21" w16cid:durableId="1036002959">
    <w:abstractNumId w:val="18"/>
  </w:num>
  <w:num w:numId="22" w16cid:durableId="1746293227">
    <w:abstractNumId w:val="5"/>
  </w:num>
  <w:num w:numId="23" w16cid:durableId="127939733">
    <w:abstractNumId w:val="7"/>
  </w:num>
  <w:num w:numId="24" w16cid:durableId="731273880">
    <w:abstractNumId w:val="26"/>
  </w:num>
  <w:num w:numId="25" w16cid:durableId="1322079041">
    <w:abstractNumId w:val="23"/>
  </w:num>
  <w:num w:numId="26" w16cid:durableId="1068698076">
    <w:abstractNumId w:val="16"/>
  </w:num>
  <w:num w:numId="27" w16cid:durableId="1564683220">
    <w:abstractNumId w:val="14"/>
  </w:num>
  <w:num w:numId="28" w16cid:durableId="981351048">
    <w:abstractNumId w:val="37"/>
  </w:num>
  <w:num w:numId="29" w16cid:durableId="1620598622">
    <w:abstractNumId w:val="40"/>
  </w:num>
  <w:num w:numId="30" w16cid:durableId="1034580609">
    <w:abstractNumId w:val="35"/>
  </w:num>
  <w:num w:numId="31" w16cid:durableId="1677918721">
    <w:abstractNumId w:val="4"/>
  </w:num>
  <w:num w:numId="32" w16cid:durableId="965698682">
    <w:abstractNumId w:val="24"/>
  </w:num>
  <w:num w:numId="33" w16cid:durableId="1179540390">
    <w:abstractNumId w:val="27"/>
  </w:num>
  <w:num w:numId="34" w16cid:durableId="263343468">
    <w:abstractNumId w:val="34"/>
  </w:num>
  <w:num w:numId="35" w16cid:durableId="1354721736">
    <w:abstractNumId w:val="2"/>
  </w:num>
  <w:num w:numId="36" w16cid:durableId="1450198031">
    <w:abstractNumId w:val="19"/>
  </w:num>
  <w:num w:numId="37" w16cid:durableId="96294887">
    <w:abstractNumId w:val="0"/>
  </w:num>
  <w:num w:numId="38" w16cid:durableId="1834950868">
    <w:abstractNumId w:val="10"/>
  </w:num>
  <w:num w:numId="39" w16cid:durableId="865824526">
    <w:abstractNumId w:val="39"/>
  </w:num>
  <w:num w:numId="40" w16cid:durableId="1524512874">
    <w:abstractNumId w:val="22"/>
  </w:num>
  <w:num w:numId="41" w16cid:durableId="38707158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28A"/>
    <w:rsid w:val="000038CD"/>
    <w:rsid w:val="00003F01"/>
    <w:rsid w:val="00005E35"/>
    <w:rsid w:val="00007492"/>
    <w:rsid w:val="00010334"/>
    <w:rsid w:val="0001462C"/>
    <w:rsid w:val="000169AE"/>
    <w:rsid w:val="00016D97"/>
    <w:rsid w:val="00017918"/>
    <w:rsid w:val="00021406"/>
    <w:rsid w:val="000227B1"/>
    <w:rsid w:val="00023C73"/>
    <w:rsid w:val="000250E9"/>
    <w:rsid w:val="00030729"/>
    <w:rsid w:val="00031537"/>
    <w:rsid w:val="00033660"/>
    <w:rsid w:val="00034296"/>
    <w:rsid w:val="00035A7E"/>
    <w:rsid w:val="00035FB2"/>
    <w:rsid w:val="000376CF"/>
    <w:rsid w:val="00041172"/>
    <w:rsid w:val="00041294"/>
    <w:rsid w:val="00044419"/>
    <w:rsid w:val="00045E8B"/>
    <w:rsid w:val="00047EED"/>
    <w:rsid w:val="000513D7"/>
    <w:rsid w:val="000532B4"/>
    <w:rsid w:val="0005427D"/>
    <w:rsid w:val="00054A41"/>
    <w:rsid w:val="00054B33"/>
    <w:rsid w:val="00054FFB"/>
    <w:rsid w:val="00055A82"/>
    <w:rsid w:val="00055E29"/>
    <w:rsid w:val="000570C7"/>
    <w:rsid w:val="0005716C"/>
    <w:rsid w:val="00057EF7"/>
    <w:rsid w:val="0006175C"/>
    <w:rsid w:val="000648CC"/>
    <w:rsid w:val="00064A89"/>
    <w:rsid w:val="00064C6E"/>
    <w:rsid w:val="00067404"/>
    <w:rsid w:val="00068030"/>
    <w:rsid w:val="00070E0F"/>
    <w:rsid w:val="00072687"/>
    <w:rsid w:val="00072766"/>
    <w:rsid w:val="00072BDD"/>
    <w:rsid w:val="00073C8D"/>
    <w:rsid w:val="00075550"/>
    <w:rsid w:val="000755FF"/>
    <w:rsid w:val="000757E0"/>
    <w:rsid w:val="0007662E"/>
    <w:rsid w:val="000768B3"/>
    <w:rsid w:val="00076EDE"/>
    <w:rsid w:val="00076FB9"/>
    <w:rsid w:val="00077097"/>
    <w:rsid w:val="000773FA"/>
    <w:rsid w:val="000774FF"/>
    <w:rsid w:val="00081E96"/>
    <w:rsid w:val="00084816"/>
    <w:rsid w:val="00093C4F"/>
    <w:rsid w:val="00097C76"/>
    <w:rsid w:val="000A07D0"/>
    <w:rsid w:val="000A1636"/>
    <w:rsid w:val="000A39A4"/>
    <w:rsid w:val="000A3C4A"/>
    <w:rsid w:val="000A5B8B"/>
    <w:rsid w:val="000B098B"/>
    <w:rsid w:val="000B3002"/>
    <w:rsid w:val="000B35C9"/>
    <w:rsid w:val="000B4DD1"/>
    <w:rsid w:val="000C1545"/>
    <w:rsid w:val="000C1705"/>
    <w:rsid w:val="000C2B13"/>
    <w:rsid w:val="000C4244"/>
    <w:rsid w:val="000C4720"/>
    <w:rsid w:val="000C5310"/>
    <w:rsid w:val="000C607F"/>
    <w:rsid w:val="000C793F"/>
    <w:rsid w:val="000C7A34"/>
    <w:rsid w:val="000C7E9F"/>
    <w:rsid w:val="000D0632"/>
    <w:rsid w:val="000D17A7"/>
    <w:rsid w:val="000D4EC2"/>
    <w:rsid w:val="000D7BBA"/>
    <w:rsid w:val="000E1F75"/>
    <w:rsid w:val="000E2E03"/>
    <w:rsid w:val="000E3557"/>
    <w:rsid w:val="000E3D80"/>
    <w:rsid w:val="000E4DF7"/>
    <w:rsid w:val="000E5814"/>
    <w:rsid w:val="000E5CD3"/>
    <w:rsid w:val="000E5EA8"/>
    <w:rsid w:val="000E7D23"/>
    <w:rsid w:val="000F1E6E"/>
    <w:rsid w:val="00101382"/>
    <w:rsid w:val="0010195A"/>
    <w:rsid w:val="00102026"/>
    <w:rsid w:val="00105271"/>
    <w:rsid w:val="00105889"/>
    <w:rsid w:val="00106C47"/>
    <w:rsid w:val="00107FB3"/>
    <w:rsid w:val="001118F5"/>
    <w:rsid w:val="00111F4D"/>
    <w:rsid w:val="001145DB"/>
    <w:rsid w:val="00116DCA"/>
    <w:rsid w:val="001227D2"/>
    <w:rsid w:val="00126455"/>
    <w:rsid w:val="00126523"/>
    <w:rsid w:val="001265CE"/>
    <w:rsid w:val="00130BFB"/>
    <w:rsid w:val="001325E7"/>
    <w:rsid w:val="00133CF1"/>
    <w:rsid w:val="00134B60"/>
    <w:rsid w:val="00135BF0"/>
    <w:rsid w:val="001362B0"/>
    <w:rsid w:val="00137EEA"/>
    <w:rsid w:val="00139774"/>
    <w:rsid w:val="00140A1C"/>
    <w:rsid w:val="00143BC1"/>
    <w:rsid w:val="00145B26"/>
    <w:rsid w:val="00145CA8"/>
    <w:rsid w:val="00147899"/>
    <w:rsid w:val="0015107F"/>
    <w:rsid w:val="00152EDD"/>
    <w:rsid w:val="00153D32"/>
    <w:rsid w:val="001550F8"/>
    <w:rsid w:val="00155736"/>
    <w:rsid w:val="00157F9B"/>
    <w:rsid w:val="0016013A"/>
    <w:rsid w:val="00161D2F"/>
    <w:rsid w:val="00163EC9"/>
    <w:rsid w:val="00167408"/>
    <w:rsid w:val="00172364"/>
    <w:rsid w:val="001724BD"/>
    <w:rsid w:val="001756C9"/>
    <w:rsid w:val="00176463"/>
    <w:rsid w:val="00180350"/>
    <w:rsid w:val="00180DD3"/>
    <w:rsid w:val="001813AC"/>
    <w:rsid w:val="0018227F"/>
    <w:rsid w:val="001825A5"/>
    <w:rsid w:val="00183E2B"/>
    <w:rsid w:val="001842C9"/>
    <w:rsid w:val="00184C44"/>
    <w:rsid w:val="00186D06"/>
    <w:rsid w:val="00195088"/>
    <w:rsid w:val="001956CB"/>
    <w:rsid w:val="00195D12"/>
    <w:rsid w:val="001A2392"/>
    <w:rsid w:val="001A424B"/>
    <w:rsid w:val="001A4264"/>
    <w:rsid w:val="001A60EC"/>
    <w:rsid w:val="001A71E2"/>
    <w:rsid w:val="001A7E6A"/>
    <w:rsid w:val="001B03E8"/>
    <w:rsid w:val="001B2066"/>
    <w:rsid w:val="001B3DC9"/>
    <w:rsid w:val="001C4F20"/>
    <w:rsid w:val="001C9ADB"/>
    <w:rsid w:val="001D08F9"/>
    <w:rsid w:val="001D3C91"/>
    <w:rsid w:val="001D5A5D"/>
    <w:rsid w:val="001D7555"/>
    <w:rsid w:val="001D76DE"/>
    <w:rsid w:val="001E212E"/>
    <w:rsid w:val="001E5EF5"/>
    <w:rsid w:val="001E7161"/>
    <w:rsid w:val="001E7C0F"/>
    <w:rsid w:val="001F1FB7"/>
    <w:rsid w:val="001F22E9"/>
    <w:rsid w:val="001F34A8"/>
    <w:rsid w:val="001F3B0A"/>
    <w:rsid w:val="001F5127"/>
    <w:rsid w:val="001F6558"/>
    <w:rsid w:val="001F7AB5"/>
    <w:rsid w:val="0020086B"/>
    <w:rsid w:val="00200D02"/>
    <w:rsid w:val="00201356"/>
    <w:rsid w:val="00202F7B"/>
    <w:rsid w:val="002040CA"/>
    <w:rsid w:val="002048EA"/>
    <w:rsid w:val="00210FBC"/>
    <w:rsid w:val="00213372"/>
    <w:rsid w:val="00214630"/>
    <w:rsid w:val="00214E45"/>
    <w:rsid w:val="0021593A"/>
    <w:rsid w:val="00217743"/>
    <w:rsid w:val="00220388"/>
    <w:rsid w:val="00220C19"/>
    <w:rsid w:val="0022434B"/>
    <w:rsid w:val="002243AC"/>
    <w:rsid w:val="00227765"/>
    <w:rsid w:val="0023297D"/>
    <w:rsid w:val="002344D1"/>
    <w:rsid w:val="00235C66"/>
    <w:rsid w:val="002374F4"/>
    <w:rsid w:val="00237882"/>
    <w:rsid w:val="00237D41"/>
    <w:rsid w:val="00240AB4"/>
    <w:rsid w:val="00241B7D"/>
    <w:rsid w:val="00244BA7"/>
    <w:rsid w:val="0024785D"/>
    <w:rsid w:val="002500BE"/>
    <w:rsid w:val="00250A64"/>
    <w:rsid w:val="00252073"/>
    <w:rsid w:val="0025549C"/>
    <w:rsid w:val="00257561"/>
    <w:rsid w:val="002606EC"/>
    <w:rsid w:val="00262341"/>
    <w:rsid w:val="00265BD8"/>
    <w:rsid w:val="00266DEB"/>
    <w:rsid w:val="00271453"/>
    <w:rsid w:val="00272B3D"/>
    <w:rsid w:val="00273526"/>
    <w:rsid w:val="002747E3"/>
    <w:rsid w:val="0027744D"/>
    <w:rsid w:val="00281D0C"/>
    <w:rsid w:val="0028590A"/>
    <w:rsid w:val="00285AAF"/>
    <w:rsid w:val="0028660D"/>
    <w:rsid w:val="00286645"/>
    <w:rsid w:val="002920FA"/>
    <w:rsid w:val="00292119"/>
    <w:rsid w:val="00292DC8"/>
    <w:rsid w:val="0029403B"/>
    <w:rsid w:val="00294AC6"/>
    <w:rsid w:val="002950FE"/>
    <w:rsid w:val="002953AE"/>
    <w:rsid w:val="0029704C"/>
    <w:rsid w:val="00297E10"/>
    <w:rsid w:val="00297FF7"/>
    <w:rsid w:val="002A3D9F"/>
    <w:rsid w:val="002B3AC5"/>
    <w:rsid w:val="002B76EC"/>
    <w:rsid w:val="002C3954"/>
    <w:rsid w:val="002D0844"/>
    <w:rsid w:val="002D5962"/>
    <w:rsid w:val="002D72F8"/>
    <w:rsid w:val="002E0818"/>
    <w:rsid w:val="002E0BF7"/>
    <w:rsid w:val="002E366B"/>
    <w:rsid w:val="002E5174"/>
    <w:rsid w:val="002F1FF1"/>
    <w:rsid w:val="002F2E18"/>
    <w:rsid w:val="002F3541"/>
    <w:rsid w:val="002F38E5"/>
    <w:rsid w:val="002F4701"/>
    <w:rsid w:val="002F7196"/>
    <w:rsid w:val="003019FA"/>
    <w:rsid w:val="00303FB8"/>
    <w:rsid w:val="00304597"/>
    <w:rsid w:val="00305589"/>
    <w:rsid w:val="00305816"/>
    <w:rsid w:val="0030593C"/>
    <w:rsid w:val="00305C20"/>
    <w:rsid w:val="00306B29"/>
    <w:rsid w:val="0031232C"/>
    <w:rsid w:val="00313255"/>
    <w:rsid w:val="00313689"/>
    <w:rsid w:val="003161E7"/>
    <w:rsid w:val="0031621C"/>
    <w:rsid w:val="003216DC"/>
    <w:rsid w:val="0032216B"/>
    <w:rsid w:val="003225BA"/>
    <w:rsid w:val="0032284A"/>
    <w:rsid w:val="00322AAD"/>
    <w:rsid w:val="003243E7"/>
    <w:rsid w:val="0032574D"/>
    <w:rsid w:val="00325C3E"/>
    <w:rsid w:val="00325C8F"/>
    <w:rsid w:val="00326A71"/>
    <w:rsid w:val="00330FE7"/>
    <w:rsid w:val="00335746"/>
    <w:rsid w:val="00335C9B"/>
    <w:rsid w:val="00336BD4"/>
    <w:rsid w:val="003407FE"/>
    <w:rsid w:val="0034081C"/>
    <w:rsid w:val="0034249E"/>
    <w:rsid w:val="00342C25"/>
    <w:rsid w:val="003452F0"/>
    <w:rsid w:val="003465A5"/>
    <w:rsid w:val="00346AF1"/>
    <w:rsid w:val="00346BA3"/>
    <w:rsid w:val="00347E09"/>
    <w:rsid w:val="0035069E"/>
    <w:rsid w:val="003542BC"/>
    <w:rsid w:val="00355485"/>
    <w:rsid w:val="003569AB"/>
    <w:rsid w:val="0035789E"/>
    <w:rsid w:val="003611FF"/>
    <w:rsid w:val="00363384"/>
    <w:rsid w:val="003669A9"/>
    <w:rsid w:val="003679F6"/>
    <w:rsid w:val="003706B8"/>
    <w:rsid w:val="0037596E"/>
    <w:rsid w:val="0037671B"/>
    <w:rsid w:val="00376EBF"/>
    <w:rsid w:val="003803B2"/>
    <w:rsid w:val="003810A9"/>
    <w:rsid w:val="00381391"/>
    <w:rsid w:val="0038173B"/>
    <w:rsid w:val="003829D8"/>
    <w:rsid w:val="00383748"/>
    <w:rsid w:val="00383DBB"/>
    <w:rsid w:val="003868AD"/>
    <w:rsid w:val="00390DD1"/>
    <w:rsid w:val="003921E6"/>
    <w:rsid w:val="0039227A"/>
    <w:rsid w:val="00393606"/>
    <w:rsid w:val="003949FD"/>
    <w:rsid w:val="003958D3"/>
    <w:rsid w:val="00396947"/>
    <w:rsid w:val="00396DAF"/>
    <w:rsid w:val="003A1830"/>
    <w:rsid w:val="003A4F3E"/>
    <w:rsid w:val="003A7400"/>
    <w:rsid w:val="003B2936"/>
    <w:rsid w:val="003B4E63"/>
    <w:rsid w:val="003B697A"/>
    <w:rsid w:val="003B6D8F"/>
    <w:rsid w:val="003C042A"/>
    <w:rsid w:val="003C0850"/>
    <w:rsid w:val="003C61D4"/>
    <w:rsid w:val="003D503C"/>
    <w:rsid w:val="003D56CB"/>
    <w:rsid w:val="003D610B"/>
    <w:rsid w:val="003D6A9F"/>
    <w:rsid w:val="003E06FC"/>
    <w:rsid w:val="003E1AEF"/>
    <w:rsid w:val="003E3035"/>
    <w:rsid w:val="003E5A13"/>
    <w:rsid w:val="003E6E59"/>
    <w:rsid w:val="003E726F"/>
    <w:rsid w:val="003F24A3"/>
    <w:rsid w:val="003F7DB7"/>
    <w:rsid w:val="003F7FA5"/>
    <w:rsid w:val="004018E7"/>
    <w:rsid w:val="004023BB"/>
    <w:rsid w:val="00404285"/>
    <w:rsid w:val="0040685C"/>
    <w:rsid w:val="0040797E"/>
    <w:rsid w:val="00413836"/>
    <w:rsid w:val="004155EA"/>
    <w:rsid w:val="00421253"/>
    <w:rsid w:val="00421A0F"/>
    <w:rsid w:val="00422378"/>
    <w:rsid w:val="00424814"/>
    <w:rsid w:val="00424F66"/>
    <w:rsid w:val="00426122"/>
    <w:rsid w:val="004266C9"/>
    <w:rsid w:val="00426EAF"/>
    <w:rsid w:val="00432101"/>
    <w:rsid w:val="00432373"/>
    <w:rsid w:val="00434921"/>
    <w:rsid w:val="004362B1"/>
    <w:rsid w:val="004439DC"/>
    <w:rsid w:val="00444CFA"/>
    <w:rsid w:val="00450680"/>
    <w:rsid w:val="00450F93"/>
    <w:rsid w:val="00455FE4"/>
    <w:rsid w:val="00456EFA"/>
    <w:rsid w:val="00461C34"/>
    <w:rsid w:val="00461DAB"/>
    <w:rsid w:val="00461F26"/>
    <w:rsid w:val="0046286A"/>
    <w:rsid w:val="00462976"/>
    <w:rsid w:val="004638B5"/>
    <w:rsid w:val="0046564D"/>
    <w:rsid w:val="00467775"/>
    <w:rsid w:val="00470E59"/>
    <w:rsid w:val="0047234E"/>
    <w:rsid w:val="0047391A"/>
    <w:rsid w:val="00473BAF"/>
    <w:rsid w:val="00482654"/>
    <w:rsid w:val="004828C1"/>
    <w:rsid w:val="00483A27"/>
    <w:rsid w:val="00483BC3"/>
    <w:rsid w:val="00483C06"/>
    <w:rsid w:val="00490C7C"/>
    <w:rsid w:val="00491D87"/>
    <w:rsid w:val="00493620"/>
    <w:rsid w:val="004948B4"/>
    <w:rsid w:val="00495A28"/>
    <w:rsid w:val="00495D4E"/>
    <w:rsid w:val="0049779D"/>
    <w:rsid w:val="00497CCA"/>
    <w:rsid w:val="004A0A3F"/>
    <w:rsid w:val="004A5000"/>
    <w:rsid w:val="004A59C7"/>
    <w:rsid w:val="004B2A13"/>
    <w:rsid w:val="004B2B55"/>
    <w:rsid w:val="004B3C01"/>
    <w:rsid w:val="004B4274"/>
    <w:rsid w:val="004B4D9A"/>
    <w:rsid w:val="004B5410"/>
    <w:rsid w:val="004B5C02"/>
    <w:rsid w:val="004B6295"/>
    <w:rsid w:val="004C0CB8"/>
    <w:rsid w:val="004C29C8"/>
    <w:rsid w:val="004C3CF9"/>
    <w:rsid w:val="004C5303"/>
    <w:rsid w:val="004C5BE2"/>
    <w:rsid w:val="004C5E14"/>
    <w:rsid w:val="004C6BC8"/>
    <w:rsid w:val="004D0470"/>
    <w:rsid w:val="004D0615"/>
    <w:rsid w:val="004D297F"/>
    <w:rsid w:val="004D2D13"/>
    <w:rsid w:val="004D374F"/>
    <w:rsid w:val="004D5221"/>
    <w:rsid w:val="004D7DA8"/>
    <w:rsid w:val="004E159C"/>
    <w:rsid w:val="004E16DB"/>
    <w:rsid w:val="004E2E41"/>
    <w:rsid w:val="004E538B"/>
    <w:rsid w:val="004E68C2"/>
    <w:rsid w:val="004E71B5"/>
    <w:rsid w:val="004F26FD"/>
    <w:rsid w:val="004F2A53"/>
    <w:rsid w:val="004F35BC"/>
    <w:rsid w:val="004F48B0"/>
    <w:rsid w:val="004F666C"/>
    <w:rsid w:val="004F6DDA"/>
    <w:rsid w:val="00502244"/>
    <w:rsid w:val="005052C0"/>
    <w:rsid w:val="0050680F"/>
    <w:rsid w:val="00507491"/>
    <w:rsid w:val="00507978"/>
    <w:rsid w:val="00511176"/>
    <w:rsid w:val="005114C3"/>
    <w:rsid w:val="005132A2"/>
    <w:rsid w:val="00513E5E"/>
    <w:rsid w:val="005145DD"/>
    <w:rsid w:val="00514FCE"/>
    <w:rsid w:val="00516BB8"/>
    <w:rsid w:val="00520F65"/>
    <w:rsid w:val="005215C7"/>
    <w:rsid w:val="00521B5D"/>
    <w:rsid w:val="0052281C"/>
    <w:rsid w:val="005238CA"/>
    <w:rsid w:val="00523F44"/>
    <w:rsid w:val="00524BA9"/>
    <w:rsid w:val="005260B8"/>
    <w:rsid w:val="00526C4F"/>
    <w:rsid w:val="00527EED"/>
    <w:rsid w:val="00536F07"/>
    <w:rsid w:val="00542538"/>
    <w:rsid w:val="00543CA6"/>
    <w:rsid w:val="00543E94"/>
    <w:rsid w:val="00552713"/>
    <w:rsid w:val="0055288A"/>
    <w:rsid w:val="00554EE8"/>
    <w:rsid w:val="005558AD"/>
    <w:rsid w:val="00556AC9"/>
    <w:rsid w:val="0056130F"/>
    <w:rsid w:val="00563002"/>
    <w:rsid w:val="00563DC7"/>
    <w:rsid w:val="00565FAB"/>
    <w:rsid w:val="00566B2F"/>
    <w:rsid w:val="005715B2"/>
    <w:rsid w:val="005736C3"/>
    <w:rsid w:val="00574F02"/>
    <w:rsid w:val="00576B4A"/>
    <w:rsid w:val="00577871"/>
    <w:rsid w:val="005818DA"/>
    <w:rsid w:val="00582605"/>
    <w:rsid w:val="005835BB"/>
    <w:rsid w:val="005849AA"/>
    <w:rsid w:val="00592741"/>
    <w:rsid w:val="005973E0"/>
    <w:rsid w:val="005A0F4E"/>
    <w:rsid w:val="005A15DD"/>
    <w:rsid w:val="005A2424"/>
    <w:rsid w:val="005A546B"/>
    <w:rsid w:val="005A6C54"/>
    <w:rsid w:val="005B16D8"/>
    <w:rsid w:val="005B1EA3"/>
    <w:rsid w:val="005B2217"/>
    <w:rsid w:val="005B3395"/>
    <w:rsid w:val="005B3508"/>
    <w:rsid w:val="005B387F"/>
    <w:rsid w:val="005B450E"/>
    <w:rsid w:val="005B5633"/>
    <w:rsid w:val="005C13DF"/>
    <w:rsid w:val="005C59CA"/>
    <w:rsid w:val="005C6340"/>
    <w:rsid w:val="005C6A6D"/>
    <w:rsid w:val="005D1CF4"/>
    <w:rsid w:val="005D1EE7"/>
    <w:rsid w:val="005D413B"/>
    <w:rsid w:val="005D4DB0"/>
    <w:rsid w:val="005D6BE0"/>
    <w:rsid w:val="005E1560"/>
    <w:rsid w:val="005E3C16"/>
    <w:rsid w:val="005E3CCE"/>
    <w:rsid w:val="005E6680"/>
    <w:rsid w:val="005E7F6D"/>
    <w:rsid w:val="005F2B3F"/>
    <w:rsid w:val="005F43C8"/>
    <w:rsid w:val="005F6C07"/>
    <w:rsid w:val="006003FE"/>
    <w:rsid w:val="0060290D"/>
    <w:rsid w:val="00603A9A"/>
    <w:rsid w:val="00605A2A"/>
    <w:rsid w:val="006114F8"/>
    <w:rsid w:val="006123C3"/>
    <w:rsid w:val="00612800"/>
    <w:rsid w:val="006147C3"/>
    <w:rsid w:val="00616AAD"/>
    <w:rsid w:val="006279FB"/>
    <w:rsid w:val="006305D7"/>
    <w:rsid w:val="00630F58"/>
    <w:rsid w:val="006315D0"/>
    <w:rsid w:val="00633AF9"/>
    <w:rsid w:val="00635928"/>
    <w:rsid w:val="0063722F"/>
    <w:rsid w:val="006409E1"/>
    <w:rsid w:val="00643A2A"/>
    <w:rsid w:val="0064426B"/>
    <w:rsid w:val="006445B7"/>
    <w:rsid w:val="00647074"/>
    <w:rsid w:val="0064767B"/>
    <w:rsid w:val="00650988"/>
    <w:rsid w:val="006511D4"/>
    <w:rsid w:val="00651D32"/>
    <w:rsid w:val="00656409"/>
    <w:rsid w:val="006616FF"/>
    <w:rsid w:val="00662C2D"/>
    <w:rsid w:val="006639DD"/>
    <w:rsid w:val="00667140"/>
    <w:rsid w:val="00670A09"/>
    <w:rsid w:val="00671A44"/>
    <w:rsid w:val="00672D9F"/>
    <w:rsid w:val="006914A0"/>
    <w:rsid w:val="00692037"/>
    <w:rsid w:val="00692C29"/>
    <w:rsid w:val="0069378B"/>
    <w:rsid w:val="00693BB3"/>
    <w:rsid w:val="00695323"/>
    <w:rsid w:val="006962A8"/>
    <w:rsid w:val="006A2FD8"/>
    <w:rsid w:val="006A44A9"/>
    <w:rsid w:val="006A5E2F"/>
    <w:rsid w:val="006B160B"/>
    <w:rsid w:val="006B26E5"/>
    <w:rsid w:val="006B4DEB"/>
    <w:rsid w:val="006C185D"/>
    <w:rsid w:val="006C18A6"/>
    <w:rsid w:val="006C1D6B"/>
    <w:rsid w:val="006C4AA5"/>
    <w:rsid w:val="006C588A"/>
    <w:rsid w:val="006D4556"/>
    <w:rsid w:val="006D5384"/>
    <w:rsid w:val="006D7922"/>
    <w:rsid w:val="006DB288"/>
    <w:rsid w:val="006E14AC"/>
    <w:rsid w:val="006E24DA"/>
    <w:rsid w:val="006E29AE"/>
    <w:rsid w:val="006E31FB"/>
    <w:rsid w:val="006E650F"/>
    <w:rsid w:val="006F008C"/>
    <w:rsid w:val="006F0859"/>
    <w:rsid w:val="006F0932"/>
    <w:rsid w:val="006F25D1"/>
    <w:rsid w:val="006F3568"/>
    <w:rsid w:val="006F4087"/>
    <w:rsid w:val="006F7E6B"/>
    <w:rsid w:val="00702C55"/>
    <w:rsid w:val="00704334"/>
    <w:rsid w:val="00706AB2"/>
    <w:rsid w:val="00707C49"/>
    <w:rsid w:val="0071059F"/>
    <w:rsid w:val="0071092B"/>
    <w:rsid w:val="0071160C"/>
    <w:rsid w:val="007222E6"/>
    <w:rsid w:val="00726DD4"/>
    <w:rsid w:val="00730AF0"/>
    <w:rsid w:val="00731BBC"/>
    <w:rsid w:val="00732C2D"/>
    <w:rsid w:val="00734134"/>
    <w:rsid w:val="00735FCC"/>
    <w:rsid w:val="0074194F"/>
    <w:rsid w:val="007441B5"/>
    <w:rsid w:val="0074594F"/>
    <w:rsid w:val="00747818"/>
    <w:rsid w:val="00750595"/>
    <w:rsid w:val="00754377"/>
    <w:rsid w:val="007571AE"/>
    <w:rsid w:val="00761121"/>
    <w:rsid w:val="007634D5"/>
    <w:rsid w:val="00766FB2"/>
    <w:rsid w:val="007722A0"/>
    <w:rsid w:val="00777323"/>
    <w:rsid w:val="00780463"/>
    <w:rsid w:val="0078056F"/>
    <w:rsid w:val="007902BC"/>
    <w:rsid w:val="00792CF0"/>
    <w:rsid w:val="00795946"/>
    <w:rsid w:val="0079697D"/>
    <w:rsid w:val="00797DB2"/>
    <w:rsid w:val="007A2A4A"/>
    <w:rsid w:val="007A4841"/>
    <w:rsid w:val="007B0F8E"/>
    <w:rsid w:val="007B4B81"/>
    <w:rsid w:val="007B5FF5"/>
    <w:rsid w:val="007B66D0"/>
    <w:rsid w:val="007B7AFF"/>
    <w:rsid w:val="007B7D36"/>
    <w:rsid w:val="007C3727"/>
    <w:rsid w:val="007C51BA"/>
    <w:rsid w:val="007C5681"/>
    <w:rsid w:val="007C6077"/>
    <w:rsid w:val="007D03FA"/>
    <w:rsid w:val="007D2103"/>
    <w:rsid w:val="007D4350"/>
    <w:rsid w:val="007D46B6"/>
    <w:rsid w:val="007E0073"/>
    <w:rsid w:val="007E0172"/>
    <w:rsid w:val="007E0517"/>
    <w:rsid w:val="007E0CD8"/>
    <w:rsid w:val="007E5FB3"/>
    <w:rsid w:val="007F09A5"/>
    <w:rsid w:val="007F232B"/>
    <w:rsid w:val="007F6235"/>
    <w:rsid w:val="007F7DD2"/>
    <w:rsid w:val="008002CC"/>
    <w:rsid w:val="008012B8"/>
    <w:rsid w:val="00802FD4"/>
    <w:rsid w:val="0080488C"/>
    <w:rsid w:val="00804AB9"/>
    <w:rsid w:val="00804E27"/>
    <w:rsid w:val="00814105"/>
    <w:rsid w:val="0081417F"/>
    <w:rsid w:val="00814D40"/>
    <w:rsid w:val="00814DC9"/>
    <w:rsid w:val="008159BC"/>
    <w:rsid w:val="00824067"/>
    <w:rsid w:val="00830055"/>
    <w:rsid w:val="00830AD6"/>
    <w:rsid w:val="008316B0"/>
    <w:rsid w:val="008364C2"/>
    <w:rsid w:val="00836CBE"/>
    <w:rsid w:val="00842C08"/>
    <w:rsid w:val="00843506"/>
    <w:rsid w:val="008463F9"/>
    <w:rsid w:val="00846B61"/>
    <w:rsid w:val="008471EB"/>
    <w:rsid w:val="00851155"/>
    <w:rsid w:val="008518E3"/>
    <w:rsid w:val="00851B56"/>
    <w:rsid w:val="00853650"/>
    <w:rsid w:val="008539A0"/>
    <w:rsid w:val="00855EBF"/>
    <w:rsid w:val="00860947"/>
    <w:rsid w:val="0086202D"/>
    <w:rsid w:val="008626F4"/>
    <w:rsid w:val="0086688B"/>
    <w:rsid w:val="00870C8D"/>
    <w:rsid w:val="0087132D"/>
    <w:rsid w:val="0087146E"/>
    <w:rsid w:val="008724A6"/>
    <w:rsid w:val="0087373B"/>
    <w:rsid w:val="00880CBF"/>
    <w:rsid w:val="00883377"/>
    <w:rsid w:val="00883C64"/>
    <w:rsid w:val="008842AE"/>
    <w:rsid w:val="00884F4F"/>
    <w:rsid w:val="00884F95"/>
    <w:rsid w:val="008860BB"/>
    <w:rsid w:val="00886AF2"/>
    <w:rsid w:val="00887695"/>
    <w:rsid w:val="008925A5"/>
    <w:rsid w:val="00892ADB"/>
    <w:rsid w:val="00893B8C"/>
    <w:rsid w:val="00894854"/>
    <w:rsid w:val="008961E6"/>
    <w:rsid w:val="00896494"/>
    <w:rsid w:val="00896DC5"/>
    <w:rsid w:val="008A1E76"/>
    <w:rsid w:val="008A3009"/>
    <w:rsid w:val="008A4132"/>
    <w:rsid w:val="008A6135"/>
    <w:rsid w:val="008A6CA8"/>
    <w:rsid w:val="008A744D"/>
    <w:rsid w:val="008A7A2E"/>
    <w:rsid w:val="008B092B"/>
    <w:rsid w:val="008B0F17"/>
    <w:rsid w:val="008B5784"/>
    <w:rsid w:val="008B6437"/>
    <w:rsid w:val="008C0923"/>
    <w:rsid w:val="008C0B56"/>
    <w:rsid w:val="008C1E1C"/>
    <w:rsid w:val="008C22E1"/>
    <w:rsid w:val="008C36D0"/>
    <w:rsid w:val="008C38AF"/>
    <w:rsid w:val="008C7ECB"/>
    <w:rsid w:val="008D17E5"/>
    <w:rsid w:val="008D33D0"/>
    <w:rsid w:val="008D36BC"/>
    <w:rsid w:val="008D3EFA"/>
    <w:rsid w:val="008D4A74"/>
    <w:rsid w:val="008D5F38"/>
    <w:rsid w:val="008D6134"/>
    <w:rsid w:val="008D7293"/>
    <w:rsid w:val="008E1384"/>
    <w:rsid w:val="008E1D3A"/>
    <w:rsid w:val="008E2FC7"/>
    <w:rsid w:val="008E3CCD"/>
    <w:rsid w:val="008E4DBD"/>
    <w:rsid w:val="008E7098"/>
    <w:rsid w:val="008F0B2F"/>
    <w:rsid w:val="008F1AD9"/>
    <w:rsid w:val="008F4248"/>
    <w:rsid w:val="008F66C0"/>
    <w:rsid w:val="008F7775"/>
    <w:rsid w:val="008F7E82"/>
    <w:rsid w:val="0090003C"/>
    <w:rsid w:val="00900B0C"/>
    <w:rsid w:val="00902F3A"/>
    <w:rsid w:val="00903EF2"/>
    <w:rsid w:val="00905D6C"/>
    <w:rsid w:val="00906A77"/>
    <w:rsid w:val="00906FDE"/>
    <w:rsid w:val="00907032"/>
    <w:rsid w:val="009071EC"/>
    <w:rsid w:val="0091070A"/>
    <w:rsid w:val="0091177F"/>
    <w:rsid w:val="00912A22"/>
    <w:rsid w:val="00914478"/>
    <w:rsid w:val="0091512C"/>
    <w:rsid w:val="009204E7"/>
    <w:rsid w:val="009212C6"/>
    <w:rsid w:val="00921BDB"/>
    <w:rsid w:val="00932F80"/>
    <w:rsid w:val="0093437B"/>
    <w:rsid w:val="00934F21"/>
    <w:rsid w:val="00935251"/>
    <w:rsid w:val="00936597"/>
    <w:rsid w:val="00936BF1"/>
    <w:rsid w:val="0094059E"/>
    <w:rsid w:val="0094067D"/>
    <w:rsid w:val="00941CCA"/>
    <w:rsid w:val="00942B53"/>
    <w:rsid w:val="00944F9A"/>
    <w:rsid w:val="00945F95"/>
    <w:rsid w:val="00945FA3"/>
    <w:rsid w:val="00950DA5"/>
    <w:rsid w:val="0095294B"/>
    <w:rsid w:val="009558AD"/>
    <w:rsid w:val="00960DF6"/>
    <w:rsid w:val="0096169D"/>
    <w:rsid w:val="00961D77"/>
    <w:rsid w:val="0096318A"/>
    <w:rsid w:val="00963EDD"/>
    <w:rsid w:val="00965EA1"/>
    <w:rsid w:val="00965FE7"/>
    <w:rsid w:val="009700C9"/>
    <w:rsid w:val="009716C2"/>
    <w:rsid w:val="00971FCB"/>
    <w:rsid w:val="00973395"/>
    <w:rsid w:val="00974B61"/>
    <w:rsid w:val="00976A9B"/>
    <w:rsid w:val="00976DBD"/>
    <w:rsid w:val="00986B4C"/>
    <w:rsid w:val="009917D7"/>
    <w:rsid w:val="00994508"/>
    <w:rsid w:val="00995C6A"/>
    <w:rsid w:val="009A1CB6"/>
    <w:rsid w:val="009A30D4"/>
    <w:rsid w:val="009A371A"/>
    <w:rsid w:val="009A3B1D"/>
    <w:rsid w:val="009B0138"/>
    <w:rsid w:val="009B424A"/>
    <w:rsid w:val="009B4D0D"/>
    <w:rsid w:val="009B5BFE"/>
    <w:rsid w:val="009B5D67"/>
    <w:rsid w:val="009B6461"/>
    <w:rsid w:val="009B6B0D"/>
    <w:rsid w:val="009C09BD"/>
    <w:rsid w:val="009C2855"/>
    <w:rsid w:val="009C3254"/>
    <w:rsid w:val="009C3317"/>
    <w:rsid w:val="009C3E1F"/>
    <w:rsid w:val="009C4C27"/>
    <w:rsid w:val="009C5635"/>
    <w:rsid w:val="009C6827"/>
    <w:rsid w:val="009C780B"/>
    <w:rsid w:val="009D1E3A"/>
    <w:rsid w:val="009D3B2F"/>
    <w:rsid w:val="009D460C"/>
    <w:rsid w:val="009D5AB9"/>
    <w:rsid w:val="009E180D"/>
    <w:rsid w:val="009E1AF5"/>
    <w:rsid w:val="009E2391"/>
    <w:rsid w:val="009E2EE5"/>
    <w:rsid w:val="009E32F0"/>
    <w:rsid w:val="009E708C"/>
    <w:rsid w:val="009E79BB"/>
    <w:rsid w:val="009F404A"/>
    <w:rsid w:val="00A00135"/>
    <w:rsid w:val="00A02689"/>
    <w:rsid w:val="00A03A16"/>
    <w:rsid w:val="00A0471F"/>
    <w:rsid w:val="00A057B0"/>
    <w:rsid w:val="00A11B31"/>
    <w:rsid w:val="00A11DB1"/>
    <w:rsid w:val="00A122D2"/>
    <w:rsid w:val="00A14A77"/>
    <w:rsid w:val="00A15097"/>
    <w:rsid w:val="00A15B58"/>
    <w:rsid w:val="00A15F06"/>
    <w:rsid w:val="00A179F2"/>
    <w:rsid w:val="00A1D46F"/>
    <w:rsid w:val="00A20185"/>
    <w:rsid w:val="00A20488"/>
    <w:rsid w:val="00A2049F"/>
    <w:rsid w:val="00A220B1"/>
    <w:rsid w:val="00A22CE9"/>
    <w:rsid w:val="00A2363D"/>
    <w:rsid w:val="00A250CB"/>
    <w:rsid w:val="00A2669F"/>
    <w:rsid w:val="00A26F98"/>
    <w:rsid w:val="00A3174F"/>
    <w:rsid w:val="00A320FA"/>
    <w:rsid w:val="00A3291D"/>
    <w:rsid w:val="00A330A1"/>
    <w:rsid w:val="00A33F5E"/>
    <w:rsid w:val="00A33F71"/>
    <w:rsid w:val="00A35812"/>
    <w:rsid w:val="00A37CD0"/>
    <w:rsid w:val="00A4167C"/>
    <w:rsid w:val="00A4258B"/>
    <w:rsid w:val="00A42CB4"/>
    <w:rsid w:val="00A43CC3"/>
    <w:rsid w:val="00A46EDB"/>
    <w:rsid w:val="00A4741B"/>
    <w:rsid w:val="00A47E29"/>
    <w:rsid w:val="00A5766D"/>
    <w:rsid w:val="00A60416"/>
    <w:rsid w:val="00A61A18"/>
    <w:rsid w:val="00A61EFA"/>
    <w:rsid w:val="00A62E4F"/>
    <w:rsid w:val="00A63000"/>
    <w:rsid w:val="00A6324E"/>
    <w:rsid w:val="00A715A6"/>
    <w:rsid w:val="00A740E3"/>
    <w:rsid w:val="00A75D17"/>
    <w:rsid w:val="00A762D5"/>
    <w:rsid w:val="00A7656C"/>
    <w:rsid w:val="00A80A69"/>
    <w:rsid w:val="00A80C8E"/>
    <w:rsid w:val="00A814BE"/>
    <w:rsid w:val="00A83D39"/>
    <w:rsid w:val="00A84CE3"/>
    <w:rsid w:val="00A97A2C"/>
    <w:rsid w:val="00AA04F3"/>
    <w:rsid w:val="00AA2909"/>
    <w:rsid w:val="00AA34A7"/>
    <w:rsid w:val="00AA63E3"/>
    <w:rsid w:val="00AA6D9A"/>
    <w:rsid w:val="00AA7660"/>
    <w:rsid w:val="00AB0C58"/>
    <w:rsid w:val="00AB1676"/>
    <w:rsid w:val="00AB1BFF"/>
    <w:rsid w:val="00AB1C2A"/>
    <w:rsid w:val="00AB4109"/>
    <w:rsid w:val="00AB5A4B"/>
    <w:rsid w:val="00AB604A"/>
    <w:rsid w:val="00AB6A32"/>
    <w:rsid w:val="00AB6B1A"/>
    <w:rsid w:val="00AB6C79"/>
    <w:rsid w:val="00AB7466"/>
    <w:rsid w:val="00AC01CB"/>
    <w:rsid w:val="00AC0F12"/>
    <w:rsid w:val="00AC20BA"/>
    <w:rsid w:val="00AC7240"/>
    <w:rsid w:val="00AC7966"/>
    <w:rsid w:val="00AC7EEE"/>
    <w:rsid w:val="00AD16B4"/>
    <w:rsid w:val="00AD1CD7"/>
    <w:rsid w:val="00AD1CDA"/>
    <w:rsid w:val="00AD79B6"/>
    <w:rsid w:val="00AE7290"/>
    <w:rsid w:val="00AE735B"/>
    <w:rsid w:val="00AF09C0"/>
    <w:rsid w:val="00AF24A7"/>
    <w:rsid w:val="00AF2EEE"/>
    <w:rsid w:val="00AF490B"/>
    <w:rsid w:val="00AF5416"/>
    <w:rsid w:val="00B00CDE"/>
    <w:rsid w:val="00B0107E"/>
    <w:rsid w:val="00B05ABC"/>
    <w:rsid w:val="00B05C8B"/>
    <w:rsid w:val="00B07270"/>
    <w:rsid w:val="00B14D7A"/>
    <w:rsid w:val="00B164FE"/>
    <w:rsid w:val="00B16553"/>
    <w:rsid w:val="00B1776F"/>
    <w:rsid w:val="00B23571"/>
    <w:rsid w:val="00B239CD"/>
    <w:rsid w:val="00B2571E"/>
    <w:rsid w:val="00B27A3E"/>
    <w:rsid w:val="00B32ADC"/>
    <w:rsid w:val="00B3635B"/>
    <w:rsid w:val="00B3688A"/>
    <w:rsid w:val="00B369AD"/>
    <w:rsid w:val="00B40692"/>
    <w:rsid w:val="00B410D3"/>
    <w:rsid w:val="00B4355C"/>
    <w:rsid w:val="00B44F11"/>
    <w:rsid w:val="00B4600C"/>
    <w:rsid w:val="00B52664"/>
    <w:rsid w:val="00B538E7"/>
    <w:rsid w:val="00B546B1"/>
    <w:rsid w:val="00B55335"/>
    <w:rsid w:val="00B563F5"/>
    <w:rsid w:val="00B62472"/>
    <w:rsid w:val="00B64D49"/>
    <w:rsid w:val="00B6527F"/>
    <w:rsid w:val="00B7070C"/>
    <w:rsid w:val="00B70E76"/>
    <w:rsid w:val="00B715BB"/>
    <w:rsid w:val="00B71CAD"/>
    <w:rsid w:val="00B71E42"/>
    <w:rsid w:val="00B75D4B"/>
    <w:rsid w:val="00B80085"/>
    <w:rsid w:val="00B8017C"/>
    <w:rsid w:val="00B81412"/>
    <w:rsid w:val="00B81941"/>
    <w:rsid w:val="00B843FB"/>
    <w:rsid w:val="00B85E92"/>
    <w:rsid w:val="00B87ED1"/>
    <w:rsid w:val="00B92840"/>
    <w:rsid w:val="00B939F3"/>
    <w:rsid w:val="00B940C0"/>
    <w:rsid w:val="00B941B7"/>
    <w:rsid w:val="00B94D17"/>
    <w:rsid w:val="00B9558C"/>
    <w:rsid w:val="00BA39B3"/>
    <w:rsid w:val="00BA46AB"/>
    <w:rsid w:val="00BA5B9C"/>
    <w:rsid w:val="00BB14FC"/>
    <w:rsid w:val="00BB190B"/>
    <w:rsid w:val="00BB3021"/>
    <w:rsid w:val="00BB5C9E"/>
    <w:rsid w:val="00BB6B36"/>
    <w:rsid w:val="00BB6CDC"/>
    <w:rsid w:val="00BC05B3"/>
    <w:rsid w:val="00BC0702"/>
    <w:rsid w:val="00BC2368"/>
    <w:rsid w:val="00BC26F0"/>
    <w:rsid w:val="00BC3894"/>
    <w:rsid w:val="00BC3F7A"/>
    <w:rsid w:val="00BC46F0"/>
    <w:rsid w:val="00BC4EEE"/>
    <w:rsid w:val="00BC6924"/>
    <w:rsid w:val="00BE290B"/>
    <w:rsid w:val="00BE2BB5"/>
    <w:rsid w:val="00BE2E9E"/>
    <w:rsid w:val="00BE2FF9"/>
    <w:rsid w:val="00BE30FB"/>
    <w:rsid w:val="00BE3999"/>
    <w:rsid w:val="00BE3DF3"/>
    <w:rsid w:val="00BE6508"/>
    <w:rsid w:val="00BF01C3"/>
    <w:rsid w:val="00BF01D9"/>
    <w:rsid w:val="00BF06B7"/>
    <w:rsid w:val="00BF2FAA"/>
    <w:rsid w:val="00BF7398"/>
    <w:rsid w:val="00BF7622"/>
    <w:rsid w:val="00C00572"/>
    <w:rsid w:val="00C0217E"/>
    <w:rsid w:val="00C02A15"/>
    <w:rsid w:val="00C05BC6"/>
    <w:rsid w:val="00C05C06"/>
    <w:rsid w:val="00C05CAE"/>
    <w:rsid w:val="00C07E40"/>
    <w:rsid w:val="00C10189"/>
    <w:rsid w:val="00C118FD"/>
    <w:rsid w:val="00C12C1B"/>
    <w:rsid w:val="00C139BD"/>
    <w:rsid w:val="00C144D1"/>
    <w:rsid w:val="00C15951"/>
    <w:rsid w:val="00C169CB"/>
    <w:rsid w:val="00C17355"/>
    <w:rsid w:val="00C17550"/>
    <w:rsid w:val="00C206FC"/>
    <w:rsid w:val="00C22D9B"/>
    <w:rsid w:val="00C243B7"/>
    <w:rsid w:val="00C27234"/>
    <w:rsid w:val="00C309E6"/>
    <w:rsid w:val="00C31653"/>
    <w:rsid w:val="00C31DFE"/>
    <w:rsid w:val="00C322AF"/>
    <w:rsid w:val="00C3407B"/>
    <w:rsid w:val="00C34221"/>
    <w:rsid w:val="00C37819"/>
    <w:rsid w:val="00C37BEA"/>
    <w:rsid w:val="00C3B6BF"/>
    <w:rsid w:val="00C4087A"/>
    <w:rsid w:val="00C4163B"/>
    <w:rsid w:val="00C42D3D"/>
    <w:rsid w:val="00C4533A"/>
    <w:rsid w:val="00C4652D"/>
    <w:rsid w:val="00C50333"/>
    <w:rsid w:val="00C558CE"/>
    <w:rsid w:val="00C563C2"/>
    <w:rsid w:val="00C617FA"/>
    <w:rsid w:val="00C622CB"/>
    <w:rsid w:val="00C63815"/>
    <w:rsid w:val="00C6439D"/>
    <w:rsid w:val="00C74ADD"/>
    <w:rsid w:val="00C760E8"/>
    <w:rsid w:val="00C80093"/>
    <w:rsid w:val="00C8444D"/>
    <w:rsid w:val="00C85445"/>
    <w:rsid w:val="00C856DD"/>
    <w:rsid w:val="00C85F15"/>
    <w:rsid w:val="00C85F2B"/>
    <w:rsid w:val="00C85F76"/>
    <w:rsid w:val="00C90188"/>
    <w:rsid w:val="00C9067B"/>
    <w:rsid w:val="00C90999"/>
    <w:rsid w:val="00C91255"/>
    <w:rsid w:val="00C92EA1"/>
    <w:rsid w:val="00C97658"/>
    <w:rsid w:val="00CA1009"/>
    <w:rsid w:val="00CA2AED"/>
    <w:rsid w:val="00CA455D"/>
    <w:rsid w:val="00CA7105"/>
    <w:rsid w:val="00CA7878"/>
    <w:rsid w:val="00CB03C7"/>
    <w:rsid w:val="00CB12D1"/>
    <w:rsid w:val="00CB2000"/>
    <w:rsid w:val="00CB42BA"/>
    <w:rsid w:val="00CB6DD7"/>
    <w:rsid w:val="00CB7FF8"/>
    <w:rsid w:val="00CC105B"/>
    <w:rsid w:val="00CC1928"/>
    <w:rsid w:val="00CC2F37"/>
    <w:rsid w:val="00CC3D9F"/>
    <w:rsid w:val="00CC4D59"/>
    <w:rsid w:val="00CC4D9B"/>
    <w:rsid w:val="00CC7EA8"/>
    <w:rsid w:val="00CD0FCC"/>
    <w:rsid w:val="00CD29B7"/>
    <w:rsid w:val="00CD470E"/>
    <w:rsid w:val="00CD4FED"/>
    <w:rsid w:val="00CD5134"/>
    <w:rsid w:val="00CD7DA9"/>
    <w:rsid w:val="00CE1268"/>
    <w:rsid w:val="00CE2047"/>
    <w:rsid w:val="00CE50C1"/>
    <w:rsid w:val="00CE5100"/>
    <w:rsid w:val="00CE6847"/>
    <w:rsid w:val="00CE72F7"/>
    <w:rsid w:val="00CF2B39"/>
    <w:rsid w:val="00CF4814"/>
    <w:rsid w:val="00CF5A37"/>
    <w:rsid w:val="00CF5D85"/>
    <w:rsid w:val="00D00E5F"/>
    <w:rsid w:val="00D00F28"/>
    <w:rsid w:val="00D01299"/>
    <w:rsid w:val="00D02303"/>
    <w:rsid w:val="00D062F8"/>
    <w:rsid w:val="00D100D2"/>
    <w:rsid w:val="00D10B5D"/>
    <w:rsid w:val="00D10B85"/>
    <w:rsid w:val="00D1332D"/>
    <w:rsid w:val="00D139C1"/>
    <w:rsid w:val="00D13EBB"/>
    <w:rsid w:val="00D1460E"/>
    <w:rsid w:val="00D14D62"/>
    <w:rsid w:val="00D16E2A"/>
    <w:rsid w:val="00D17084"/>
    <w:rsid w:val="00D2124A"/>
    <w:rsid w:val="00D212B0"/>
    <w:rsid w:val="00D2172D"/>
    <w:rsid w:val="00D219A5"/>
    <w:rsid w:val="00D30289"/>
    <w:rsid w:val="00D3272B"/>
    <w:rsid w:val="00D32778"/>
    <w:rsid w:val="00D35478"/>
    <w:rsid w:val="00D366F3"/>
    <w:rsid w:val="00D36D97"/>
    <w:rsid w:val="00D404A5"/>
    <w:rsid w:val="00D418EC"/>
    <w:rsid w:val="00D42959"/>
    <w:rsid w:val="00D42A02"/>
    <w:rsid w:val="00D42A92"/>
    <w:rsid w:val="00D44673"/>
    <w:rsid w:val="00D45BAE"/>
    <w:rsid w:val="00D5003D"/>
    <w:rsid w:val="00D5251F"/>
    <w:rsid w:val="00D52D00"/>
    <w:rsid w:val="00D531C2"/>
    <w:rsid w:val="00D54CA6"/>
    <w:rsid w:val="00D57FCC"/>
    <w:rsid w:val="00D6032C"/>
    <w:rsid w:val="00D618DE"/>
    <w:rsid w:val="00D66D1A"/>
    <w:rsid w:val="00D70F22"/>
    <w:rsid w:val="00D727C8"/>
    <w:rsid w:val="00D73B35"/>
    <w:rsid w:val="00D74F1C"/>
    <w:rsid w:val="00D75B20"/>
    <w:rsid w:val="00D760F5"/>
    <w:rsid w:val="00D768E8"/>
    <w:rsid w:val="00D85808"/>
    <w:rsid w:val="00D85E11"/>
    <w:rsid w:val="00D872F4"/>
    <w:rsid w:val="00D91902"/>
    <w:rsid w:val="00D935F7"/>
    <w:rsid w:val="00D967C3"/>
    <w:rsid w:val="00D981CF"/>
    <w:rsid w:val="00DA1708"/>
    <w:rsid w:val="00DA1991"/>
    <w:rsid w:val="00DA19A2"/>
    <w:rsid w:val="00DA1FDD"/>
    <w:rsid w:val="00DA2247"/>
    <w:rsid w:val="00DA316A"/>
    <w:rsid w:val="00DA7120"/>
    <w:rsid w:val="00DB2081"/>
    <w:rsid w:val="00DB2095"/>
    <w:rsid w:val="00DB4526"/>
    <w:rsid w:val="00DB771C"/>
    <w:rsid w:val="00DC6056"/>
    <w:rsid w:val="00DC6E6F"/>
    <w:rsid w:val="00DC7E82"/>
    <w:rsid w:val="00DD1DD9"/>
    <w:rsid w:val="00DD2E8E"/>
    <w:rsid w:val="00DD4149"/>
    <w:rsid w:val="00DD459B"/>
    <w:rsid w:val="00DE420D"/>
    <w:rsid w:val="00DE4CE2"/>
    <w:rsid w:val="00DE60C8"/>
    <w:rsid w:val="00DF2FB3"/>
    <w:rsid w:val="00DF3A02"/>
    <w:rsid w:val="00DF463A"/>
    <w:rsid w:val="00DF5376"/>
    <w:rsid w:val="00DF6A93"/>
    <w:rsid w:val="00E00387"/>
    <w:rsid w:val="00E012C7"/>
    <w:rsid w:val="00E01A72"/>
    <w:rsid w:val="00E02C31"/>
    <w:rsid w:val="00E0731C"/>
    <w:rsid w:val="00E07FB8"/>
    <w:rsid w:val="00E14189"/>
    <w:rsid w:val="00E2068F"/>
    <w:rsid w:val="00E206E7"/>
    <w:rsid w:val="00E24B0A"/>
    <w:rsid w:val="00E25599"/>
    <w:rsid w:val="00E25887"/>
    <w:rsid w:val="00E25B69"/>
    <w:rsid w:val="00E26089"/>
    <w:rsid w:val="00E26471"/>
    <w:rsid w:val="00E2655F"/>
    <w:rsid w:val="00E306DE"/>
    <w:rsid w:val="00E3509E"/>
    <w:rsid w:val="00E3589E"/>
    <w:rsid w:val="00E3678E"/>
    <w:rsid w:val="00E375C0"/>
    <w:rsid w:val="00E378FD"/>
    <w:rsid w:val="00E37BD2"/>
    <w:rsid w:val="00E4053D"/>
    <w:rsid w:val="00E44AE8"/>
    <w:rsid w:val="00E450AD"/>
    <w:rsid w:val="00E460B2"/>
    <w:rsid w:val="00E469C2"/>
    <w:rsid w:val="00E46B57"/>
    <w:rsid w:val="00E51167"/>
    <w:rsid w:val="00E5328F"/>
    <w:rsid w:val="00E5366B"/>
    <w:rsid w:val="00E539A8"/>
    <w:rsid w:val="00E5437A"/>
    <w:rsid w:val="00E54F86"/>
    <w:rsid w:val="00E60012"/>
    <w:rsid w:val="00E60324"/>
    <w:rsid w:val="00E6127B"/>
    <w:rsid w:val="00E62D44"/>
    <w:rsid w:val="00E63FB0"/>
    <w:rsid w:val="00E660D2"/>
    <w:rsid w:val="00E668F4"/>
    <w:rsid w:val="00E70933"/>
    <w:rsid w:val="00E70AC8"/>
    <w:rsid w:val="00E72E12"/>
    <w:rsid w:val="00E74A89"/>
    <w:rsid w:val="00E80566"/>
    <w:rsid w:val="00E815D4"/>
    <w:rsid w:val="00E817F0"/>
    <w:rsid w:val="00E81E82"/>
    <w:rsid w:val="00E84093"/>
    <w:rsid w:val="00E849F3"/>
    <w:rsid w:val="00E858AF"/>
    <w:rsid w:val="00E87E3A"/>
    <w:rsid w:val="00E91D47"/>
    <w:rsid w:val="00E91DAC"/>
    <w:rsid w:val="00E92202"/>
    <w:rsid w:val="00E926C6"/>
    <w:rsid w:val="00E93C6F"/>
    <w:rsid w:val="00E93E0D"/>
    <w:rsid w:val="00E94060"/>
    <w:rsid w:val="00E94FB6"/>
    <w:rsid w:val="00E971D0"/>
    <w:rsid w:val="00EA5616"/>
    <w:rsid w:val="00EB5A4A"/>
    <w:rsid w:val="00EB777D"/>
    <w:rsid w:val="00EC32DC"/>
    <w:rsid w:val="00EC3A32"/>
    <w:rsid w:val="00EC4D27"/>
    <w:rsid w:val="00EC6870"/>
    <w:rsid w:val="00ED02E9"/>
    <w:rsid w:val="00ED0EF6"/>
    <w:rsid w:val="00ED1773"/>
    <w:rsid w:val="00ED18BE"/>
    <w:rsid w:val="00ED5BAE"/>
    <w:rsid w:val="00ED63FF"/>
    <w:rsid w:val="00ED6DCC"/>
    <w:rsid w:val="00ED710E"/>
    <w:rsid w:val="00ED7DF4"/>
    <w:rsid w:val="00EE1252"/>
    <w:rsid w:val="00EE1665"/>
    <w:rsid w:val="00EE300E"/>
    <w:rsid w:val="00EE43B1"/>
    <w:rsid w:val="00EE52C9"/>
    <w:rsid w:val="00EE579A"/>
    <w:rsid w:val="00EF0766"/>
    <w:rsid w:val="00EF13A5"/>
    <w:rsid w:val="00EF1FD4"/>
    <w:rsid w:val="00EF2633"/>
    <w:rsid w:val="00EF277B"/>
    <w:rsid w:val="00EF2981"/>
    <w:rsid w:val="00EF3756"/>
    <w:rsid w:val="00EF7358"/>
    <w:rsid w:val="00EF770D"/>
    <w:rsid w:val="00F00CF0"/>
    <w:rsid w:val="00F014C2"/>
    <w:rsid w:val="00F02B71"/>
    <w:rsid w:val="00F038DE"/>
    <w:rsid w:val="00F041A4"/>
    <w:rsid w:val="00F07882"/>
    <w:rsid w:val="00F103B8"/>
    <w:rsid w:val="00F11C9A"/>
    <w:rsid w:val="00F12275"/>
    <w:rsid w:val="00F13A2E"/>
    <w:rsid w:val="00F206A3"/>
    <w:rsid w:val="00F2128E"/>
    <w:rsid w:val="00F21923"/>
    <w:rsid w:val="00F23867"/>
    <w:rsid w:val="00F246F4"/>
    <w:rsid w:val="00F27511"/>
    <w:rsid w:val="00F30C33"/>
    <w:rsid w:val="00F3186A"/>
    <w:rsid w:val="00F3578A"/>
    <w:rsid w:val="00F370E9"/>
    <w:rsid w:val="00F40B20"/>
    <w:rsid w:val="00F431C3"/>
    <w:rsid w:val="00F431D3"/>
    <w:rsid w:val="00F44CC9"/>
    <w:rsid w:val="00F478FE"/>
    <w:rsid w:val="00F50BEA"/>
    <w:rsid w:val="00F51822"/>
    <w:rsid w:val="00F52DCF"/>
    <w:rsid w:val="00F53F67"/>
    <w:rsid w:val="00F54064"/>
    <w:rsid w:val="00F54297"/>
    <w:rsid w:val="00F55A1B"/>
    <w:rsid w:val="00F55F77"/>
    <w:rsid w:val="00F562AC"/>
    <w:rsid w:val="00F57F2D"/>
    <w:rsid w:val="00F61B89"/>
    <w:rsid w:val="00F63CBC"/>
    <w:rsid w:val="00F653EB"/>
    <w:rsid w:val="00F65D50"/>
    <w:rsid w:val="00F667F2"/>
    <w:rsid w:val="00F66AA8"/>
    <w:rsid w:val="00F70D53"/>
    <w:rsid w:val="00F70F5A"/>
    <w:rsid w:val="00F7124F"/>
    <w:rsid w:val="00F71DFB"/>
    <w:rsid w:val="00F723E4"/>
    <w:rsid w:val="00F741C4"/>
    <w:rsid w:val="00F74E07"/>
    <w:rsid w:val="00F75ABF"/>
    <w:rsid w:val="00F76D23"/>
    <w:rsid w:val="00F76E5C"/>
    <w:rsid w:val="00F775BB"/>
    <w:rsid w:val="00F832EB"/>
    <w:rsid w:val="00F839D0"/>
    <w:rsid w:val="00F84814"/>
    <w:rsid w:val="00F85D29"/>
    <w:rsid w:val="00F86BF7"/>
    <w:rsid w:val="00F878CF"/>
    <w:rsid w:val="00F91A21"/>
    <w:rsid w:val="00F936B2"/>
    <w:rsid w:val="00F947B5"/>
    <w:rsid w:val="00F954E7"/>
    <w:rsid w:val="00FA076A"/>
    <w:rsid w:val="00FA2F2A"/>
    <w:rsid w:val="00FA3E34"/>
    <w:rsid w:val="00FA5886"/>
    <w:rsid w:val="00FA65F2"/>
    <w:rsid w:val="00FA7191"/>
    <w:rsid w:val="00FB0B61"/>
    <w:rsid w:val="00FB2220"/>
    <w:rsid w:val="00FB36D9"/>
    <w:rsid w:val="00FB5BCA"/>
    <w:rsid w:val="00FB6E68"/>
    <w:rsid w:val="00FB7A93"/>
    <w:rsid w:val="00FC5052"/>
    <w:rsid w:val="00FC5D3D"/>
    <w:rsid w:val="00FC650B"/>
    <w:rsid w:val="00FD00C5"/>
    <w:rsid w:val="00FD1A86"/>
    <w:rsid w:val="00FD3AE6"/>
    <w:rsid w:val="00FD4A3D"/>
    <w:rsid w:val="00FD4A44"/>
    <w:rsid w:val="00FD522A"/>
    <w:rsid w:val="00FD6274"/>
    <w:rsid w:val="00FE2309"/>
    <w:rsid w:val="00FE3260"/>
    <w:rsid w:val="00FE3BFD"/>
    <w:rsid w:val="00FE760A"/>
    <w:rsid w:val="00FE7A43"/>
    <w:rsid w:val="00FE7DB1"/>
    <w:rsid w:val="00FE7F54"/>
    <w:rsid w:val="00FF06BC"/>
    <w:rsid w:val="00FF10AD"/>
    <w:rsid w:val="00FF5459"/>
    <w:rsid w:val="0108667C"/>
    <w:rsid w:val="010ECBB3"/>
    <w:rsid w:val="011D50E8"/>
    <w:rsid w:val="01540EC0"/>
    <w:rsid w:val="018A88FC"/>
    <w:rsid w:val="01AAA82A"/>
    <w:rsid w:val="01CA2277"/>
    <w:rsid w:val="01D13445"/>
    <w:rsid w:val="01DDC017"/>
    <w:rsid w:val="01E01C4C"/>
    <w:rsid w:val="01F19BE6"/>
    <w:rsid w:val="02016F4D"/>
    <w:rsid w:val="0233059B"/>
    <w:rsid w:val="0259E7FC"/>
    <w:rsid w:val="026E72D7"/>
    <w:rsid w:val="027AFEE6"/>
    <w:rsid w:val="02A2C3F0"/>
    <w:rsid w:val="02ADD888"/>
    <w:rsid w:val="02B3DF6C"/>
    <w:rsid w:val="02D2EB17"/>
    <w:rsid w:val="0312B7A6"/>
    <w:rsid w:val="032C1AD9"/>
    <w:rsid w:val="0351E467"/>
    <w:rsid w:val="035674D8"/>
    <w:rsid w:val="036FC68E"/>
    <w:rsid w:val="037372A3"/>
    <w:rsid w:val="03933520"/>
    <w:rsid w:val="03B312F5"/>
    <w:rsid w:val="040982EA"/>
    <w:rsid w:val="040F8E01"/>
    <w:rsid w:val="04175596"/>
    <w:rsid w:val="0422D1BF"/>
    <w:rsid w:val="0430CA27"/>
    <w:rsid w:val="04532428"/>
    <w:rsid w:val="048044B7"/>
    <w:rsid w:val="04984754"/>
    <w:rsid w:val="04AAF935"/>
    <w:rsid w:val="04BB97AB"/>
    <w:rsid w:val="04E33BA9"/>
    <w:rsid w:val="04E70196"/>
    <w:rsid w:val="052E0899"/>
    <w:rsid w:val="053018EB"/>
    <w:rsid w:val="054BF6C3"/>
    <w:rsid w:val="054F2CBC"/>
    <w:rsid w:val="0567A035"/>
    <w:rsid w:val="0585B071"/>
    <w:rsid w:val="05B88947"/>
    <w:rsid w:val="05BED654"/>
    <w:rsid w:val="05D5DA33"/>
    <w:rsid w:val="05F58FE5"/>
    <w:rsid w:val="06247D3E"/>
    <w:rsid w:val="0627B1A8"/>
    <w:rsid w:val="064D4B2D"/>
    <w:rsid w:val="064EE122"/>
    <w:rsid w:val="06543D47"/>
    <w:rsid w:val="0662BEF9"/>
    <w:rsid w:val="066BDE3A"/>
    <w:rsid w:val="0696372D"/>
    <w:rsid w:val="06A5825C"/>
    <w:rsid w:val="06BE1BA2"/>
    <w:rsid w:val="06E55792"/>
    <w:rsid w:val="07154609"/>
    <w:rsid w:val="072B1CE7"/>
    <w:rsid w:val="07406AAB"/>
    <w:rsid w:val="079C4DA0"/>
    <w:rsid w:val="079EEDD2"/>
    <w:rsid w:val="07B59C75"/>
    <w:rsid w:val="07C4E16C"/>
    <w:rsid w:val="07D5EF37"/>
    <w:rsid w:val="07E237AE"/>
    <w:rsid w:val="0825AE9E"/>
    <w:rsid w:val="0867A682"/>
    <w:rsid w:val="086F19A3"/>
    <w:rsid w:val="094887ED"/>
    <w:rsid w:val="095AEFF5"/>
    <w:rsid w:val="0968093E"/>
    <w:rsid w:val="0971BBD5"/>
    <w:rsid w:val="09A70926"/>
    <w:rsid w:val="09A965CA"/>
    <w:rsid w:val="09BA482A"/>
    <w:rsid w:val="09F4AFFE"/>
    <w:rsid w:val="0A1D84EE"/>
    <w:rsid w:val="0A394690"/>
    <w:rsid w:val="0A4BBF4F"/>
    <w:rsid w:val="0A4EBC9B"/>
    <w:rsid w:val="0A67E3A6"/>
    <w:rsid w:val="0A7351F7"/>
    <w:rsid w:val="0A7558D9"/>
    <w:rsid w:val="0A84035B"/>
    <w:rsid w:val="0ADCA1A2"/>
    <w:rsid w:val="0B281774"/>
    <w:rsid w:val="0B2C760F"/>
    <w:rsid w:val="0B738A64"/>
    <w:rsid w:val="0B78F581"/>
    <w:rsid w:val="0B9EA44F"/>
    <w:rsid w:val="0BB81D5C"/>
    <w:rsid w:val="0BD7B69A"/>
    <w:rsid w:val="0BDCC97A"/>
    <w:rsid w:val="0BDE8709"/>
    <w:rsid w:val="0BF4E14C"/>
    <w:rsid w:val="0C1B048D"/>
    <w:rsid w:val="0C3AFD30"/>
    <w:rsid w:val="0C490EBE"/>
    <w:rsid w:val="0C8F57D7"/>
    <w:rsid w:val="0C9A85BF"/>
    <w:rsid w:val="0D49272E"/>
    <w:rsid w:val="0D5E7E94"/>
    <w:rsid w:val="0D6A66C4"/>
    <w:rsid w:val="0D808920"/>
    <w:rsid w:val="0D86AD84"/>
    <w:rsid w:val="0DB410A8"/>
    <w:rsid w:val="0DC1A007"/>
    <w:rsid w:val="0DF219E3"/>
    <w:rsid w:val="0DFCCD12"/>
    <w:rsid w:val="0E1C2457"/>
    <w:rsid w:val="0E38E79A"/>
    <w:rsid w:val="0E420467"/>
    <w:rsid w:val="0E53C908"/>
    <w:rsid w:val="0E75BE48"/>
    <w:rsid w:val="0E839FBF"/>
    <w:rsid w:val="0EA0D9B7"/>
    <w:rsid w:val="0EBAADDD"/>
    <w:rsid w:val="0EC528E2"/>
    <w:rsid w:val="0EECDDB8"/>
    <w:rsid w:val="0EEE72A1"/>
    <w:rsid w:val="0EF8AA78"/>
    <w:rsid w:val="0F1E8490"/>
    <w:rsid w:val="0F2CB440"/>
    <w:rsid w:val="0F3AE885"/>
    <w:rsid w:val="0F64FD64"/>
    <w:rsid w:val="0F8AF51B"/>
    <w:rsid w:val="0FA6DED7"/>
    <w:rsid w:val="0FB1E0C8"/>
    <w:rsid w:val="0FB9FCBA"/>
    <w:rsid w:val="0FD23066"/>
    <w:rsid w:val="0FDC2254"/>
    <w:rsid w:val="0FF0F532"/>
    <w:rsid w:val="1007DD08"/>
    <w:rsid w:val="1028E944"/>
    <w:rsid w:val="10430F3C"/>
    <w:rsid w:val="104CF14D"/>
    <w:rsid w:val="1060F943"/>
    <w:rsid w:val="10621922"/>
    <w:rsid w:val="1086AE3E"/>
    <w:rsid w:val="109ACF6D"/>
    <w:rsid w:val="10B048E8"/>
    <w:rsid w:val="10DB0437"/>
    <w:rsid w:val="1106E685"/>
    <w:rsid w:val="11070CFA"/>
    <w:rsid w:val="1144914B"/>
    <w:rsid w:val="11481420"/>
    <w:rsid w:val="11628FAE"/>
    <w:rsid w:val="11721278"/>
    <w:rsid w:val="117322C0"/>
    <w:rsid w:val="11750EA5"/>
    <w:rsid w:val="119BF17E"/>
    <w:rsid w:val="11A2DE93"/>
    <w:rsid w:val="11F0FFB5"/>
    <w:rsid w:val="12266576"/>
    <w:rsid w:val="1267B999"/>
    <w:rsid w:val="12C12485"/>
    <w:rsid w:val="12D276EF"/>
    <w:rsid w:val="13298AF9"/>
    <w:rsid w:val="13C7F6A3"/>
    <w:rsid w:val="13E66673"/>
    <w:rsid w:val="13E976C6"/>
    <w:rsid w:val="13EF3A03"/>
    <w:rsid w:val="141AA586"/>
    <w:rsid w:val="141D6A0F"/>
    <w:rsid w:val="1449C1D1"/>
    <w:rsid w:val="1456E7A3"/>
    <w:rsid w:val="14760B4B"/>
    <w:rsid w:val="14937EBC"/>
    <w:rsid w:val="14A7DF72"/>
    <w:rsid w:val="14FE5B97"/>
    <w:rsid w:val="1513036E"/>
    <w:rsid w:val="151C53A3"/>
    <w:rsid w:val="153A900B"/>
    <w:rsid w:val="15433931"/>
    <w:rsid w:val="1545BD00"/>
    <w:rsid w:val="154B6599"/>
    <w:rsid w:val="154D35EC"/>
    <w:rsid w:val="157D22B5"/>
    <w:rsid w:val="1580D624"/>
    <w:rsid w:val="159D69D4"/>
    <w:rsid w:val="15F153FB"/>
    <w:rsid w:val="15FD5805"/>
    <w:rsid w:val="1657DC39"/>
    <w:rsid w:val="165A0748"/>
    <w:rsid w:val="16696889"/>
    <w:rsid w:val="167AD4E2"/>
    <w:rsid w:val="169DDD8F"/>
    <w:rsid w:val="16E24C73"/>
    <w:rsid w:val="16F7E8F3"/>
    <w:rsid w:val="16FB15EC"/>
    <w:rsid w:val="172CD20D"/>
    <w:rsid w:val="1734CACA"/>
    <w:rsid w:val="174D1E9A"/>
    <w:rsid w:val="175373F7"/>
    <w:rsid w:val="1768A32C"/>
    <w:rsid w:val="1795D37F"/>
    <w:rsid w:val="17AD15D1"/>
    <w:rsid w:val="17B9250C"/>
    <w:rsid w:val="17C16154"/>
    <w:rsid w:val="17DD57ED"/>
    <w:rsid w:val="17E5108A"/>
    <w:rsid w:val="17E6B8A1"/>
    <w:rsid w:val="17FEE4C6"/>
    <w:rsid w:val="1802A385"/>
    <w:rsid w:val="180A168D"/>
    <w:rsid w:val="182B9E64"/>
    <w:rsid w:val="182E39AD"/>
    <w:rsid w:val="1832FD08"/>
    <w:rsid w:val="184C593D"/>
    <w:rsid w:val="1852F846"/>
    <w:rsid w:val="18571A41"/>
    <w:rsid w:val="185BFF41"/>
    <w:rsid w:val="185DEA73"/>
    <w:rsid w:val="187FED78"/>
    <w:rsid w:val="18A2FE08"/>
    <w:rsid w:val="18AC09E9"/>
    <w:rsid w:val="18D22EC2"/>
    <w:rsid w:val="19425233"/>
    <w:rsid w:val="194BF6DE"/>
    <w:rsid w:val="19591A52"/>
    <w:rsid w:val="195F6D27"/>
    <w:rsid w:val="19890A2F"/>
    <w:rsid w:val="19BC95D4"/>
    <w:rsid w:val="19DC719E"/>
    <w:rsid w:val="19F415FB"/>
    <w:rsid w:val="1A14B7C5"/>
    <w:rsid w:val="1A1A8CA1"/>
    <w:rsid w:val="1A1F1590"/>
    <w:rsid w:val="1A250C25"/>
    <w:rsid w:val="1A458535"/>
    <w:rsid w:val="1A9CDFDA"/>
    <w:rsid w:val="1AEC0BBC"/>
    <w:rsid w:val="1AF3C4B2"/>
    <w:rsid w:val="1AFCDB04"/>
    <w:rsid w:val="1B023CA9"/>
    <w:rsid w:val="1B3DE07C"/>
    <w:rsid w:val="1B48807D"/>
    <w:rsid w:val="1B53CB64"/>
    <w:rsid w:val="1B5C2F2D"/>
    <w:rsid w:val="1B60C0F5"/>
    <w:rsid w:val="1B97023C"/>
    <w:rsid w:val="1BAD4187"/>
    <w:rsid w:val="1BB3CBFA"/>
    <w:rsid w:val="1BBA4D27"/>
    <w:rsid w:val="1BC0A61B"/>
    <w:rsid w:val="1BC22843"/>
    <w:rsid w:val="1BD443BB"/>
    <w:rsid w:val="1C0A201B"/>
    <w:rsid w:val="1C175398"/>
    <w:rsid w:val="1C2F6FCA"/>
    <w:rsid w:val="1C4EAC98"/>
    <w:rsid w:val="1C59DA2C"/>
    <w:rsid w:val="1C640F8E"/>
    <w:rsid w:val="1C9186C0"/>
    <w:rsid w:val="1C9E6180"/>
    <w:rsid w:val="1CA2B821"/>
    <w:rsid w:val="1CAD8EB7"/>
    <w:rsid w:val="1CD0BEB8"/>
    <w:rsid w:val="1CD3F68F"/>
    <w:rsid w:val="1CF4DBA3"/>
    <w:rsid w:val="1D3E92F0"/>
    <w:rsid w:val="1D570799"/>
    <w:rsid w:val="1D628A6C"/>
    <w:rsid w:val="1D6EE3DD"/>
    <w:rsid w:val="1D8379D5"/>
    <w:rsid w:val="1E0B41BA"/>
    <w:rsid w:val="1E100A14"/>
    <w:rsid w:val="1E20F4D7"/>
    <w:rsid w:val="1E4C4732"/>
    <w:rsid w:val="1E5242F2"/>
    <w:rsid w:val="1E678956"/>
    <w:rsid w:val="1EACFBFC"/>
    <w:rsid w:val="1EAE5161"/>
    <w:rsid w:val="1EB76AA5"/>
    <w:rsid w:val="1EC8327A"/>
    <w:rsid w:val="1ECB7396"/>
    <w:rsid w:val="1ED4F577"/>
    <w:rsid w:val="1EDEBA78"/>
    <w:rsid w:val="1F00C032"/>
    <w:rsid w:val="1F40B88E"/>
    <w:rsid w:val="1F61E58D"/>
    <w:rsid w:val="1FA4DCDE"/>
    <w:rsid w:val="201FD784"/>
    <w:rsid w:val="2026F3BD"/>
    <w:rsid w:val="202849EB"/>
    <w:rsid w:val="20312C36"/>
    <w:rsid w:val="206D473C"/>
    <w:rsid w:val="20BD363C"/>
    <w:rsid w:val="20ED5C3E"/>
    <w:rsid w:val="210DF25E"/>
    <w:rsid w:val="2121885B"/>
    <w:rsid w:val="216C34B5"/>
    <w:rsid w:val="21749AC3"/>
    <w:rsid w:val="217C27A6"/>
    <w:rsid w:val="218320BE"/>
    <w:rsid w:val="21834DAE"/>
    <w:rsid w:val="21FB839B"/>
    <w:rsid w:val="2297DAA1"/>
    <w:rsid w:val="22B32697"/>
    <w:rsid w:val="22F8F453"/>
    <w:rsid w:val="22FE6BCC"/>
    <w:rsid w:val="235F1966"/>
    <w:rsid w:val="2360815F"/>
    <w:rsid w:val="237DBBC1"/>
    <w:rsid w:val="23947165"/>
    <w:rsid w:val="23D2F168"/>
    <w:rsid w:val="23DFAA00"/>
    <w:rsid w:val="24331EC1"/>
    <w:rsid w:val="24394AF5"/>
    <w:rsid w:val="245673C1"/>
    <w:rsid w:val="24648427"/>
    <w:rsid w:val="24655220"/>
    <w:rsid w:val="24814D32"/>
    <w:rsid w:val="2491F42B"/>
    <w:rsid w:val="24AB3A7D"/>
    <w:rsid w:val="25026796"/>
    <w:rsid w:val="2511DD00"/>
    <w:rsid w:val="251FC105"/>
    <w:rsid w:val="252D6242"/>
    <w:rsid w:val="253DE418"/>
    <w:rsid w:val="2598A354"/>
    <w:rsid w:val="25A2014E"/>
    <w:rsid w:val="25A81E9A"/>
    <w:rsid w:val="25AA424F"/>
    <w:rsid w:val="25F53BE9"/>
    <w:rsid w:val="264287D3"/>
    <w:rsid w:val="26BEF885"/>
    <w:rsid w:val="26C37AC4"/>
    <w:rsid w:val="26C878A7"/>
    <w:rsid w:val="26DED561"/>
    <w:rsid w:val="2708E16A"/>
    <w:rsid w:val="272E2C87"/>
    <w:rsid w:val="2764FD68"/>
    <w:rsid w:val="2771488E"/>
    <w:rsid w:val="27B97DCF"/>
    <w:rsid w:val="27B9B3C4"/>
    <w:rsid w:val="27EB65D6"/>
    <w:rsid w:val="281944D3"/>
    <w:rsid w:val="284EEBAA"/>
    <w:rsid w:val="289089EC"/>
    <w:rsid w:val="289E91AB"/>
    <w:rsid w:val="28A5A379"/>
    <w:rsid w:val="28A91281"/>
    <w:rsid w:val="2904A754"/>
    <w:rsid w:val="29073221"/>
    <w:rsid w:val="290AB929"/>
    <w:rsid w:val="29277860"/>
    <w:rsid w:val="293496AB"/>
    <w:rsid w:val="295F67B8"/>
    <w:rsid w:val="29D678AE"/>
    <w:rsid w:val="2A3010FF"/>
    <w:rsid w:val="2A5D73C7"/>
    <w:rsid w:val="2A66E55B"/>
    <w:rsid w:val="2A747718"/>
    <w:rsid w:val="2A9E49D5"/>
    <w:rsid w:val="2ADF97AD"/>
    <w:rsid w:val="2B002A98"/>
    <w:rsid w:val="2B1AE174"/>
    <w:rsid w:val="2B64EB9F"/>
    <w:rsid w:val="2B81C37B"/>
    <w:rsid w:val="2BA5B695"/>
    <w:rsid w:val="2BB69BD6"/>
    <w:rsid w:val="2BB747CE"/>
    <w:rsid w:val="2BC8F3A5"/>
    <w:rsid w:val="2BC965CB"/>
    <w:rsid w:val="2BEA3365"/>
    <w:rsid w:val="2C400123"/>
    <w:rsid w:val="2C48C1F0"/>
    <w:rsid w:val="2C5A1FA5"/>
    <w:rsid w:val="2C720FC9"/>
    <w:rsid w:val="2C858E8F"/>
    <w:rsid w:val="2C87AA07"/>
    <w:rsid w:val="2CACBC4D"/>
    <w:rsid w:val="2CAE2D06"/>
    <w:rsid w:val="2CBD2676"/>
    <w:rsid w:val="2CC347F6"/>
    <w:rsid w:val="2CD24DEF"/>
    <w:rsid w:val="2CD44848"/>
    <w:rsid w:val="2CF5B9F9"/>
    <w:rsid w:val="2CF6F6D8"/>
    <w:rsid w:val="2CF826D4"/>
    <w:rsid w:val="2D1B287D"/>
    <w:rsid w:val="2D1BD60A"/>
    <w:rsid w:val="2D37CF8A"/>
    <w:rsid w:val="2D386F98"/>
    <w:rsid w:val="2D4AC6FD"/>
    <w:rsid w:val="2D5F0D09"/>
    <w:rsid w:val="2D8F288C"/>
    <w:rsid w:val="2DB93CF9"/>
    <w:rsid w:val="2E07C400"/>
    <w:rsid w:val="2E1C3B4B"/>
    <w:rsid w:val="2E5A4D4B"/>
    <w:rsid w:val="2E5E0F02"/>
    <w:rsid w:val="2E6A1BC9"/>
    <w:rsid w:val="2E7DFDE9"/>
    <w:rsid w:val="2E91AB1D"/>
    <w:rsid w:val="2ECED58F"/>
    <w:rsid w:val="2EE96695"/>
    <w:rsid w:val="2F08481E"/>
    <w:rsid w:val="2F1E70B2"/>
    <w:rsid w:val="2F3E673A"/>
    <w:rsid w:val="2F62174F"/>
    <w:rsid w:val="2F823C48"/>
    <w:rsid w:val="2F855B3C"/>
    <w:rsid w:val="2F8AA0ED"/>
    <w:rsid w:val="2F9C5FCB"/>
    <w:rsid w:val="2FE5BE31"/>
    <w:rsid w:val="2FFB72FA"/>
    <w:rsid w:val="300D06E7"/>
    <w:rsid w:val="308239AA"/>
    <w:rsid w:val="30898AE3"/>
    <w:rsid w:val="30C67885"/>
    <w:rsid w:val="30CA58D3"/>
    <w:rsid w:val="30CB4FF0"/>
    <w:rsid w:val="30EFB800"/>
    <w:rsid w:val="30F7D1DA"/>
    <w:rsid w:val="3153A971"/>
    <w:rsid w:val="315DBC22"/>
    <w:rsid w:val="31896227"/>
    <w:rsid w:val="31961EEC"/>
    <w:rsid w:val="31D31243"/>
    <w:rsid w:val="31DC2541"/>
    <w:rsid w:val="31EF195B"/>
    <w:rsid w:val="31F0761D"/>
    <w:rsid w:val="31F6125D"/>
    <w:rsid w:val="31F732AC"/>
    <w:rsid w:val="3225B553"/>
    <w:rsid w:val="322C12C0"/>
    <w:rsid w:val="3245D239"/>
    <w:rsid w:val="329CF1D6"/>
    <w:rsid w:val="32B839AF"/>
    <w:rsid w:val="32D524E3"/>
    <w:rsid w:val="330425F0"/>
    <w:rsid w:val="338A80F8"/>
    <w:rsid w:val="33957AD9"/>
    <w:rsid w:val="33B6AE69"/>
    <w:rsid w:val="33FD73CD"/>
    <w:rsid w:val="343CA50D"/>
    <w:rsid w:val="34707EBE"/>
    <w:rsid w:val="3476B55D"/>
    <w:rsid w:val="347BD0AC"/>
    <w:rsid w:val="349D8EBE"/>
    <w:rsid w:val="34AF9D91"/>
    <w:rsid w:val="34B1C74E"/>
    <w:rsid w:val="34BC61B9"/>
    <w:rsid w:val="34D3DBEF"/>
    <w:rsid w:val="34D3F7F8"/>
    <w:rsid w:val="350DDD1A"/>
    <w:rsid w:val="3518C77A"/>
    <w:rsid w:val="3523AA50"/>
    <w:rsid w:val="3526CDA7"/>
    <w:rsid w:val="3546B43E"/>
    <w:rsid w:val="357C82F0"/>
    <w:rsid w:val="35804695"/>
    <w:rsid w:val="35840459"/>
    <w:rsid w:val="35AE7562"/>
    <w:rsid w:val="35C13C76"/>
    <w:rsid w:val="35DC33B8"/>
    <w:rsid w:val="3605E351"/>
    <w:rsid w:val="36326C98"/>
    <w:rsid w:val="3666ECFF"/>
    <w:rsid w:val="3669A356"/>
    <w:rsid w:val="366EEAE2"/>
    <w:rsid w:val="3671C84E"/>
    <w:rsid w:val="367B1C62"/>
    <w:rsid w:val="36B9970D"/>
    <w:rsid w:val="36CD9683"/>
    <w:rsid w:val="36EC533D"/>
    <w:rsid w:val="373C8F67"/>
    <w:rsid w:val="374D60C7"/>
    <w:rsid w:val="37D54ED8"/>
    <w:rsid w:val="37DA54B4"/>
    <w:rsid w:val="37F28523"/>
    <w:rsid w:val="384A6A4A"/>
    <w:rsid w:val="38611867"/>
    <w:rsid w:val="3871E6CD"/>
    <w:rsid w:val="3879FD7A"/>
    <w:rsid w:val="389599C6"/>
    <w:rsid w:val="3896C9F2"/>
    <w:rsid w:val="38C0BDB2"/>
    <w:rsid w:val="38CC566B"/>
    <w:rsid w:val="39752F71"/>
    <w:rsid w:val="3980DCBD"/>
    <w:rsid w:val="39DB4BFF"/>
    <w:rsid w:val="3A081FA2"/>
    <w:rsid w:val="3A2EEFA1"/>
    <w:rsid w:val="3A4D53B4"/>
    <w:rsid w:val="3A735A4F"/>
    <w:rsid w:val="3A86301D"/>
    <w:rsid w:val="3ABCA6BD"/>
    <w:rsid w:val="3AF1CED2"/>
    <w:rsid w:val="3B05F3CA"/>
    <w:rsid w:val="3B1F074E"/>
    <w:rsid w:val="3B2BE3DE"/>
    <w:rsid w:val="3B4FC928"/>
    <w:rsid w:val="3B507481"/>
    <w:rsid w:val="3B70E2F6"/>
    <w:rsid w:val="3B7A2678"/>
    <w:rsid w:val="3B91D9D0"/>
    <w:rsid w:val="3BC0F366"/>
    <w:rsid w:val="3BC6BAAD"/>
    <w:rsid w:val="3BF3D7BC"/>
    <w:rsid w:val="3C0568F2"/>
    <w:rsid w:val="3C11A3D1"/>
    <w:rsid w:val="3C33B736"/>
    <w:rsid w:val="3C4302CF"/>
    <w:rsid w:val="3C515D59"/>
    <w:rsid w:val="3C62CCED"/>
    <w:rsid w:val="3C7484C7"/>
    <w:rsid w:val="3C75DF6E"/>
    <w:rsid w:val="3C7EBF82"/>
    <w:rsid w:val="3D175708"/>
    <w:rsid w:val="3D176D47"/>
    <w:rsid w:val="3D1A6402"/>
    <w:rsid w:val="3D621982"/>
    <w:rsid w:val="3D66B0A3"/>
    <w:rsid w:val="3D6AAFAC"/>
    <w:rsid w:val="3D87408E"/>
    <w:rsid w:val="3DB21A77"/>
    <w:rsid w:val="3DBF0363"/>
    <w:rsid w:val="3DF35CA8"/>
    <w:rsid w:val="3DFC82BB"/>
    <w:rsid w:val="3E0BF14E"/>
    <w:rsid w:val="3E420A4B"/>
    <w:rsid w:val="3E645617"/>
    <w:rsid w:val="3E688E3D"/>
    <w:rsid w:val="3E72EED3"/>
    <w:rsid w:val="3EA58C48"/>
    <w:rsid w:val="3EF79B87"/>
    <w:rsid w:val="3EFB3BF5"/>
    <w:rsid w:val="3F4C6E03"/>
    <w:rsid w:val="3F6209AC"/>
    <w:rsid w:val="3F6888E5"/>
    <w:rsid w:val="3F78CEFD"/>
    <w:rsid w:val="3FA4BEAE"/>
    <w:rsid w:val="3FB08077"/>
    <w:rsid w:val="3FFA2A5E"/>
    <w:rsid w:val="400D7020"/>
    <w:rsid w:val="40148FDA"/>
    <w:rsid w:val="401E3E57"/>
    <w:rsid w:val="40A42EEA"/>
    <w:rsid w:val="40ACF33D"/>
    <w:rsid w:val="40C0F09B"/>
    <w:rsid w:val="40CFAC03"/>
    <w:rsid w:val="4119F469"/>
    <w:rsid w:val="412D66FF"/>
    <w:rsid w:val="414E6A4E"/>
    <w:rsid w:val="416B4188"/>
    <w:rsid w:val="41894E8C"/>
    <w:rsid w:val="419C04B4"/>
    <w:rsid w:val="419FAF4A"/>
    <w:rsid w:val="41BCD9D5"/>
    <w:rsid w:val="41CAE194"/>
    <w:rsid w:val="41DC012D"/>
    <w:rsid w:val="41FEDE26"/>
    <w:rsid w:val="42103DC9"/>
    <w:rsid w:val="4280DABD"/>
    <w:rsid w:val="430716EB"/>
    <w:rsid w:val="431B93E8"/>
    <w:rsid w:val="432F41E5"/>
    <w:rsid w:val="43476F5F"/>
    <w:rsid w:val="4354864A"/>
    <w:rsid w:val="43559894"/>
    <w:rsid w:val="43594CA2"/>
    <w:rsid w:val="4373CD2F"/>
    <w:rsid w:val="43805726"/>
    <w:rsid w:val="43A6D37B"/>
    <w:rsid w:val="43B4D2A7"/>
    <w:rsid w:val="43B7FD55"/>
    <w:rsid w:val="43E81CED"/>
    <w:rsid w:val="441E3EB5"/>
    <w:rsid w:val="44297AFB"/>
    <w:rsid w:val="443FBDF3"/>
    <w:rsid w:val="44B63F41"/>
    <w:rsid w:val="44BD2A97"/>
    <w:rsid w:val="44E5D135"/>
    <w:rsid w:val="4541E23F"/>
    <w:rsid w:val="456BD1A5"/>
    <w:rsid w:val="4589E07E"/>
    <w:rsid w:val="45B98E8F"/>
    <w:rsid w:val="45E80ACF"/>
    <w:rsid w:val="45F80CCE"/>
    <w:rsid w:val="460EBA3B"/>
    <w:rsid w:val="4611757B"/>
    <w:rsid w:val="462D01A8"/>
    <w:rsid w:val="46474797"/>
    <w:rsid w:val="4677ECFA"/>
    <w:rsid w:val="469BE3C4"/>
    <w:rsid w:val="46A7887A"/>
    <w:rsid w:val="46EDD4CE"/>
    <w:rsid w:val="472FF986"/>
    <w:rsid w:val="4750F641"/>
    <w:rsid w:val="478C924A"/>
    <w:rsid w:val="47A70CB0"/>
    <w:rsid w:val="47C7554D"/>
    <w:rsid w:val="47E0F162"/>
    <w:rsid w:val="47E8A123"/>
    <w:rsid w:val="48427F97"/>
    <w:rsid w:val="485387E3"/>
    <w:rsid w:val="486F8949"/>
    <w:rsid w:val="48759DBC"/>
    <w:rsid w:val="487FAABE"/>
    <w:rsid w:val="488E2BE7"/>
    <w:rsid w:val="4895C48A"/>
    <w:rsid w:val="48CD0F85"/>
    <w:rsid w:val="4909DBE1"/>
    <w:rsid w:val="491954E5"/>
    <w:rsid w:val="49396D52"/>
    <w:rsid w:val="493BB4EB"/>
    <w:rsid w:val="493DD483"/>
    <w:rsid w:val="49497FCD"/>
    <w:rsid w:val="4949822B"/>
    <w:rsid w:val="49513CE0"/>
    <w:rsid w:val="4A3DDA38"/>
    <w:rsid w:val="4A47D7F4"/>
    <w:rsid w:val="4A88C6D7"/>
    <w:rsid w:val="4A892AE1"/>
    <w:rsid w:val="4A92F3FF"/>
    <w:rsid w:val="4AA9DF29"/>
    <w:rsid w:val="4ABB174B"/>
    <w:rsid w:val="4ABD1A67"/>
    <w:rsid w:val="4AF3BF4B"/>
    <w:rsid w:val="4AF5F46F"/>
    <w:rsid w:val="4AF8FEDB"/>
    <w:rsid w:val="4B2CD6D3"/>
    <w:rsid w:val="4B73BC18"/>
    <w:rsid w:val="4BB5FC10"/>
    <w:rsid w:val="4BC7CE06"/>
    <w:rsid w:val="4BCE1BF5"/>
    <w:rsid w:val="4C188234"/>
    <w:rsid w:val="4C1CFD48"/>
    <w:rsid w:val="4C48217A"/>
    <w:rsid w:val="4CB2D3C0"/>
    <w:rsid w:val="4CB873DA"/>
    <w:rsid w:val="4CC7D7D5"/>
    <w:rsid w:val="4D26D31A"/>
    <w:rsid w:val="4D35FDF0"/>
    <w:rsid w:val="4D4A4F95"/>
    <w:rsid w:val="4D60E2B4"/>
    <w:rsid w:val="4D78105F"/>
    <w:rsid w:val="4D830289"/>
    <w:rsid w:val="4D83DA51"/>
    <w:rsid w:val="4D9FA54C"/>
    <w:rsid w:val="4DCA1DF6"/>
    <w:rsid w:val="4DEB44EC"/>
    <w:rsid w:val="4DFF8FFD"/>
    <w:rsid w:val="4E23D0B3"/>
    <w:rsid w:val="4E555724"/>
    <w:rsid w:val="4E91D4A8"/>
    <w:rsid w:val="4EB992F4"/>
    <w:rsid w:val="4EBB05EF"/>
    <w:rsid w:val="4EC8B8E7"/>
    <w:rsid w:val="4EDA6547"/>
    <w:rsid w:val="4EEA8759"/>
    <w:rsid w:val="4EFB7DC3"/>
    <w:rsid w:val="4F16AFFA"/>
    <w:rsid w:val="4F398741"/>
    <w:rsid w:val="4F4FAFF1"/>
    <w:rsid w:val="4F5E9594"/>
    <w:rsid w:val="4F60E6AB"/>
    <w:rsid w:val="4F690AA7"/>
    <w:rsid w:val="4F8EA201"/>
    <w:rsid w:val="4F9C0F37"/>
    <w:rsid w:val="4FAB4CEA"/>
    <w:rsid w:val="4FB72AEC"/>
    <w:rsid w:val="4FC5A13A"/>
    <w:rsid w:val="4FCD9EEE"/>
    <w:rsid w:val="4FD25322"/>
    <w:rsid w:val="4FDD08C5"/>
    <w:rsid w:val="50330A07"/>
    <w:rsid w:val="50404C66"/>
    <w:rsid w:val="5077D76B"/>
    <w:rsid w:val="508D1BD0"/>
    <w:rsid w:val="50944885"/>
    <w:rsid w:val="50A20464"/>
    <w:rsid w:val="50C573EC"/>
    <w:rsid w:val="50DE0C18"/>
    <w:rsid w:val="50FCDF10"/>
    <w:rsid w:val="511E7AF7"/>
    <w:rsid w:val="516E890F"/>
    <w:rsid w:val="51D73B74"/>
    <w:rsid w:val="51DC6131"/>
    <w:rsid w:val="51F6DDA4"/>
    <w:rsid w:val="51F71277"/>
    <w:rsid w:val="52015EA1"/>
    <w:rsid w:val="5241F0CE"/>
    <w:rsid w:val="528D676E"/>
    <w:rsid w:val="52973827"/>
    <w:rsid w:val="52F3B161"/>
    <w:rsid w:val="531E2AA4"/>
    <w:rsid w:val="5323F80A"/>
    <w:rsid w:val="53306683"/>
    <w:rsid w:val="53482BD0"/>
    <w:rsid w:val="5355CC8A"/>
    <w:rsid w:val="5399F2CB"/>
    <w:rsid w:val="539BCA46"/>
    <w:rsid w:val="53C475A0"/>
    <w:rsid w:val="53CB2F61"/>
    <w:rsid w:val="53E2EC2E"/>
    <w:rsid w:val="53E39356"/>
    <w:rsid w:val="53F6CC1D"/>
    <w:rsid w:val="5401E24D"/>
    <w:rsid w:val="54029044"/>
    <w:rsid w:val="5459E2B5"/>
    <w:rsid w:val="546397C0"/>
    <w:rsid w:val="54A61376"/>
    <w:rsid w:val="54A88C7E"/>
    <w:rsid w:val="54B79D41"/>
    <w:rsid w:val="54C1E6CA"/>
    <w:rsid w:val="54E1C7D9"/>
    <w:rsid w:val="554DCEE8"/>
    <w:rsid w:val="555A63D3"/>
    <w:rsid w:val="556B8FF2"/>
    <w:rsid w:val="556D81CE"/>
    <w:rsid w:val="559692DB"/>
    <w:rsid w:val="55A71FC9"/>
    <w:rsid w:val="55AB80DB"/>
    <w:rsid w:val="55D62EF7"/>
    <w:rsid w:val="55FB3DD3"/>
    <w:rsid w:val="56045760"/>
    <w:rsid w:val="5620335A"/>
    <w:rsid w:val="564D4DC5"/>
    <w:rsid w:val="5666662F"/>
    <w:rsid w:val="570559E1"/>
    <w:rsid w:val="5723649D"/>
    <w:rsid w:val="573C79CA"/>
    <w:rsid w:val="573CBEBA"/>
    <w:rsid w:val="5750EEE9"/>
    <w:rsid w:val="5767E3B5"/>
    <w:rsid w:val="57FA4BC4"/>
    <w:rsid w:val="58447A92"/>
    <w:rsid w:val="5854B3DE"/>
    <w:rsid w:val="5868A4F6"/>
    <w:rsid w:val="58A553A0"/>
    <w:rsid w:val="58CB28CF"/>
    <w:rsid w:val="58CFB6BB"/>
    <w:rsid w:val="58E19B9B"/>
    <w:rsid w:val="58EB5A0B"/>
    <w:rsid w:val="59093C32"/>
    <w:rsid w:val="591EB712"/>
    <w:rsid w:val="593464AD"/>
    <w:rsid w:val="594FCB31"/>
    <w:rsid w:val="59516AC8"/>
    <w:rsid w:val="596C0E60"/>
    <w:rsid w:val="598F3234"/>
    <w:rsid w:val="59E0DF01"/>
    <w:rsid w:val="59FC61FB"/>
    <w:rsid w:val="5A0A4E66"/>
    <w:rsid w:val="5A162B16"/>
    <w:rsid w:val="5A486533"/>
    <w:rsid w:val="5A4A7A17"/>
    <w:rsid w:val="5A4CA8BA"/>
    <w:rsid w:val="5A882A1F"/>
    <w:rsid w:val="5A9E7E03"/>
    <w:rsid w:val="5AF1E9A8"/>
    <w:rsid w:val="5B09C70C"/>
    <w:rsid w:val="5B17B99B"/>
    <w:rsid w:val="5B576952"/>
    <w:rsid w:val="5B97A92C"/>
    <w:rsid w:val="5BD05870"/>
    <w:rsid w:val="5BF22CAD"/>
    <w:rsid w:val="5C21BE02"/>
    <w:rsid w:val="5C57B007"/>
    <w:rsid w:val="5C7ED169"/>
    <w:rsid w:val="5C93173A"/>
    <w:rsid w:val="5CA00A25"/>
    <w:rsid w:val="5CBAEEA6"/>
    <w:rsid w:val="5CC0D927"/>
    <w:rsid w:val="5CD41CB2"/>
    <w:rsid w:val="5D41579A"/>
    <w:rsid w:val="5D6CC049"/>
    <w:rsid w:val="5D6FCAD1"/>
    <w:rsid w:val="5DA127E9"/>
    <w:rsid w:val="5DA9C310"/>
    <w:rsid w:val="5DE4FC3F"/>
    <w:rsid w:val="5E18B950"/>
    <w:rsid w:val="5E472EBE"/>
    <w:rsid w:val="5E49383E"/>
    <w:rsid w:val="5E644334"/>
    <w:rsid w:val="5E8B14B2"/>
    <w:rsid w:val="5E8C48B2"/>
    <w:rsid w:val="5EB0E178"/>
    <w:rsid w:val="5EC977F9"/>
    <w:rsid w:val="5EF9AC16"/>
    <w:rsid w:val="5F40F1E5"/>
    <w:rsid w:val="5F7FB01A"/>
    <w:rsid w:val="5FA6E225"/>
    <w:rsid w:val="5FAB0B37"/>
    <w:rsid w:val="5FC43867"/>
    <w:rsid w:val="5FDACE97"/>
    <w:rsid w:val="5FDAFDB8"/>
    <w:rsid w:val="601B294D"/>
    <w:rsid w:val="6057114D"/>
    <w:rsid w:val="6092508D"/>
    <w:rsid w:val="6094E109"/>
    <w:rsid w:val="6098AEDC"/>
    <w:rsid w:val="60D17D35"/>
    <w:rsid w:val="60D42250"/>
    <w:rsid w:val="60E80D03"/>
    <w:rsid w:val="614853DE"/>
    <w:rsid w:val="6150F805"/>
    <w:rsid w:val="61C1CE85"/>
    <w:rsid w:val="61D68E49"/>
    <w:rsid w:val="61D78C83"/>
    <w:rsid w:val="61DFDD18"/>
    <w:rsid w:val="620CA80F"/>
    <w:rsid w:val="623B76A7"/>
    <w:rsid w:val="6288A93C"/>
    <w:rsid w:val="6288D2D8"/>
    <w:rsid w:val="629D5F31"/>
    <w:rsid w:val="62B30275"/>
    <w:rsid w:val="62B5950C"/>
    <w:rsid w:val="62CA17AD"/>
    <w:rsid w:val="62F28ADD"/>
    <w:rsid w:val="62F3C2CD"/>
    <w:rsid w:val="62FE03DC"/>
    <w:rsid w:val="63037C05"/>
    <w:rsid w:val="6323B9AE"/>
    <w:rsid w:val="6337801E"/>
    <w:rsid w:val="635558A8"/>
    <w:rsid w:val="635A877E"/>
    <w:rsid w:val="635AE96B"/>
    <w:rsid w:val="63617F5E"/>
    <w:rsid w:val="63A9204B"/>
    <w:rsid w:val="63B119B8"/>
    <w:rsid w:val="63BD4084"/>
    <w:rsid w:val="63C8EAEC"/>
    <w:rsid w:val="63CCA7BD"/>
    <w:rsid w:val="63D0AFCC"/>
    <w:rsid w:val="6407C75F"/>
    <w:rsid w:val="6410EEBE"/>
    <w:rsid w:val="647FCF48"/>
    <w:rsid w:val="6486A128"/>
    <w:rsid w:val="64898D4B"/>
    <w:rsid w:val="64954F14"/>
    <w:rsid w:val="64C7E2B7"/>
    <w:rsid w:val="64CC6029"/>
    <w:rsid w:val="64F23A6E"/>
    <w:rsid w:val="64F58E8F"/>
    <w:rsid w:val="64F919C7"/>
    <w:rsid w:val="6528EED9"/>
    <w:rsid w:val="652ECEE9"/>
    <w:rsid w:val="653624C8"/>
    <w:rsid w:val="6542ADB3"/>
    <w:rsid w:val="65430805"/>
    <w:rsid w:val="656DAB6D"/>
    <w:rsid w:val="65790525"/>
    <w:rsid w:val="65AD1881"/>
    <w:rsid w:val="65D2703D"/>
    <w:rsid w:val="65D3621B"/>
    <w:rsid w:val="65E12CFA"/>
    <w:rsid w:val="65E39625"/>
    <w:rsid w:val="65ED63BC"/>
    <w:rsid w:val="6612EFEF"/>
    <w:rsid w:val="6616C08D"/>
    <w:rsid w:val="661948E3"/>
    <w:rsid w:val="662C263B"/>
    <w:rsid w:val="6636D091"/>
    <w:rsid w:val="663E9002"/>
    <w:rsid w:val="6641B571"/>
    <w:rsid w:val="66538A72"/>
    <w:rsid w:val="6684CDCB"/>
    <w:rsid w:val="66B7723B"/>
    <w:rsid w:val="66F2E05C"/>
    <w:rsid w:val="66FBA38C"/>
    <w:rsid w:val="6704FC70"/>
    <w:rsid w:val="671374D6"/>
    <w:rsid w:val="67166FAE"/>
    <w:rsid w:val="67204B77"/>
    <w:rsid w:val="67594143"/>
    <w:rsid w:val="675AA453"/>
    <w:rsid w:val="677B44F8"/>
    <w:rsid w:val="677B62C0"/>
    <w:rsid w:val="6791D9C5"/>
    <w:rsid w:val="67B59F0A"/>
    <w:rsid w:val="67B8896E"/>
    <w:rsid w:val="67C12BAF"/>
    <w:rsid w:val="67DBFB81"/>
    <w:rsid w:val="680ACA19"/>
    <w:rsid w:val="681F2223"/>
    <w:rsid w:val="683D0397"/>
    <w:rsid w:val="684C912E"/>
    <w:rsid w:val="68850041"/>
    <w:rsid w:val="689875A2"/>
    <w:rsid w:val="68D9ADEB"/>
    <w:rsid w:val="68E7B718"/>
    <w:rsid w:val="692F42A3"/>
    <w:rsid w:val="694173D1"/>
    <w:rsid w:val="69473010"/>
    <w:rsid w:val="6969419A"/>
    <w:rsid w:val="69883BC0"/>
    <w:rsid w:val="6996B142"/>
    <w:rsid w:val="69A5BAA5"/>
    <w:rsid w:val="69D6651B"/>
    <w:rsid w:val="6A06AB5A"/>
    <w:rsid w:val="6A4ABE70"/>
    <w:rsid w:val="6A70401F"/>
    <w:rsid w:val="6AADE3BA"/>
    <w:rsid w:val="6AD9BCBD"/>
    <w:rsid w:val="6ADAB542"/>
    <w:rsid w:val="6AEC89C8"/>
    <w:rsid w:val="6AFD16FC"/>
    <w:rsid w:val="6B3F7CE3"/>
    <w:rsid w:val="6B70AD1C"/>
    <w:rsid w:val="6B7883D8"/>
    <w:rsid w:val="6B815954"/>
    <w:rsid w:val="6BA356EA"/>
    <w:rsid w:val="6BA84533"/>
    <w:rsid w:val="6BB3E47A"/>
    <w:rsid w:val="6BC14F3C"/>
    <w:rsid w:val="6BD98B28"/>
    <w:rsid w:val="6C3B110D"/>
    <w:rsid w:val="6C4F7C8A"/>
    <w:rsid w:val="6C5723F5"/>
    <w:rsid w:val="6C5801C3"/>
    <w:rsid w:val="6C676A64"/>
    <w:rsid w:val="6C8F1688"/>
    <w:rsid w:val="6C9E8F8C"/>
    <w:rsid w:val="6D0A1FF9"/>
    <w:rsid w:val="6D1EC71E"/>
    <w:rsid w:val="6D679C3A"/>
    <w:rsid w:val="6DB9C67A"/>
    <w:rsid w:val="6DC341CC"/>
    <w:rsid w:val="6DD21C11"/>
    <w:rsid w:val="6DEEF484"/>
    <w:rsid w:val="6E0DAAEF"/>
    <w:rsid w:val="6E1988F1"/>
    <w:rsid w:val="6E2CDFC6"/>
    <w:rsid w:val="6E37D735"/>
    <w:rsid w:val="6E82DEBB"/>
    <w:rsid w:val="6EC91289"/>
    <w:rsid w:val="6ED5A4D0"/>
    <w:rsid w:val="6EE6C11B"/>
    <w:rsid w:val="6EED6173"/>
    <w:rsid w:val="6F0DCD31"/>
    <w:rsid w:val="6F38D894"/>
    <w:rsid w:val="6F921CF5"/>
    <w:rsid w:val="6F989708"/>
    <w:rsid w:val="6F9C0C9E"/>
    <w:rsid w:val="6FD1B9F0"/>
    <w:rsid w:val="6FEACC79"/>
    <w:rsid w:val="702B8B9B"/>
    <w:rsid w:val="704CCF91"/>
    <w:rsid w:val="705294D0"/>
    <w:rsid w:val="707882E2"/>
    <w:rsid w:val="708621CA"/>
    <w:rsid w:val="709D18F1"/>
    <w:rsid w:val="70AC1E21"/>
    <w:rsid w:val="70C60237"/>
    <w:rsid w:val="70F5DFC5"/>
    <w:rsid w:val="715647FD"/>
    <w:rsid w:val="719E5BC5"/>
    <w:rsid w:val="71A5B76C"/>
    <w:rsid w:val="71A87E53"/>
    <w:rsid w:val="71AC4533"/>
    <w:rsid w:val="71D29BF2"/>
    <w:rsid w:val="71FF4480"/>
    <w:rsid w:val="720074E9"/>
    <w:rsid w:val="72017ADA"/>
    <w:rsid w:val="7226B0F4"/>
    <w:rsid w:val="725E41DD"/>
    <w:rsid w:val="72649BB0"/>
    <w:rsid w:val="72A45631"/>
    <w:rsid w:val="72C20C7A"/>
    <w:rsid w:val="72C7A1B9"/>
    <w:rsid w:val="72E7BA82"/>
    <w:rsid w:val="72E8B5D5"/>
    <w:rsid w:val="72FD2B93"/>
    <w:rsid w:val="732185F5"/>
    <w:rsid w:val="732374ED"/>
    <w:rsid w:val="73425676"/>
    <w:rsid w:val="7359CFB6"/>
    <w:rsid w:val="735F1976"/>
    <w:rsid w:val="7366C151"/>
    <w:rsid w:val="73809507"/>
    <w:rsid w:val="738DC382"/>
    <w:rsid w:val="73E50FA5"/>
    <w:rsid w:val="7419B436"/>
    <w:rsid w:val="7450B40C"/>
    <w:rsid w:val="7454CC11"/>
    <w:rsid w:val="745B795F"/>
    <w:rsid w:val="7466DE27"/>
    <w:rsid w:val="7498A252"/>
    <w:rsid w:val="74A18215"/>
    <w:rsid w:val="74A25DDE"/>
    <w:rsid w:val="74A4B193"/>
    <w:rsid w:val="74B5F64F"/>
    <w:rsid w:val="74D09478"/>
    <w:rsid w:val="74E2D30E"/>
    <w:rsid w:val="7532ED66"/>
    <w:rsid w:val="754D4F78"/>
    <w:rsid w:val="755A0160"/>
    <w:rsid w:val="758F01B1"/>
    <w:rsid w:val="7597CA7A"/>
    <w:rsid w:val="7598CCD1"/>
    <w:rsid w:val="75C494FE"/>
    <w:rsid w:val="75F34A1D"/>
    <w:rsid w:val="75F922D3"/>
    <w:rsid w:val="76094432"/>
    <w:rsid w:val="761A3074"/>
    <w:rsid w:val="761A420D"/>
    <w:rsid w:val="76225608"/>
    <w:rsid w:val="7651A5D7"/>
    <w:rsid w:val="7656F0F7"/>
    <w:rsid w:val="766ED848"/>
    <w:rsid w:val="76A364EF"/>
    <w:rsid w:val="76CC0512"/>
    <w:rsid w:val="7703B8D6"/>
    <w:rsid w:val="77138860"/>
    <w:rsid w:val="772083A0"/>
    <w:rsid w:val="77664E75"/>
    <w:rsid w:val="778DD298"/>
    <w:rsid w:val="77A1FFCA"/>
    <w:rsid w:val="77B0193B"/>
    <w:rsid w:val="77BF6F18"/>
    <w:rsid w:val="77C37807"/>
    <w:rsid w:val="77E4D658"/>
    <w:rsid w:val="77F85117"/>
    <w:rsid w:val="783F7DAD"/>
    <w:rsid w:val="7873B534"/>
    <w:rsid w:val="788190F6"/>
    <w:rsid w:val="788CF89F"/>
    <w:rsid w:val="78C25A00"/>
    <w:rsid w:val="78DE28F1"/>
    <w:rsid w:val="78E76AF7"/>
    <w:rsid w:val="7917A454"/>
    <w:rsid w:val="792982FF"/>
    <w:rsid w:val="796842DA"/>
    <w:rsid w:val="796FFC59"/>
    <w:rsid w:val="79739A0D"/>
    <w:rsid w:val="79800D29"/>
    <w:rsid w:val="798227EB"/>
    <w:rsid w:val="798A303D"/>
    <w:rsid w:val="79930424"/>
    <w:rsid w:val="79BBF269"/>
    <w:rsid w:val="79C306C2"/>
    <w:rsid w:val="79F578EF"/>
    <w:rsid w:val="7A71FAFF"/>
    <w:rsid w:val="7A8C3A73"/>
    <w:rsid w:val="7AC0B396"/>
    <w:rsid w:val="7AF19ABF"/>
    <w:rsid w:val="7B30A019"/>
    <w:rsid w:val="7B5DCD9B"/>
    <w:rsid w:val="7B98D1D3"/>
    <w:rsid w:val="7B9AAD81"/>
    <w:rsid w:val="7BAECBE8"/>
    <w:rsid w:val="7BC373E9"/>
    <w:rsid w:val="7BC79373"/>
    <w:rsid w:val="7BDAAC2C"/>
    <w:rsid w:val="7BEB8BA5"/>
    <w:rsid w:val="7C1AFDF8"/>
    <w:rsid w:val="7C2F21CE"/>
    <w:rsid w:val="7C5AED92"/>
    <w:rsid w:val="7C614686"/>
    <w:rsid w:val="7CB5DDB1"/>
    <w:rsid w:val="7CD0D84A"/>
    <w:rsid w:val="7CE79681"/>
    <w:rsid w:val="7D12BBFF"/>
    <w:rsid w:val="7D218EFD"/>
    <w:rsid w:val="7D259171"/>
    <w:rsid w:val="7D8BA8DB"/>
    <w:rsid w:val="7E04A6F4"/>
    <w:rsid w:val="7E241435"/>
    <w:rsid w:val="7E2BC774"/>
    <w:rsid w:val="7E3FCAB0"/>
    <w:rsid w:val="7E44C282"/>
    <w:rsid w:val="7E94EA16"/>
    <w:rsid w:val="7E9766B4"/>
    <w:rsid w:val="7EA35BEB"/>
    <w:rsid w:val="7EAC6DB0"/>
    <w:rsid w:val="7EBFC737"/>
    <w:rsid w:val="7EC7C8CD"/>
    <w:rsid w:val="7EC9D0A5"/>
    <w:rsid w:val="7ECA6D03"/>
    <w:rsid w:val="7ECBFF64"/>
    <w:rsid w:val="7EDAAF6B"/>
    <w:rsid w:val="7EE5B93F"/>
    <w:rsid w:val="7F118655"/>
    <w:rsid w:val="7F27AF45"/>
    <w:rsid w:val="7FAE0E94"/>
    <w:rsid w:val="7FCE9E6C"/>
    <w:rsid w:val="7FE90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5"/>
      </w:numPr>
      <w:tabs>
        <w:tab w:val="left" w:pos="0"/>
      </w:tabs>
      <w:spacing w:before="240" w:after="60"/>
      <w:outlineLvl w:val="0"/>
    </w:pPr>
    <w:rPr>
      <w:b/>
      <w:kern w:val="28"/>
      <w:sz w:val="27"/>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6"/>
      </w:numPr>
      <w:tabs>
        <w:tab w:val="clear" w:pos="717"/>
        <w:tab w:val="num" w:pos="360"/>
      </w:tabs>
      <w:spacing w:line="360" w:lineRule="auto"/>
      <w:ind w:left="0" w:firstLine="0"/>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NoSpacing">
    <w:name w:val="No Spacing"/>
    <w:uiPriority w:val="1"/>
    <w:qFormat/>
    <w:rsid w:val="00070E0F"/>
    <w:rPr>
      <w:sz w:val="22"/>
      <w:lang w:eastAsia="zh-CN"/>
    </w:rPr>
  </w:style>
  <w:style w:type="character" w:styleId="UnresolvedMention">
    <w:name w:val="Unresolved Mention"/>
    <w:basedOn w:val="DefaultParagraphFont"/>
    <w:uiPriority w:val="99"/>
    <w:semiHidden/>
    <w:unhideWhenUsed/>
    <w:rsid w:val="009700C9"/>
    <w:rPr>
      <w:color w:val="605E5C"/>
      <w:shd w:val="clear" w:color="auto" w:fill="E1DFDD"/>
    </w:rPr>
  </w:style>
  <w:style w:type="paragraph" w:styleId="NormalWeb">
    <w:name w:val="Normal (Web)"/>
    <w:basedOn w:val="Normal"/>
    <w:rsid w:val="0024785D"/>
    <w:rPr>
      <w:sz w:val="24"/>
      <w:szCs w:val="24"/>
    </w:rPr>
  </w:style>
  <w:style w:type="paragraph" w:styleId="EndnoteText">
    <w:name w:val="endnote text"/>
    <w:basedOn w:val="Normal"/>
    <w:link w:val="EndnoteTextChar"/>
    <w:uiPriority w:val="99"/>
    <w:unhideWhenUsed/>
    <w:rsid w:val="00186D06"/>
    <w:pPr>
      <w:spacing w:line="240" w:lineRule="auto"/>
    </w:pPr>
    <w:rPr>
      <w:rFonts w:ascii="Aptos" w:eastAsia="Aptos" w:hAnsi="Aptos"/>
      <w:sz w:val="20"/>
      <w:lang w:eastAsia="en-US"/>
    </w:rPr>
  </w:style>
  <w:style w:type="character" w:customStyle="1" w:styleId="EndnoteTextChar">
    <w:name w:val="Endnote Text Char"/>
    <w:basedOn w:val="DefaultParagraphFont"/>
    <w:link w:val="EndnoteText"/>
    <w:uiPriority w:val="99"/>
    <w:rsid w:val="00186D06"/>
    <w:rPr>
      <w:rFonts w:ascii="Aptos" w:eastAsia="Aptos" w:hAnsi="Aptos"/>
      <w:lang w:eastAsia="en-US"/>
    </w:rPr>
  </w:style>
  <w:style w:type="character" w:styleId="EndnoteReference">
    <w:name w:val="endnote reference"/>
    <w:basedOn w:val="DefaultParagraphFont"/>
    <w:uiPriority w:val="99"/>
    <w:unhideWhenUsed/>
    <w:rsid w:val="00186D06"/>
    <w:rPr>
      <w:vertAlign w:val="superscript"/>
    </w:rPr>
  </w:style>
  <w:style w:type="character" w:customStyle="1" w:styleId="FootnoteTextChar">
    <w:name w:val="Footnote Text Char"/>
    <w:link w:val="FootnoteText"/>
    <w:rsid w:val="0015107F"/>
    <w:rPr>
      <w:sz w:val="16"/>
      <w:lang w:eastAsia="zh-C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16013A"/>
    <w:rPr>
      <w:sz w:val="22"/>
      <w:lang w:eastAsia="zh-CN"/>
    </w:rPr>
  </w:style>
  <w:style w:type="paragraph" w:customStyle="1" w:styleId="TableParagraph">
    <w:name w:val="Table Paragraph"/>
    <w:basedOn w:val="Normal"/>
    <w:uiPriority w:val="1"/>
    <w:qFormat/>
    <w:rsid w:val="0016013A"/>
    <w:pPr>
      <w:widowControl w:val="0"/>
      <w:autoSpaceDE w:val="0"/>
      <w:autoSpaceDN w:val="0"/>
      <w:spacing w:line="240" w:lineRule="auto"/>
    </w:pPr>
    <w:rPr>
      <w:szCs w:val="22"/>
      <w:lang w:val="en-US" w:eastAsia="en-US"/>
    </w:rPr>
  </w:style>
  <w:style w:type="character" w:customStyle="1" w:styleId="CommentTextChar">
    <w:name w:val="Comment Text Char"/>
    <w:basedOn w:val="DefaultParagraphFont"/>
    <w:link w:val="CommentText"/>
    <w:uiPriority w:val="99"/>
    <w:rsid w:val="0016013A"/>
    <w:rPr>
      <w:lang w:eastAsia="zh-CN"/>
    </w:rPr>
  </w:style>
  <w:style w:type="table" w:styleId="TableGrid">
    <w:name w:val="Table Grid"/>
    <w:basedOn w:val="TableNormal"/>
    <w:uiPriority w:val="59"/>
    <w:rsid w:val="00F431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F431D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2207">
      <w:bodyDiv w:val="1"/>
      <w:marLeft w:val="0"/>
      <w:marRight w:val="0"/>
      <w:marTop w:val="0"/>
      <w:marBottom w:val="0"/>
      <w:divBdr>
        <w:top w:val="none" w:sz="0" w:space="0" w:color="auto"/>
        <w:left w:val="none" w:sz="0" w:space="0" w:color="auto"/>
        <w:bottom w:val="none" w:sz="0" w:space="0" w:color="auto"/>
        <w:right w:val="none" w:sz="0" w:space="0" w:color="auto"/>
      </w:divBdr>
    </w:div>
    <w:div w:id="127360257">
      <w:bodyDiv w:val="1"/>
      <w:marLeft w:val="0"/>
      <w:marRight w:val="0"/>
      <w:marTop w:val="0"/>
      <w:marBottom w:val="0"/>
      <w:divBdr>
        <w:top w:val="none" w:sz="0" w:space="0" w:color="auto"/>
        <w:left w:val="none" w:sz="0" w:space="0" w:color="auto"/>
        <w:bottom w:val="none" w:sz="0" w:space="0" w:color="auto"/>
        <w:right w:val="none" w:sz="0" w:space="0" w:color="auto"/>
      </w:divBdr>
    </w:div>
    <w:div w:id="130485096">
      <w:bodyDiv w:val="1"/>
      <w:marLeft w:val="0"/>
      <w:marRight w:val="0"/>
      <w:marTop w:val="0"/>
      <w:marBottom w:val="0"/>
      <w:divBdr>
        <w:top w:val="none" w:sz="0" w:space="0" w:color="auto"/>
        <w:left w:val="none" w:sz="0" w:space="0" w:color="auto"/>
        <w:bottom w:val="none" w:sz="0" w:space="0" w:color="auto"/>
        <w:right w:val="none" w:sz="0" w:space="0" w:color="auto"/>
      </w:divBdr>
    </w:div>
    <w:div w:id="175969661">
      <w:bodyDiv w:val="1"/>
      <w:marLeft w:val="0"/>
      <w:marRight w:val="0"/>
      <w:marTop w:val="0"/>
      <w:marBottom w:val="0"/>
      <w:divBdr>
        <w:top w:val="none" w:sz="0" w:space="0" w:color="auto"/>
        <w:left w:val="none" w:sz="0" w:space="0" w:color="auto"/>
        <w:bottom w:val="none" w:sz="0" w:space="0" w:color="auto"/>
        <w:right w:val="none" w:sz="0" w:space="0" w:color="auto"/>
      </w:divBdr>
    </w:div>
    <w:div w:id="253365684">
      <w:bodyDiv w:val="1"/>
      <w:marLeft w:val="0"/>
      <w:marRight w:val="0"/>
      <w:marTop w:val="0"/>
      <w:marBottom w:val="0"/>
      <w:divBdr>
        <w:top w:val="none" w:sz="0" w:space="0" w:color="auto"/>
        <w:left w:val="none" w:sz="0" w:space="0" w:color="auto"/>
        <w:bottom w:val="none" w:sz="0" w:space="0" w:color="auto"/>
        <w:right w:val="none" w:sz="0" w:space="0" w:color="auto"/>
      </w:divBdr>
    </w:div>
    <w:div w:id="266235149">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83260646">
      <w:bodyDiv w:val="1"/>
      <w:marLeft w:val="0"/>
      <w:marRight w:val="0"/>
      <w:marTop w:val="0"/>
      <w:marBottom w:val="0"/>
      <w:divBdr>
        <w:top w:val="none" w:sz="0" w:space="0" w:color="auto"/>
        <w:left w:val="none" w:sz="0" w:space="0" w:color="auto"/>
        <w:bottom w:val="none" w:sz="0" w:space="0" w:color="auto"/>
        <w:right w:val="none" w:sz="0" w:space="0" w:color="auto"/>
      </w:divBdr>
    </w:div>
    <w:div w:id="418064562">
      <w:bodyDiv w:val="1"/>
      <w:marLeft w:val="0"/>
      <w:marRight w:val="0"/>
      <w:marTop w:val="0"/>
      <w:marBottom w:val="0"/>
      <w:divBdr>
        <w:top w:val="none" w:sz="0" w:space="0" w:color="auto"/>
        <w:left w:val="none" w:sz="0" w:space="0" w:color="auto"/>
        <w:bottom w:val="none" w:sz="0" w:space="0" w:color="auto"/>
        <w:right w:val="none" w:sz="0" w:space="0" w:color="auto"/>
      </w:divBdr>
    </w:div>
    <w:div w:id="45537125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19995434">
      <w:bodyDiv w:val="1"/>
      <w:marLeft w:val="0"/>
      <w:marRight w:val="0"/>
      <w:marTop w:val="0"/>
      <w:marBottom w:val="0"/>
      <w:divBdr>
        <w:top w:val="none" w:sz="0" w:space="0" w:color="auto"/>
        <w:left w:val="none" w:sz="0" w:space="0" w:color="auto"/>
        <w:bottom w:val="none" w:sz="0" w:space="0" w:color="auto"/>
        <w:right w:val="none" w:sz="0" w:space="0" w:color="auto"/>
      </w:divBdr>
    </w:div>
    <w:div w:id="639647873">
      <w:bodyDiv w:val="1"/>
      <w:marLeft w:val="0"/>
      <w:marRight w:val="0"/>
      <w:marTop w:val="0"/>
      <w:marBottom w:val="0"/>
      <w:divBdr>
        <w:top w:val="none" w:sz="0" w:space="0" w:color="auto"/>
        <w:left w:val="none" w:sz="0" w:space="0" w:color="auto"/>
        <w:bottom w:val="none" w:sz="0" w:space="0" w:color="auto"/>
        <w:right w:val="none" w:sz="0" w:space="0" w:color="auto"/>
      </w:divBdr>
    </w:div>
    <w:div w:id="714430403">
      <w:bodyDiv w:val="1"/>
      <w:marLeft w:val="0"/>
      <w:marRight w:val="0"/>
      <w:marTop w:val="0"/>
      <w:marBottom w:val="0"/>
      <w:divBdr>
        <w:top w:val="none" w:sz="0" w:space="0" w:color="auto"/>
        <w:left w:val="none" w:sz="0" w:space="0" w:color="auto"/>
        <w:bottom w:val="none" w:sz="0" w:space="0" w:color="auto"/>
        <w:right w:val="none" w:sz="0" w:space="0" w:color="auto"/>
      </w:divBdr>
    </w:div>
    <w:div w:id="718937004">
      <w:bodyDiv w:val="1"/>
      <w:marLeft w:val="0"/>
      <w:marRight w:val="0"/>
      <w:marTop w:val="0"/>
      <w:marBottom w:val="0"/>
      <w:divBdr>
        <w:top w:val="none" w:sz="0" w:space="0" w:color="auto"/>
        <w:left w:val="none" w:sz="0" w:space="0" w:color="auto"/>
        <w:bottom w:val="none" w:sz="0" w:space="0" w:color="auto"/>
        <w:right w:val="none" w:sz="0" w:space="0" w:color="auto"/>
      </w:divBdr>
      <w:divsChild>
        <w:div w:id="842477576">
          <w:marLeft w:val="0"/>
          <w:marRight w:val="0"/>
          <w:marTop w:val="0"/>
          <w:marBottom w:val="0"/>
          <w:divBdr>
            <w:top w:val="none" w:sz="0" w:space="0" w:color="auto"/>
            <w:left w:val="none" w:sz="0" w:space="0" w:color="auto"/>
            <w:bottom w:val="none" w:sz="0" w:space="0" w:color="auto"/>
            <w:right w:val="none" w:sz="0" w:space="0" w:color="auto"/>
          </w:divBdr>
          <w:divsChild>
            <w:div w:id="1267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5499">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47914037">
      <w:bodyDiv w:val="1"/>
      <w:marLeft w:val="0"/>
      <w:marRight w:val="0"/>
      <w:marTop w:val="0"/>
      <w:marBottom w:val="0"/>
      <w:divBdr>
        <w:top w:val="none" w:sz="0" w:space="0" w:color="auto"/>
        <w:left w:val="none" w:sz="0" w:space="0" w:color="auto"/>
        <w:bottom w:val="none" w:sz="0" w:space="0" w:color="auto"/>
        <w:right w:val="none" w:sz="0" w:space="0" w:color="auto"/>
      </w:divBdr>
    </w:div>
    <w:div w:id="898058322">
      <w:bodyDiv w:val="1"/>
      <w:marLeft w:val="0"/>
      <w:marRight w:val="0"/>
      <w:marTop w:val="0"/>
      <w:marBottom w:val="0"/>
      <w:divBdr>
        <w:top w:val="none" w:sz="0" w:space="0" w:color="auto"/>
        <w:left w:val="none" w:sz="0" w:space="0" w:color="auto"/>
        <w:bottom w:val="none" w:sz="0" w:space="0" w:color="auto"/>
        <w:right w:val="none" w:sz="0" w:space="0" w:color="auto"/>
      </w:divBdr>
    </w:div>
    <w:div w:id="996566284">
      <w:bodyDiv w:val="1"/>
      <w:marLeft w:val="0"/>
      <w:marRight w:val="0"/>
      <w:marTop w:val="0"/>
      <w:marBottom w:val="0"/>
      <w:divBdr>
        <w:top w:val="none" w:sz="0" w:space="0" w:color="auto"/>
        <w:left w:val="none" w:sz="0" w:space="0" w:color="auto"/>
        <w:bottom w:val="none" w:sz="0" w:space="0" w:color="auto"/>
        <w:right w:val="none" w:sz="0" w:space="0" w:color="auto"/>
      </w:divBdr>
    </w:div>
    <w:div w:id="997658593">
      <w:bodyDiv w:val="1"/>
      <w:marLeft w:val="0"/>
      <w:marRight w:val="0"/>
      <w:marTop w:val="0"/>
      <w:marBottom w:val="0"/>
      <w:divBdr>
        <w:top w:val="none" w:sz="0" w:space="0" w:color="auto"/>
        <w:left w:val="none" w:sz="0" w:space="0" w:color="auto"/>
        <w:bottom w:val="none" w:sz="0" w:space="0" w:color="auto"/>
        <w:right w:val="none" w:sz="0" w:space="0" w:color="auto"/>
      </w:divBdr>
    </w:div>
    <w:div w:id="1082483272">
      <w:bodyDiv w:val="1"/>
      <w:marLeft w:val="0"/>
      <w:marRight w:val="0"/>
      <w:marTop w:val="0"/>
      <w:marBottom w:val="0"/>
      <w:divBdr>
        <w:top w:val="none" w:sz="0" w:space="0" w:color="auto"/>
        <w:left w:val="none" w:sz="0" w:space="0" w:color="auto"/>
        <w:bottom w:val="none" w:sz="0" w:space="0" w:color="auto"/>
        <w:right w:val="none" w:sz="0" w:space="0" w:color="auto"/>
      </w:divBdr>
    </w:div>
    <w:div w:id="1130247869">
      <w:bodyDiv w:val="1"/>
      <w:marLeft w:val="0"/>
      <w:marRight w:val="0"/>
      <w:marTop w:val="0"/>
      <w:marBottom w:val="0"/>
      <w:divBdr>
        <w:top w:val="none" w:sz="0" w:space="0" w:color="auto"/>
        <w:left w:val="none" w:sz="0" w:space="0" w:color="auto"/>
        <w:bottom w:val="none" w:sz="0" w:space="0" w:color="auto"/>
        <w:right w:val="none" w:sz="0" w:space="0" w:color="auto"/>
      </w:divBdr>
    </w:div>
    <w:div w:id="1191338994">
      <w:bodyDiv w:val="1"/>
      <w:marLeft w:val="0"/>
      <w:marRight w:val="0"/>
      <w:marTop w:val="0"/>
      <w:marBottom w:val="0"/>
      <w:divBdr>
        <w:top w:val="none" w:sz="0" w:space="0" w:color="auto"/>
        <w:left w:val="none" w:sz="0" w:space="0" w:color="auto"/>
        <w:bottom w:val="none" w:sz="0" w:space="0" w:color="auto"/>
        <w:right w:val="none" w:sz="0" w:space="0" w:color="auto"/>
      </w:divBdr>
    </w:div>
    <w:div w:id="1207179404">
      <w:bodyDiv w:val="1"/>
      <w:marLeft w:val="0"/>
      <w:marRight w:val="0"/>
      <w:marTop w:val="0"/>
      <w:marBottom w:val="0"/>
      <w:divBdr>
        <w:top w:val="none" w:sz="0" w:space="0" w:color="auto"/>
        <w:left w:val="none" w:sz="0" w:space="0" w:color="auto"/>
        <w:bottom w:val="none" w:sz="0" w:space="0" w:color="auto"/>
        <w:right w:val="none" w:sz="0" w:space="0" w:color="auto"/>
      </w:divBdr>
    </w:div>
    <w:div w:id="1209339239">
      <w:bodyDiv w:val="1"/>
      <w:marLeft w:val="0"/>
      <w:marRight w:val="0"/>
      <w:marTop w:val="0"/>
      <w:marBottom w:val="0"/>
      <w:divBdr>
        <w:top w:val="none" w:sz="0" w:space="0" w:color="auto"/>
        <w:left w:val="none" w:sz="0" w:space="0" w:color="auto"/>
        <w:bottom w:val="none" w:sz="0" w:space="0" w:color="auto"/>
        <w:right w:val="none" w:sz="0" w:space="0" w:color="auto"/>
      </w:divBdr>
      <w:divsChild>
        <w:div w:id="366570559">
          <w:marLeft w:val="0"/>
          <w:marRight w:val="0"/>
          <w:marTop w:val="0"/>
          <w:marBottom w:val="0"/>
          <w:divBdr>
            <w:top w:val="none" w:sz="0" w:space="0" w:color="auto"/>
            <w:left w:val="none" w:sz="0" w:space="0" w:color="auto"/>
            <w:bottom w:val="none" w:sz="0" w:space="0" w:color="auto"/>
            <w:right w:val="none" w:sz="0" w:space="0" w:color="auto"/>
          </w:divBdr>
          <w:divsChild>
            <w:div w:id="2135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1249">
      <w:bodyDiv w:val="1"/>
      <w:marLeft w:val="0"/>
      <w:marRight w:val="0"/>
      <w:marTop w:val="0"/>
      <w:marBottom w:val="0"/>
      <w:divBdr>
        <w:top w:val="none" w:sz="0" w:space="0" w:color="auto"/>
        <w:left w:val="none" w:sz="0" w:space="0" w:color="auto"/>
        <w:bottom w:val="none" w:sz="0" w:space="0" w:color="auto"/>
        <w:right w:val="none" w:sz="0" w:space="0" w:color="auto"/>
      </w:divBdr>
    </w:div>
    <w:div w:id="1487475823">
      <w:bodyDiv w:val="1"/>
      <w:marLeft w:val="0"/>
      <w:marRight w:val="0"/>
      <w:marTop w:val="0"/>
      <w:marBottom w:val="0"/>
      <w:divBdr>
        <w:top w:val="none" w:sz="0" w:space="0" w:color="auto"/>
        <w:left w:val="none" w:sz="0" w:space="0" w:color="auto"/>
        <w:bottom w:val="none" w:sz="0" w:space="0" w:color="auto"/>
        <w:right w:val="none" w:sz="0" w:space="0" w:color="auto"/>
      </w:divBdr>
    </w:div>
    <w:div w:id="1491676520">
      <w:bodyDiv w:val="1"/>
      <w:marLeft w:val="0"/>
      <w:marRight w:val="0"/>
      <w:marTop w:val="0"/>
      <w:marBottom w:val="0"/>
      <w:divBdr>
        <w:top w:val="none" w:sz="0" w:space="0" w:color="auto"/>
        <w:left w:val="none" w:sz="0" w:space="0" w:color="auto"/>
        <w:bottom w:val="none" w:sz="0" w:space="0" w:color="auto"/>
        <w:right w:val="none" w:sz="0" w:space="0" w:color="auto"/>
      </w:divBdr>
    </w:div>
    <w:div w:id="1537693930">
      <w:bodyDiv w:val="1"/>
      <w:marLeft w:val="0"/>
      <w:marRight w:val="0"/>
      <w:marTop w:val="0"/>
      <w:marBottom w:val="0"/>
      <w:divBdr>
        <w:top w:val="none" w:sz="0" w:space="0" w:color="auto"/>
        <w:left w:val="none" w:sz="0" w:space="0" w:color="auto"/>
        <w:bottom w:val="none" w:sz="0" w:space="0" w:color="auto"/>
        <w:right w:val="none" w:sz="0" w:space="0" w:color="auto"/>
      </w:divBdr>
    </w:div>
    <w:div w:id="1557744452">
      <w:bodyDiv w:val="1"/>
      <w:marLeft w:val="0"/>
      <w:marRight w:val="0"/>
      <w:marTop w:val="0"/>
      <w:marBottom w:val="0"/>
      <w:divBdr>
        <w:top w:val="none" w:sz="0" w:space="0" w:color="auto"/>
        <w:left w:val="none" w:sz="0" w:space="0" w:color="auto"/>
        <w:bottom w:val="none" w:sz="0" w:space="0" w:color="auto"/>
        <w:right w:val="none" w:sz="0" w:space="0" w:color="auto"/>
      </w:divBdr>
    </w:div>
    <w:div w:id="1594363758">
      <w:bodyDiv w:val="1"/>
      <w:marLeft w:val="0"/>
      <w:marRight w:val="0"/>
      <w:marTop w:val="0"/>
      <w:marBottom w:val="0"/>
      <w:divBdr>
        <w:top w:val="none" w:sz="0" w:space="0" w:color="auto"/>
        <w:left w:val="none" w:sz="0" w:space="0" w:color="auto"/>
        <w:bottom w:val="none" w:sz="0" w:space="0" w:color="auto"/>
        <w:right w:val="none" w:sz="0" w:space="0" w:color="auto"/>
      </w:divBdr>
    </w:div>
    <w:div w:id="1608342142">
      <w:bodyDiv w:val="1"/>
      <w:marLeft w:val="0"/>
      <w:marRight w:val="0"/>
      <w:marTop w:val="0"/>
      <w:marBottom w:val="0"/>
      <w:divBdr>
        <w:top w:val="none" w:sz="0" w:space="0" w:color="auto"/>
        <w:left w:val="none" w:sz="0" w:space="0" w:color="auto"/>
        <w:bottom w:val="none" w:sz="0" w:space="0" w:color="auto"/>
        <w:right w:val="none" w:sz="0" w:space="0" w:color="auto"/>
      </w:divBdr>
      <w:divsChild>
        <w:div w:id="1277256500">
          <w:marLeft w:val="0"/>
          <w:marRight w:val="0"/>
          <w:marTop w:val="0"/>
          <w:marBottom w:val="0"/>
          <w:divBdr>
            <w:top w:val="none" w:sz="0" w:space="0" w:color="auto"/>
            <w:left w:val="none" w:sz="0" w:space="0" w:color="auto"/>
            <w:bottom w:val="none" w:sz="0" w:space="0" w:color="auto"/>
            <w:right w:val="none" w:sz="0" w:space="0" w:color="auto"/>
          </w:divBdr>
          <w:divsChild>
            <w:div w:id="20446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9099">
      <w:bodyDiv w:val="1"/>
      <w:marLeft w:val="0"/>
      <w:marRight w:val="0"/>
      <w:marTop w:val="0"/>
      <w:marBottom w:val="0"/>
      <w:divBdr>
        <w:top w:val="none" w:sz="0" w:space="0" w:color="auto"/>
        <w:left w:val="none" w:sz="0" w:space="0" w:color="auto"/>
        <w:bottom w:val="none" w:sz="0" w:space="0" w:color="auto"/>
        <w:right w:val="none" w:sz="0" w:space="0" w:color="auto"/>
      </w:divBdr>
      <w:divsChild>
        <w:div w:id="1004937704">
          <w:marLeft w:val="0"/>
          <w:marRight w:val="0"/>
          <w:marTop w:val="0"/>
          <w:marBottom w:val="0"/>
          <w:divBdr>
            <w:top w:val="none" w:sz="0" w:space="0" w:color="auto"/>
            <w:left w:val="none" w:sz="0" w:space="0" w:color="auto"/>
            <w:bottom w:val="none" w:sz="0" w:space="0" w:color="auto"/>
            <w:right w:val="none" w:sz="0" w:space="0" w:color="auto"/>
          </w:divBdr>
          <w:divsChild>
            <w:div w:id="14045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406">
      <w:bodyDiv w:val="1"/>
      <w:marLeft w:val="0"/>
      <w:marRight w:val="0"/>
      <w:marTop w:val="0"/>
      <w:marBottom w:val="0"/>
      <w:divBdr>
        <w:top w:val="none" w:sz="0" w:space="0" w:color="auto"/>
        <w:left w:val="none" w:sz="0" w:space="0" w:color="auto"/>
        <w:bottom w:val="none" w:sz="0" w:space="0" w:color="auto"/>
        <w:right w:val="none" w:sz="0" w:space="0" w:color="auto"/>
      </w:divBdr>
    </w:div>
    <w:div w:id="21105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102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25</ap:Pages>
  <ap:Words>11617</ap:Words>
  <ap:Characters>63898</ap:Characters>
  <ap:DocSecurity>0</ap:DocSecurity>
  <ap:Lines>532</ap:Lines>
  <ap:Paragraphs>150</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75365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2026-02-05T19:42:00.0000000Z</lastPrinted>
  <dcterms:created xsi:type="dcterms:W3CDTF">2026-02-13T08:19:00.0000000Z</dcterms:created>
  <dcterms:modified xsi:type="dcterms:W3CDTF">2026-02-13T08:19:00.0000000Z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MSIP_Label_f5339f15-c483-4670-87f9-f365ba551dce_Enabled">
    <vt:lpwstr>true</vt:lpwstr>
  </property>
  <property fmtid="{D5CDD505-2E9C-101B-9397-08002B2CF9AE}" pid="9" name="MSIP_Label_f5339f15-c483-4670-87f9-f365ba551dce_SetDate">
    <vt:lpwstr>2026-01-15T09:24:09Z</vt:lpwstr>
  </property>
  <property fmtid="{D5CDD505-2E9C-101B-9397-08002B2CF9AE}" pid="10" name="MSIP_Label_f5339f15-c483-4670-87f9-f365ba551dce_Method">
    <vt:lpwstr>Standard</vt:lpwstr>
  </property>
  <property fmtid="{D5CDD505-2E9C-101B-9397-08002B2CF9AE}" pid="11" name="MSIP_Label_f5339f15-c483-4670-87f9-f365ba551dce_Name">
    <vt:lpwstr>FIN-IRF-Dep. V.</vt:lpwstr>
  </property>
  <property fmtid="{D5CDD505-2E9C-101B-9397-08002B2CF9AE}" pid="12" name="MSIP_Label_f5339f15-c483-4670-87f9-f365ba551dce_SiteId">
    <vt:lpwstr>84712536-f524-40a0-913b-5d25ba502732</vt:lpwstr>
  </property>
  <property fmtid="{D5CDD505-2E9C-101B-9397-08002B2CF9AE}" pid="13" name="MSIP_Label_f5339f15-c483-4670-87f9-f365ba551dce_ActionId">
    <vt:lpwstr>98018ad5-2541-481c-b46d-803962f2c263</vt:lpwstr>
  </property>
  <property fmtid="{D5CDD505-2E9C-101B-9397-08002B2CF9AE}" pid="14" name="MSIP_Label_f5339f15-c483-4670-87f9-f365ba551dce_ContentBits">
    <vt:lpwstr>0</vt:lpwstr>
  </property>
  <property fmtid="{D5CDD505-2E9C-101B-9397-08002B2CF9AE}" pid="15" name="MSIP_Label_f5339f15-c483-4670-87f9-f365ba551dce_Tag">
    <vt:lpwstr>10, 3, 0, 1</vt:lpwstr>
  </property>
  <property fmtid="{D5CDD505-2E9C-101B-9397-08002B2CF9AE}" pid="16" name="ClassificationContentMarkingFooterShapeIds">
    <vt:lpwstr>4b33c038,1b093577,757abfd9</vt:lpwstr>
  </property>
  <property fmtid="{D5CDD505-2E9C-101B-9397-08002B2CF9AE}" pid="17" name="ClassificationContentMarkingFooterFontProps">
    <vt:lpwstr>#000000,10,Aptos</vt:lpwstr>
  </property>
  <property fmtid="{D5CDD505-2E9C-101B-9397-08002B2CF9AE}" pid="18" name="ClassificationContentMarkingFooterText">
    <vt:lpwstr>Intern gebruik</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ea924c06-092b-4622-9ecb-abb62d9b9e48</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https://247.plaza.buzaservices.nl/subject/PV-RK2026012026/BZ2625099/BNC Fiche 2 - Amendement Verordening medische hulpmiddelen en medische hulpmiddelen voor in-vitro diagnostiek.docx</vt:lpwstr>
  </property>
  <property fmtid="{D5CDD505-2E9C-101B-9397-08002B2CF9AE}" pid="39" name="BZDossierBudgetManager">
    <vt:lpwstr/>
  </property>
  <property fmtid="{D5CDD505-2E9C-101B-9397-08002B2CF9AE}" pid="40" name="BZDossierSendTo">
    <vt:lpwstr/>
  </property>
</Properties>
</file>