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5D5B" w:rsidR="00995D5B" w:rsidRDefault="00C52DE0" w14:paraId="446D3EEA" w14:textId="77777777">
      <w:pPr>
        <w:rPr>
          <w:rFonts w:ascii="Calibri" w:hAnsi="Calibri" w:cs="Calibri"/>
        </w:rPr>
      </w:pPr>
      <w:r w:rsidRPr="00995D5B">
        <w:rPr>
          <w:rFonts w:ascii="Calibri" w:hAnsi="Calibri" w:cs="Calibri"/>
        </w:rPr>
        <w:t>26643</w:t>
      </w:r>
      <w:r w:rsidRPr="00995D5B" w:rsidR="00995D5B">
        <w:rPr>
          <w:rFonts w:ascii="Calibri" w:hAnsi="Calibri" w:cs="Calibri"/>
        </w:rPr>
        <w:tab/>
      </w:r>
      <w:r w:rsidRPr="00995D5B" w:rsidR="00995D5B">
        <w:rPr>
          <w:rFonts w:ascii="Calibri" w:hAnsi="Calibri" w:cs="Calibri"/>
        </w:rPr>
        <w:tab/>
      </w:r>
      <w:r w:rsidRPr="00995D5B" w:rsidR="00995D5B">
        <w:rPr>
          <w:rFonts w:ascii="Calibri" w:hAnsi="Calibri" w:cs="Calibri"/>
        </w:rPr>
        <w:tab/>
        <w:t>Informatie- en communicatietechnologie (ICT)</w:t>
      </w:r>
    </w:p>
    <w:p w:rsidRPr="00995D5B" w:rsidR="00995D5B" w:rsidP="00995D5B" w:rsidRDefault="00995D5B" w14:paraId="412E18A2" w14:textId="155B8659">
      <w:pPr>
        <w:ind w:left="2124" w:hanging="2124"/>
        <w:rPr>
          <w:rFonts w:ascii="Calibri" w:hAnsi="Calibri" w:cs="Calibri"/>
        </w:rPr>
      </w:pPr>
      <w:r w:rsidRPr="00995D5B">
        <w:rPr>
          <w:rFonts w:ascii="Calibri" w:hAnsi="Calibri" w:cs="Calibri"/>
        </w:rPr>
        <w:t xml:space="preserve">Nr. </w:t>
      </w:r>
      <w:r w:rsidRPr="00995D5B">
        <w:rPr>
          <w:rFonts w:ascii="Calibri" w:hAnsi="Calibri" w:cs="Calibri"/>
        </w:rPr>
        <w:t xml:space="preserve">1490 </w:t>
      </w:r>
      <w:r w:rsidRPr="00995D5B" w:rsidR="00C52DE0">
        <w:rPr>
          <w:rFonts w:ascii="Calibri" w:hAnsi="Calibri" w:cs="Calibri"/>
        </w:rPr>
        <w:t xml:space="preserve"> </w:t>
      </w:r>
      <w:r w:rsidRPr="00995D5B">
        <w:rPr>
          <w:rFonts w:ascii="Calibri" w:hAnsi="Calibri" w:cs="Calibri"/>
        </w:rPr>
        <w:tab/>
        <w:t>Brief van de staatssecretaris van Binnenlandse Zaken en Koninkrijksrelaties</w:t>
      </w:r>
    </w:p>
    <w:p w:rsidRPr="00995D5B" w:rsidR="00C52DE0" w:rsidP="00C52DE0" w:rsidRDefault="00995D5B" w14:paraId="713B0919" w14:textId="47F335ED">
      <w:pPr>
        <w:rPr>
          <w:rFonts w:ascii="Calibri" w:hAnsi="Calibri" w:cs="Calibri"/>
        </w:rPr>
      </w:pPr>
      <w:r w:rsidRPr="00995D5B">
        <w:rPr>
          <w:rFonts w:ascii="Calibri" w:hAnsi="Calibri" w:cs="Calibri"/>
        </w:rPr>
        <w:t>Aan de Voorzitter van de Tweede Kamer der Staten-Generaal</w:t>
      </w:r>
    </w:p>
    <w:p w:rsidRPr="00995D5B" w:rsidR="00995D5B" w:rsidP="00C52DE0" w:rsidRDefault="00995D5B" w14:paraId="3E84076F" w14:textId="290E8F58">
      <w:pPr>
        <w:rPr>
          <w:rFonts w:ascii="Calibri" w:hAnsi="Calibri" w:cs="Calibri"/>
        </w:rPr>
      </w:pPr>
      <w:r w:rsidRPr="00995D5B">
        <w:rPr>
          <w:rFonts w:ascii="Calibri" w:hAnsi="Calibri" w:cs="Calibri"/>
        </w:rPr>
        <w:t>Den Haag, 13 februari 2026</w:t>
      </w:r>
    </w:p>
    <w:p w:rsidRPr="00995D5B" w:rsidR="00C52DE0" w:rsidP="00C52DE0" w:rsidRDefault="00C52DE0" w14:paraId="1DF563DB" w14:textId="77777777">
      <w:pPr>
        <w:rPr>
          <w:rFonts w:ascii="Calibri" w:hAnsi="Calibri" w:cs="Calibri"/>
        </w:rPr>
      </w:pPr>
    </w:p>
    <w:p w:rsidRPr="00995D5B" w:rsidR="00C52DE0" w:rsidP="00C52DE0" w:rsidRDefault="00C52DE0" w14:paraId="7C05EA30" w14:textId="00D8F32B">
      <w:pPr>
        <w:rPr>
          <w:rFonts w:ascii="Calibri" w:hAnsi="Calibri" w:cs="Calibri"/>
        </w:rPr>
      </w:pPr>
      <w:r w:rsidRPr="00995D5B">
        <w:rPr>
          <w:rFonts w:ascii="Calibri" w:hAnsi="Calibri" w:cs="Calibri"/>
        </w:rPr>
        <w:t xml:space="preserve">Sinds 2012 exploiteert de Saba </w:t>
      </w:r>
      <w:proofErr w:type="spellStart"/>
      <w:r w:rsidRPr="00995D5B">
        <w:rPr>
          <w:rFonts w:ascii="Calibri" w:hAnsi="Calibri" w:cs="Calibri"/>
        </w:rPr>
        <w:t>Statia</w:t>
      </w:r>
      <w:proofErr w:type="spellEnd"/>
      <w:r w:rsidRPr="00995D5B">
        <w:rPr>
          <w:rFonts w:ascii="Calibri" w:hAnsi="Calibri" w:cs="Calibri"/>
        </w:rPr>
        <w:t xml:space="preserve"> Cable System (SSCS) B.V. de door Nederland gefinancierde datazeekabel die Saba en Sint Eustatius verbindt met de internationale telecommunicatie-infrastructuur. De Nederlandse Staat is enig aandeelhouder van deze B.V. Met de aanleg van de zeekabel en het aandeelhouderschap in SSCS B.V. beoogde Nederland een veilige, betrouwbare en betaalbare infrastructuur voor Saba en Sint Eustatius te creëren. Een belang dat met de sindsdien toegenomen digitalisering van de economie en maatschappij, en in het licht van de huidige geopolitieke ontwikkelingen verder aan gewicht heeft gewonnen. Daarmee draagt de beleidsdeelneming SSCS bij aan de kabinetsdoelstelling op dit vlak.</w:t>
      </w:r>
      <w:r w:rsidRPr="00995D5B">
        <w:rPr>
          <w:rStyle w:val="Voetnootmarkering"/>
          <w:rFonts w:ascii="Calibri" w:hAnsi="Calibri" w:cs="Calibri"/>
        </w:rPr>
        <w:footnoteReference w:id="1"/>
      </w:r>
    </w:p>
    <w:p w:rsidRPr="00995D5B" w:rsidR="00C52DE0" w:rsidP="00C52DE0" w:rsidRDefault="00C52DE0" w14:paraId="45C8E515" w14:textId="2F88DF6A">
      <w:pPr>
        <w:rPr>
          <w:rFonts w:ascii="Calibri" w:hAnsi="Calibri" w:cs="Calibri"/>
        </w:rPr>
      </w:pPr>
      <w:r w:rsidRPr="00995D5B">
        <w:rPr>
          <w:rFonts w:ascii="Calibri" w:hAnsi="Calibri" w:cs="Calibri"/>
        </w:rPr>
        <w:t>In lijn met de Nota Deelnemingenbeleid van het Ministerie van Financiën heeft het ministerie van Binnenlandse Zaken en Koninkrijksrelaties (BZK) het Economisch Bureau Amsterdam (EBA) verzocht een evaluatie uit te voeren van de beleidsdeelneming in SSCS B.V. De centrale vraag is of dit instrument nog steeds noodzakelijk en gerechtvaardigd is voor de borging van publieke belangen van veilige, betrouwbare en betaalbare telecommunicatie, of dat de markt hierin inmiddels zelfstandig kan voorzien. Als bijlage bij deze brief treft u aan het evaluatierapport ‘Optische kabel tegen het licht’ van EBA.</w:t>
      </w:r>
    </w:p>
    <w:p w:rsidRPr="00995D5B" w:rsidR="00C52DE0" w:rsidP="00C52DE0" w:rsidRDefault="00C52DE0" w14:paraId="4778530C" w14:textId="4D38DBED">
      <w:pPr>
        <w:rPr>
          <w:rFonts w:ascii="Calibri" w:hAnsi="Calibri" w:cs="Calibri"/>
        </w:rPr>
      </w:pPr>
      <w:r w:rsidRPr="00995D5B">
        <w:rPr>
          <w:rFonts w:ascii="Calibri" w:hAnsi="Calibri" w:cs="Calibri"/>
        </w:rPr>
        <w:t> </w:t>
      </w:r>
      <w:r w:rsidRPr="00995D5B">
        <w:rPr>
          <w:rFonts w:ascii="Calibri" w:hAnsi="Calibri" w:cs="Calibri"/>
          <w:b/>
        </w:rPr>
        <w:t>Conclusie evaluatie EBA</w:t>
      </w:r>
    </w:p>
    <w:p w:rsidRPr="00995D5B" w:rsidR="00C52DE0" w:rsidP="00C52DE0" w:rsidRDefault="00C52DE0" w14:paraId="6E16E074" w14:textId="77777777">
      <w:pPr>
        <w:rPr>
          <w:rFonts w:ascii="Calibri" w:hAnsi="Calibri" w:cs="Calibri"/>
        </w:rPr>
      </w:pPr>
      <w:r w:rsidRPr="00995D5B">
        <w:rPr>
          <w:rFonts w:ascii="Calibri" w:hAnsi="Calibri" w:cs="Calibri"/>
        </w:rPr>
        <w:t>De hoofdconclusies zijn dat de doelstellingen behaald zijn en dat de keuze voor een beleidsdeelneming nog steeds rechtvaardig en proportioneel is. Het belang van de deelneming in SSCS B.V. wordt verder onderstreept door ontwikkelingen in de telecommunicatiemarkt sinds de oprichting van SSCS B.V:</w:t>
      </w:r>
    </w:p>
    <w:p w:rsidRPr="00995D5B" w:rsidR="00C52DE0" w:rsidP="00C52DE0" w:rsidRDefault="00C52DE0" w14:paraId="7EADADF5" w14:textId="77777777">
      <w:pPr>
        <w:pStyle w:val="Lijstalinea"/>
        <w:numPr>
          <w:ilvl w:val="0"/>
          <w:numId w:val="1"/>
        </w:numPr>
        <w:autoSpaceDN w:val="0"/>
        <w:spacing w:after="0" w:line="240" w:lineRule="atLeast"/>
        <w:textAlignment w:val="baseline"/>
        <w:rPr>
          <w:rFonts w:ascii="Calibri" w:hAnsi="Calibri" w:cs="Calibri"/>
        </w:rPr>
      </w:pPr>
      <w:r w:rsidRPr="00995D5B">
        <w:rPr>
          <w:rFonts w:ascii="Calibri" w:hAnsi="Calibri" w:cs="Calibri"/>
        </w:rPr>
        <w:t xml:space="preserve">Het bestaan van </w:t>
      </w:r>
      <w:proofErr w:type="spellStart"/>
      <w:r w:rsidRPr="00995D5B">
        <w:rPr>
          <w:rFonts w:ascii="Calibri" w:hAnsi="Calibri" w:cs="Calibri"/>
        </w:rPr>
        <w:t>martkfalen</w:t>
      </w:r>
      <w:proofErr w:type="spellEnd"/>
      <w:r w:rsidRPr="00995D5B">
        <w:rPr>
          <w:rFonts w:ascii="Calibri" w:hAnsi="Calibri" w:cs="Calibri"/>
        </w:rPr>
        <w:t xml:space="preserve"> en ontwikkelingen richting verdere marktconcentratie bij dominante marktspelers in de regio en de strategische waarde van de zeekabel voor Sint Eustatius en Saba en voor de overheidsdienstverlening.</w:t>
      </w:r>
    </w:p>
    <w:p w:rsidRPr="00995D5B" w:rsidR="00C52DE0" w:rsidP="00C52DE0" w:rsidRDefault="00C52DE0" w14:paraId="67F79EE4" w14:textId="77777777">
      <w:pPr>
        <w:pStyle w:val="Lijstalinea"/>
        <w:numPr>
          <w:ilvl w:val="0"/>
          <w:numId w:val="1"/>
        </w:numPr>
        <w:autoSpaceDN w:val="0"/>
        <w:spacing w:after="0" w:line="240" w:lineRule="atLeast"/>
        <w:textAlignment w:val="baseline"/>
        <w:rPr>
          <w:rFonts w:ascii="Calibri" w:hAnsi="Calibri" w:cs="Calibri"/>
        </w:rPr>
      </w:pPr>
      <w:r w:rsidRPr="00995D5B">
        <w:rPr>
          <w:rFonts w:ascii="Calibri" w:hAnsi="Calibri" w:cs="Calibri"/>
        </w:rPr>
        <w:t>De beperkte effectiviteit van wet- en regelgeving doordat telecommarkten en het dataverkeer via zeekabels een sterk internationaal karakter heeft.</w:t>
      </w:r>
    </w:p>
    <w:p w:rsidRPr="00995D5B" w:rsidR="00C52DE0" w:rsidP="00C52DE0" w:rsidRDefault="00C52DE0" w14:paraId="219779A8" w14:textId="77777777">
      <w:pPr>
        <w:rPr>
          <w:rFonts w:ascii="Calibri" w:hAnsi="Calibri" w:cs="Calibri"/>
        </w:rPr>
      </w:pPr>
    </w:p>
    <w:p w:rsidRPr="00995D5B" w:rsidR="00C52DE0" w:rsidP="00C52DE0" w:rsidRDefault="00C52DE0" w14:paraId="4B22D9ED" w14:textId="77777777">
      <w:pPr>
        <w:rPr>
          <w:rFonts w:ascii="Calibri" w:hAnsi="Calibri" w:cs="Calibri"/>
        </w:rPr>
      </w:pPr>
      <w:r w:rsidRPr="00995D5B">
        <w:rPr>
          <w:rFonts w:ascii="Calibri" w:hAnsi="Calibri" w:cs="Calibri"/>
        </w:rPr>
        <w:lastRenderedPageBreak/>
        <w:t>Dit bevestigt dat het gekozen instrument (een beleidsdeelneming) bijdraagt aan de borging van het publieke belang van veilige, betrouwbare en betaalbare digitale infrastructuur voor Sint Eustatius en Saba.</w:t>
      </w:r>
    </w:p>
    <w:p w:rsidRPr="00995D5B" w:rsidR="00C52DE0" w:rsidP="00C52DE0" w:rsidRDefault="00C52DE0" w14:paraId="4C07917E" w14:textId="29C9041A">
      <w:pPr>
        <w:rPr>
          <w:rFonts w:ascii="Calibri" w:hAnsi="Calibri" w:cs="Calibri"/>
        </w:rPr>
      </w:pPr>
      <w:r w:rsidRPr="00995D5B">
        <w:rPr>
          <w:rFonts w:ascii="Calibri" w:hAnsi="Calibri" w:cs="Calibri"/>
        </w:rPr>
        <w:t xml:space="preserve"> Tegelijkertijd blijkt uit de evaluatie dat de bestaande </w:t>
      </w:r>
      <w:proofErr w:type="spellStart"/>
      <w:r w:rsidRPr="00995D5B">
        <w:rPr>
          <w:rFonts w:ascii="Calibri" w:hAnsi="Calibri" w:cs="Calibri"/>
        </w:rPr>
        <w:t>governance</w:t>
      </w:r>
      <w:proofErr w:type="spellEnd"/>
      <w:r w:rsidRPr="00995D5B">
        <w:rPr>
          <w:rFonts w:ascii="Calibri" w:hAnsi="Calibri" w:cs="Calibri"/>
        </w:rPr>
        <w:t xml:space="preserve">-structuur in hoofdlijnen functioneert, maar dat er ruimte is voor verbetering in de inrichting van het stelsel van rollen, verantwoordelijkheden en toezicht, gezien de ontwikkeling van SSCS B.V. De evaluatie bevat daarom aanbevelingen om de </w:t>
      </w:r>
      <w:proofErr w:type="spellStart"/>
      <w:r w:rsidRPr="00995D5B">
        <w:rPr>
          <w:rFonts w:ascii="Calibri" w:hAnsi="Calibri" w:cs="Calibri"/>
        </w:rPr>
        <w:t>governance</w:t>
      </w:r>
      <w:proofErr w:type="spellEnd"/>
      <w:r w:rsidRPr="00995D5B">
        <w:rPr>
          <w:rFonts w:ascii="Calibri" w:hAnsi="Calibri" w:cs="Calibri"/>
        </w:rPr>
        <w:t xml:space="preserve">-structuur binnen SSCS B.V. verder te versterken. Ook wordt aanbevolen de transparantie te vergroten. </w:t>
      </w:r>
    </w:p>
    <w:p w:rsidRPr="00995D5B" w:rsidR="00C52DE0" w:rsidP="00C52DE0" w:rsidRDefault="00C52DE0" w14:paraId="23FD8E9A" w14:textId="383B430B">
      <w:pPr>
        <w:rPr>
          <w:rFonts w:ascii="Calibri" w:hAnsi="Calibri" w:cs="Calibri"/>
        </w:rPr>
      </w:pPr>
      <w:r w:rsidRPr="00995D5B">
        <w:rPr>
          <w:rFonts w:ascii="Calibri" w:hAnsi="Calibri" w:cs="Calibri"/>
        </w:rPr>
        <w:t> </w:t>
      </w:r>
      <w:r w:rsidRPr="00995D5B">
        <w:rPr>
          <w:rFonts w:ascii="Calibri" w:hAnsi="Calibri" w:cs="Calibri"/>
          <w:b/>
        </w:rPr>
        <w:t xml:space="preserve">Uitwerking aanbevelingen t.a.v. de </w:t>
      </w:r>
      <w:proofErr w:type="spellStart"/>
      <w:r w:rsidRPr="00995D5B">
        <w:rPr>
          <w:rFonts w:ascii="Calibri" w:hAnsi="Calibri" w:cs="Calibri"/>
          <w:b/>
        </w:rPr>
        <w:t>governance</w:t>
      </w:r>
      <w:proofErr w:type="spellEnd"/>
      <w:r w:rsidRPr="00995D5B">
        <w:rPr>
          <w:rFonts w:ascii="Calibri" w:hAnsi="Calibri" w:cs="Calibri"/>
          <w:b/>
        </w:rPr>
        <w:t xml:space="preserve"> en transparantie </w:t>
      </w:r>
    </w:p>
    <w:p w:rsidRPr="00995D5B" w:rsidR="00C52DE0" w:rsidP="00C52DE0" w:rsidRDefault="00C52DE0" w14:paraId="515481D6" w14:textId="77777777">
      <w:pPr>
        <w:rPr>
          <w:rFonts w:ascii="Calibri" w:hAnsi="Calibri" w:cs="Calibri"/>
        </w:rPr>
      </w:pPr>
      <w:r w:rsidRPr="00995D5B">
        <w:rPr>
          <w:rFonts w:ascii="Calibri" w:hAnsi="Calibri" w:cs="Calibri"/>
        </w:rPr>
        <w:t xml:space="preserve">Hoewel de statuten van SSCS B.V. reeds voorzien in de mogelijkheid tot het instellen van een RvC is eerder niet gekozen voor het instellen van een RvC gezien de omvang van SSCS B.V. en de extra werklast en kosten die hieraan verbonden zijn. De statuten bepalen dat, zolang er geen RvC is ingesteld, de aan de RvC toekomende taken en bevoegdheden worden uitgeoefend door de algemene vergadering van aandeelhouders. EBA adviseert nu met het oog op de toegenomen complexiteit en de uitbreiding van de taken van SSCS B.V. om de </w:t>
      </w:r>
      <w:proofErr w:type="spellStart"/>
      <w:r w:rsidRPr="00995D5B">
        <w:rPr>
          <w:rFonts w:ascii="Calibri" w:hAnsi="Calibri" w:cs="Calibri"/>
        </w:rPr>
        <w:t>governance</w:t>
      </w:r>
      <w:proofErr w:type="spellEnd"/>
      <w:r w:rsidRPr="00995D5B">
        <w:rPr>
          <w:rFonts w:ascii="Calibri" w:hAnsi="Calibri" w:cs="Calibri"/>
        </w:rPr>
        <w:t xml:space="preserve"> verder te versterken door de instelling van een RvC.</w:t>
      </w:r>
    </w:p>
    <w:p w:rsidRPr="00995D5B" w:rsidR="00C52DE0" w:rsidP="00C52DE0" w:rsidRDefault="00C52DE0" w14:paraId="234BA989" w14:textId="72967A2A">
      <w:pPr>
        <w:rPr>
          <w:rFonts w:ascii="Calibri" w:hAnsi="Calibri" w:cs="Calibri"/>
        </w:rPr>
      </w:pPr>
      <w:r w:rsidRPr="00995D5B">
        <w:rPr>
          <w:rFonts w:ascii="Calibri" w:hAnsi="Calibri" w:cs="Calibri"/>
        </w:rPr>
        <w:t xml:space="preserve">Tegen deze achtergrond wordt de aanbeveling om een RvC in te stellen overgenomen. Bij het proces om tot een RvC te komen zal BZK het ministerie van Economische Zaken (EZ), het ministerie van Financiën (FIN), en de openbare lichamen betrekken. </w:t>
      </w:r>
    </w:p>
    <w:p w:rsidRPr="00995D5B" w:rsidR="00C52DE0" w:rsidP="00C52DE0" w:rsidRDefault="00C52DE0" w14:paraId="10A3E534" w14:textId="77777777">
      <w:pPr>
        <w:rPr>
          <w:rFonts w:ascii="Calibri" w:hAnsi="Calibri" w:cs="Calibri"/>
        </w:rPr>
      </w:pPr>
      <w:r w:rsidRPr="00995D5B">
        <w:rPr>
          <w:rFonts w:ascii="Calibri" w:hAnsi="Calibri" w:cs="Calibri"/>
        </w:rPr>
        <w:t>Om de transparantie te vergroten, zijn reeds stappen gezet. SSCS B.V. publiceert inmiddels meer informatie via de eigen website over haar activiteiten en prestaties. Hiermee wordt het inzicht voor belanghebbenden en het bredere publiek in de rol en werkwijze van de vennootschap vergroot. Om transparantie te bevorderen zal er op kwartaalbasis een nieuwsbrief worden verzonden aan directe betrokkenen zodat deze op de hoogte worden gehouden van de laatste ontwikkelingen.</w:t>
      </w:r>
    </w:p>
    <w:p w:rsidRPr="00995D5B" w:rsidR="00995D5B" w:rsidRDefault="00995D5B" w14:paraId="62FB4151" w14:textId="77777777">
      <w:pPr>
        <w:rPr>
          <w:rFonts w:ascii="Calibri" w:hAnsi="Calibri" w:cs="Calibri"/>
          <w:b/>
        </w:rPr>
      </w:pPr>
      <w:r w:rsidRPr="00995D5B">
        <w:rPr>
          <w:rFonts w:ascii="Calibri" w:hAnsi="Calibri" w:cs="Calibri"/>
          <w:b/>
        </w:rPr>
        <w:br w:type="page"/>
      </w:r>
    </w:p>
    <w:p w:rsidRPr="00995D5B" w:rsidR="00C52DE0" w:rsidP="00C52DE0" w:rsidRDefault="00C52DE0" w14:paraId="6B78B2DB" w14:textId="04A25749">
      <w:pPr>
        <w:rPr>
          <w:rFonts w:ascii="Calibri" w:hAnsi="Calibri" w:cs="Calibri"/>
        </w:rPr>
      </w:pPr>
      <w:r w:rsidRPr="00995D5B">
        <w:rPr>
          <w:rFonts w:ascii="Calibri" w:hAnsi="Calibri" w:cs="Calibri"/>
          <w:b/>
        </w:rPr>
        <w:lastRenderedPageBreak/>
        <w:t> Vervolg</w:t>
      </w:r>
    </w:p>
    <w:p w:rsidRPr="00995D5B" w:rsidR="00995D5B" w:rsidP="00995D5B" w:rsidRDefault="00C52DE0" w14:paraId="56ECA52D" w14:textId="77777777">
      <w:pPr>
        <w:rPr>
          <w:rFonts w:ascii="Calibri" w:hAnsi="Calibri" w:cs="Calibri"/>
        </w:rPr>
      </w:pPr>
      <w:r w:rsidRPr="00995D5B">
        <w:rPr>
          <w:rFonts w:ascii="Calibri" w:hAnsi="Calibri" w:cs="Calibri"/>
        </w:rPr>
        <w:t>Het is goed om te zien dat de onderzoekers bevestigen dat de directe doelstellingen van de aanleg van de zeekabel zijn gerealiseerd. Het gaat er primair om dat we voor de inwoners, bedrijven en instellingen van de eilanden betrouwbaar, snel en betaalbaar internetdiensten realiseren. Het goede werk dat SSCS B.V. de afgelopen jaren heeft verricht kan daarmee worden voortgezet. Het is ook belangrijk dat de onderzoekers de keuze voor een beleidsdeelneming onderschrijven. Met de aanbevelingen van de onderzoekers ga ik aan de slag, waarbij ik ook de openbare lichamen nauw zal betrekken.</w:t>
      </w:r>
    </w:p>
    <w:p w:rsidRPr="00995D5B" w:rsidR="00995D5B" w:rsidP="00995D5B" w:rsidRDefault="00995D5B" w14:paraId="6E62F9F0" w14:textId="77777777">
      <w:pPr>
        <w:rPr>
          <w:rFonts w:ascii="Calibri" w:hAnsi="Calibri" w:cs="Calibri"/>
        </w:rPr>
      </w:pPr>
    </w:p>
    <w:p w:rsidRPr="00995D5B" w:rsidR="00C52DE0" w:rsidP="00995D5B" w:rsidRDefault="00C52DE0" w14:paraId="5618D336" w14:textId="6031057A">
      <w:pPr>
        <w:pStyle w:val="Geenafstand"/>
        <w:rPr>
          <w:rFonts w:ascii="Calibri" w:hAnsi="Calibri" w:cs="Calibri"/>
        </w:rPr>
      </w:pPr>
      <w:r w:rsidRPr="00995D5B">
        <w:rPr>
          <w:rFonts w:ascii="Calibri" w:hAnsi="Calibri" w:cs="Calibri"/>
        </w:rPr>
        <w:t xml:space="preserve">De </w:t>
      </w:r>
      <w:r w:rsidRPr="00995D5B" w:rsidR="00995D5B">
        <w:rPr>
          <w:rFonts w:ascii="Calibri" w:hAnsi="Calibri" w:cs="Calibri"/>
        </w:rPr>
        <w:t>s</w:t>
      </w:r>
      <w:r w:rsidRPr="00995D5B">
        <w:rPr>
          <w:rFonts w:ascii="Calibri" w:hAnsi="Calibri" w:cs="Calibri"/>
        </w:rPr>
        <w:t>taatssecretaris van Binnenlandse Zaken en Koninkrijksrelaties,</w:t>
      </w:r>
    </w:p>
    <w:p w:rsidRPr="00995D5B" w:rsidR="00C52DE0" w:rsidP="00995D5B" w:rsidRDefault="00995D5B" w14:paraId="5ED9CAA7" w14:textId="746D9B71">
      <w:pPr>
        <w:pStyle w:val="Geenafstand"/>
        <w:rPr>
          <w:rFonts w:ascii="Calibri" w:hAnsi="Calibri" w:cs="Calibri"/>
        </w:rPr>
      </w:pPr>
      <w:r w:rsidRPr="00995D5B">
        <w:rPr>
          <w:rFonts w:ascii="Calibri" w:hAnsi="Calibri" w:cs="Calibri"/>
        </w:rPr>
        <w:t xml:space="preserve">E. </w:t>
      </w:r>
      <w:r w:rsidRPr="00995D5B" w:rsidR="00C52DE0">
        <w:rPr>
          <w:rFonts w:ascii="Calibri" w:hAnsi="Calibri" w:cs="Calibri"/>
        </w:rPr>
        <w:t>van Marum</w:t>
      </w:r>
    </w:p>
    <w:p w:rsidRPr="00995D5B" w:rsidR="00F80165" w:rsidRDefault="00F80165" w14:paraId="64404F8B" w14:textId="77777777">
      <w:pPr>
        <w:rPr>
          <w:rFonts w:ascii="Calibri" w:hAnsi="Calibri" w:cs="Calibri"/>
        </w:rPr>
      </w:pPr>
    </w:p>
    <w:sectPr w:rsidRPr="00995D5B" w:rsidR="00F80165" w:rsidSect="00C52DE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1338" w14:textId="77777777" w:rsidR="00C52DE0" w:rsidRDefault="00C52DE0" w:rsidP="00C52DE0">
      <w:pPr>
        <w:spacing w:after="0" w:line="240" w:lineRule="auto"/>
      </w:pPr>
      <w:r>
        <w:separator/>
      </w:r>
    </w:p>
  </w:endnote>
  <w:endnote w:type="continuationSeparator" w:id="0">
    <w:p w14:paraId="51FF1CE5" w14:textId="77777777" w:rsidR="00C52DE0" w:rsidRDefault="00C52DE0" w:rsidP="00C5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5653" w14:textId="77777777" w:rsidR="00C52DE0" w:rsidRPr="00C52DE0" w:rsidRDefault="00C52DE0" w:rsidP="00C52D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91AD" w14:textId="77777777" w:rsidR="00C52DE0" w:rsidRPr="00C52DE0" w:rsidRDefault="00C52DE0" w:rsidP="00C52D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CA34" w14:textId="77777777" w:rsidR="00C52DE0" w:rsidRPr="00C52DE0" w:rsidRDefault="00C52DE0" w:rsidP="00C52D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6E3F" w14:textId="77777777" w:rsidR="00C52DE0" w:rsidRDefault="00C52DE0" w:rsidP="00C52DE0">
      <w:pPr>
        <w:spacing w:after="0" w:line="240" w:lineRule="auto"/>
      </w:pPr>
      <w:r>
        <w:separator/>
      </w:r>
    </w:p>
  </w:footnote>
  <w:footnote w:type="continuationSeparator" w:id="0">
    <w:p w14:paraId="151D1787" w14:textId="77777777" w:rsidR="00C52DE0" w:rsidRDefault="00C52DE0" w:rsidP="00C52DE0">
      <w:pPr>
        <w:spacing w:after="0" w:line="240" w:lineRule="auto"/>
      </w:pPr>
      <w:r>
        <w:continuationSeparator/>
      </w:r>
    </w:p>
  </w:footnote>
  <w:footnote w:id="1">
    <w:p w14:paraId="1D817D19" w14:textId="77777777" w:rsidR="00C52DE0" w:rsidRPr="00995D5B" w:rsidRDefault="00C52DE0" w:rsidP="00C52DE0">
      <w:pPr>
        <w:pStyle w:val="Voetnoottekst"/>
        <w:rPr>
          <w:rFonts w:ascii="Calibri" w:hAnsi="Calibri" w:cs="Calibri"/>
        </w:rPr>
      </w:pPr>
      <w:r w:rsidRPr="00995D5B">
        <w:rPr>
          <w:rStyle w:val="Voetnootmarkering"/>
          <w:rFonts w:ascii="Calibri" w:hAnsi="Calibri" w:cs="Calibri"/>
        </w:rPr>
        <w:footnoteRef/>
      </w:r>
      <w:r w:rsidRPr="00995D5B">
        <w:rPr>
          <w:rFonts w:ascii="Calibri" w:hAnsi="Calibri" w:cs="Calibri"/>
        </w:rPr>
        <w:t xml:space="preserve"> Kamerstuk 2023/24, 26643, nr. 1119, p70.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F16E" w14:textId="77777777" w:rsidR="00C52DE0" w:rsidRPr="00C52DE0" w:rsidRDefault="00C52DE0" w:rsidP="00C52D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F2C6" w14:textId="77777777" w:rsidR="00C52DE0" w:rsidRPr="00C52DE0" w:rsidRDefault="00C52DE0" w:rsidP="00C52D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19B7" w14:textId="77777777" w:rsidR="00C52DE0" w:rsidRPr="00C52DE0" w:rsidRDefault="00C52DE0" w:rsidP="00C52D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7379"/>
    <w:multiLevelType w:val="hybridMultilevel"/>
    <w:tmpl w:val="54B40B60"/>
    <w:lvl w:ilvl="0" w:tplc="8446EDB4">
      <w:start w:val="1"/>
      <w:numFmt w:val="bullet"/>
      <w:lvlText w:val=""/>
      <w:lvlJc w:val="left"/>
      <w:pPr>
        <w:ind w:left="720" w:hanging="360"/>
      </w:pPr>
      <w:rPr>
        <w:rFonts w:ascii="Symbol" w:hAnsi="Symbol" w:hint="default"/>
      </w:rPr>
    </w:lvl>
    <w:lvl w:ilvl="1" w:tplc="A172097C" w:tentative="1">
      <w:start w:val="1"/>
      <w:numFmt w:val="bullet"/>
      <w:lvlText w:val="o"/>
      <w:lvlJc w:val="left"/>
      <w:pPr>
        <w:ind w:left="1440" w:hanging="360"/>
      </w:pPr>
      <w:rPr>
        <w:rFonts w:ascii="Courier New" w:hAnsi="Courier New" w:cs="Courier New" w:hint="default"/>
      </w:rPr>
    </w:lvl>
    <w:lvl w:ilvl="2" w:tplc="20F248A6" w:tentative="1">
      <w:start w:val="1"/>
      <w:numFmt w:val="bullet"/>
      <w:lvlText w:val=""/>
      <w:lvlJc w:val="left"/>
      <w:pPr>
        <w:ind w:left="2160" w:hanging="360"/>
      </w:pPr>
      <w:rPr>
        <w:rFonts w:ascii="Wingdings" w:hAnsi="Wingdings" w:hint="default"/>
      </w:rPr>
    </w:lvl>
    <w:lvl w:ilvl="3" w:tplc="8EDE50F0" w:tentative="1">
      <w:start w:val="1"/>
      <w:numFmt w:val="bullet"/>
      <w:lvlText w:val=""/>
      <w:lvlJc w:val="left"/>
      <w:pPr>
        <w:ind w:left="2880" w:hanging="360"/>
      </w:pPr>
      <w:rPr>
        <w:rFonts w:ascii="Symbol" w:hAnsi="Symbol" w:hint="default"/>
      </w:rPr>
    </w:lvl>
    <w:lvl w:ilvl="4" w:tplc="9E92C1F2" w:tentative="1">
      <w:start w:val="1"/>
      <w:numFmt w:val="bullet"/>
      <w:lvlText w:val="o"/>
      <w:lvlJc w:val="left"/>
      <w:pPr>
        <w:ind w:left="3600" w:hanging="360"/>
      </w:pPr>
      <w:rPr>
        <w:rFonts w:ascii="Courier New" w:hAnsi="Courier New" w:cs="Courier New" w:hint="default"/>
      </w:rPr>
    </w:lvl>
    <w:lvl w:ilvl="5" w:tplc="D7F0ACE8" w:tentative="1">
      <w:start w:val="1"/>
      <w:numFmt w:val="bullet"/>
      <w:lvlText w:val=""/>
      <w:lvlJc w:val="left"/>
      <w:pPr>
        <w:ind w:left="4320" w:hanging="360"/>
      </w:pPr>
      <w:rPr>
        <w:rFonts w:ascii="Wingdings" w:hAnsi="Wingdings" w:hint="default"/>
      </w:rPr>
    </w:lvl>
    <w:lvl w:ilvl="6" w:tplc="BF8290F2" w:tentative="1">
      <w:start w:val="1"/>
      <w:numFmt w:val="bullet"/>
      <w:lvlText w:val=""/>
      <w:lvlJc w:val="left"/>
      <w:pPr>
        <w:ind w:left="5040" w:hanging="360"/>
      </w:pPr>
      <w:rPr>
        <w:rFonts w:ascii="Symbol" w:hAnsi="Symbol" w:hint="default"/>
      </w:rPr>
    </w:lvl>
    <w:lvl w:ilvl="7" w:tplc="030A0E3C" w:tentative="1">
      <w:start w:val="1"/>
      <w:numFmt w:val="bullet"/>
      <w:lvlText w:val="o"/>
      <w:lvlJc w:val="left"/>
      <w:pPr>
        <w:ind w:left="5760" w:hanging="360"/>
      </w:pPr>
      <w:rPr>
        <w:rFonts w:ascii="Courier New" w:hAnsi="Courier New" w:cs="Courier New" w:hint="default"/>
      </w:rPr>
    </w:lvl>
    <w:lvl w:ilvl="8" w:tplc="518A69E0" w:tentative="1">
      <w:start w:val="1"/>
      <w:numFmt w:val="bullet"/>
      <w:lvlText w:val=""/>
      <w:lvlJc w:val="left"/>
      <w:pPr>
        <w:ind w:left="6480" w:hanging="360"/>
      </w:pPr>
      <w:rPr>
        <w:rFonts w:ascii="Wingdings" w:hAnsi="Wingdings" w:hint="default"/>
      </w:rPr>
    </w:lvl>
  </w:abstractNum>
  <w:num w:numId="1" w16cid:durableId="49585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E0"/>
    <w:rsid w:val="000641A3"/>
    <w:rsid w:val="000F61C7"/>
    <w:rsid w:val="00422C9D"/>
    <w:rsid w:val="00995D5B"/>
    <w:rsid w:val="00B256E4"/>
    <w:rsid w:val="00C52DE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5571"/>
  <w15:chartTrackingRefBased/>
  <w15:docId w15:val="{FD7DC3B1-5625-4432-89A4-E2E32347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2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2D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2D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2D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2D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D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D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D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D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2D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2D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2D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2D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2D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D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D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DE0"/>
    <w:rPr>
      <w:rFonts w:eastAsiaTheme="majorEastAsia" w:cstheme="majorBidi"/>
      <w:color w:val="272727" w:themeColor="text1" w:themeTint="D8"/>
    </w:rPr>
  </w:style>
  <w:style w:type="paragraph" w:styleId="Titel">
    <w:name w:val="Title"/>
    <w:basedOn w:val="Standaard"/>
    <w:next w:val="Standaard"/>
    <w:link w:val="TitelChar"/>
    <w:uiPriority w:val="10"/>
    <w:qFormat/>
    <w:rsid w:val="00C52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D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D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D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D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DE0"/>
    <w:rPr>
      <w:i/>
      <w:iCs/>
      <w:color w:val="404040" w:themeColor="text1" w:themeTint="BF"/>
    </w:rPr>
  </w:style>
  <w:style w:type="paragraph" w:styleId="Lijstalinea">
    <w:name w:val="List Paragraph"/>
    <w:basedOn w:val="Standaard"/>
    <w:uiPriority w:val="34"/>
    <w:qFormat/>
    <w:rsid w:val="00C52DE0"/>
    <w:pPr>
      <w:ind w:left="720"/>
      <w:contextualSpacing/>
    </w:pPr>
  </w:style>
  <w:style w:type="character" w:styleId="Intensievebenadrukking">
    <w:name w:val="Intense Emphasis"/>
    <w:basedOn w:val="Standaardalinea-lettertype"/>
    <w:uiPriority w:val="21"/>
    <w:qFormat/>
    <w:rsid w:val="00C52DE0"/>
    <w:rPr>
      <w:i/>
      <w:iCs/>
      <w:color w:val="0F4761" w:themeColor="accent1" w:themeShade="BF"/>
    </w:rPr>
  </w:style>
  <w:style w:type="paragraph" w:styleId="Duidelijkcitaat">
    <w:name w:val="Intense Quote"/>
    <w:basedOn w:val="Standaard"/>
    <w:next w:val="Standaard"/>
    <w:link w:val="DuidelijkcitaatChar"/>
    <w:uiPriority w:val="30"/>
    <w:qFormat/>
    <w:rsid w:val="00C52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2DE0"/>
    <w:rPr>
      <w:i/>
      <w:iCs/>
      <w:color w:val="0F4761" w:themeColor="accent1" w:themeShade="BF"/>
    </w:rPr>
  </w:style>
  <w:style w:type="character" w:styleId="Intensieveverwijzing">
    <w:name w:val="Intense Reference"/>
    <w:basedOn w:val="Standaardalinea-lettertype"/>
    <w:uiPriority w:val="32"/>
    <w:qFormat/>
    <w:rsid w:val="00C52DE0"/>
    <w:rPr>
      <w:b/>
      <w:bCs/>
      <w:smallCaps/>
      <w:color w:val="0F4761" w:themeColor="accent1" w:themeShade="BF"/>
      <w:spacing w:val="5"/>
    </w:rPr>
  </w:style>
  <w:style w:type="paragraph" w:customStyle="1" w:styleId="Referentiegegevens">
    <w:name w:val="Referentiegegevens"/>
    <w:basedOn w:val="Standaard"/>
    <w:next w:val="Standaard"/>
    <w:rsid w:val="00C52DE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52DE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52D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52D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52D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2DE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2D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2DE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52D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2DE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52DE0"/>
    <w:rPr>
      <w:vertAlign w:val="superscript"/>
    </w:rPr>
  </w:style>
  <w:style w:type="paragraph" w:styleId="Geenafstand">
    <w:name w:val="No Spacing"/>
    <w:uiPriority w:val="1"/>
    <w:qFormat/>
    <w:rsid w:val="00995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755</ap:Words>
  <ap:Characters>4153</ap:Characters>
  <ap:DocSecurity>0</ap:DocSecurity>
  <ap:Lines>34</ap:Lines>
  <ap:Paragraphs>9</ap:Paragraphs>
  <ap:ScaleCrop>false</ap:ScaleCrop>
  <ap:LinksUpToDate>false</ap:LinksUpToDate>
  <ap:CharactersWithSpaces>4899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2026-02-19T13:41:00.0000000Z</dcterms:created>
  <dcterms:modified xsi:type="dcterms:W3CDTF">2026-02-19T13:41:00.0000000Z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