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E1F" w:rsidP="00726E1F" w:rsidRDefault="00726E1F" w14:paraId="50B04F83" w14:textId="77777777">
      <w:pPr>
        <w:pStyle w:val="Geenafstand"/>
      </w:pPr>
      <w:r>
        <w:t>AH 1116</w:t>
      </w:r>
    </w:p>
    <w:p w:rsidR="00726E1F" w:rsidP="00726E1F" w:rsidRDefault="00726E1F" w14:paraId="243F048F" w14:textId="77777777">
      <w:pPr>
        <w:pStyle w:val="Geenafstand"/>
      </w:pPr>
      <w:r w:rsidRPr="004922B7">
        <w:t>2026Z00465</w:t>
      </w:r>
    </w:p>
    <w:p w:rsidR="00726E1F" w:rsidP="00726E1F" w:rsidRDefault="00726E1F" w14:paraId="01BFC6C7" w14:textId="77777777">
      <w:pPr>
        <w:pStyle w:val="Geenafstand"/>
      </w:pPr>
    </w:p>
    <w:p w:rsidR="00726E1F" w:rsidP="00726E1F" w:rsidRDefault="00726E1F" w14:paraId="5487266C" w14:textId="77777777">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16 februari 2026)</w:t>
      </w:r>
    </w:p>
    <w:p w:rsidR="00726E1F" w:rsidP="00726E1F" w:rsidRDefault="00726E1F" w14:paraId="43CEFD8E" w14:textId="77777777">
      <w:pPr>
        <w:pStyle w:val="Geenafstand"/>
        <w:rPr>
          <w:sz w:val="24"/>
          <w:szCs w:val="24"/>
        </w:rPr>
      </w:pPr>
    </w:p>
    <w:p w:rsidRPr="007B1B93" w:rsidR="00726E1F" w:rsidP="00427BA1" w:rsidRDefault="00726E1F" w14:paraId="0D3C1C6D" w14:textId="2CE9017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1012</w:t>
      </w:r>
    </w:p>
    <w:p w:rsidR="00726E1F" w:rsidP="00726E1F" w:rsidRDefault="00726E1F" w14:paraId="2143ECC1" w14:textId="05223AF3">
      <w:pPr>
        <w:pStyle w:val="Geenafstand"/>
      </w:pPr>
      <w:r w:rsidRPr="004922B7">
        <w:rPr>
          <w:rFonts w:ascii="Aptos" w:hAnsi="Aptos"/>
          <w:sz w:val="24"/>
        </w:rPr>
        <w:br/>
      </w:r>
      <w:r w:rsidRPr="004922B7">
        <w:t xml:space="preserve"> </w:t>
      </w:r>
      <w:r w:rsidRPr="004922B7">
        <w:rPr>
          <w:rFonts w:ascii="Aptos" w:hAnsi="Aptos"/>
          <w:sz w:val="24"/>
        </w:rPr>
        <w:br/>
      </w:r>
      <w:r w:rsidRPr="004922B7">
        <w:t>1</w:t>
      </w:r>
    </w:p>
    <w:p w:rsidRPr="004922B7" w:rsidR="00726E1F" w:rsidP="00726E1F" w:rsidRDefault="00726E1F" w14:paraId="45DE67E1" w14:textId="77777777">
      <w:pPr>
        <w:rPr>
          <w:rFonts w:cs="Verdana"/>
          <w:szCs w:val="18"/>
        </w:rPr>
      </w:pPr>
      <w:r w:rsidRPr="004922B7">
        <w:rPr>
          <w:rFonts w:cs="Verdana"/>
          <w:szCs w:val="18"/>
        </w:rPr>
        <w:t>Heeft u kennisgenomen van het artikel 'Brancheclubs mordicus tegen invoedingstarief', waarin wordt gesteld dat de invoering van een invoedingstarief voor elektriciteitsproducenten kan leiden tot hogere systeemkosten en hogere energierekeningen voor consumenten en bedrijven?</w:t>
      </w:r>
      <w:r w:rsidRPr="004922B7">
        <w:rPr>
          <w:rFonts w:ascii="Aptos" w:hAnsi="Aptos"/>
          <w:sz w:val="24"/>
        </w:rPr>
        <w:br/>
      </w:r>
    </w:p>
    <w:p w:rsidRPr="004922B7" w:rsidR="00726E1F" w:rsidP="00726E1F" w:rsidRDefault="00726E1F" w14:paraId="0043EC52" w14:textId="77777777">
      <w:pPr>
        <w:rPr>
          <w:rFonts w:cs="Verdana"/>
          <w:szCs w:val="18"/>
        </w:rPr>
      </w:pPr>
      <w:r w:rsidRPr="004922B7">
        <w:rPr>
          <w:rFonts w:cs="Verdana"/>
          <w:szCs w:val="18"/>
        </w:rPr>
        <w:t>Antwoord</w:t>
      </w:r>
    </w:p>
    <w:p w:rsidRPr="004922B7" w:rsidR="00726E1F" w:rsidP="00726E1F" w:rsidRDefault="00726E1F" w14:paraId="48CDC780" w14:textId="77777777">
      <w:pPr>
        <w:rPr>
          <w:rFonts w:cs="Verdana"/>
          <w:szCs w:val="18"/>
        </w:rPr>
      </w:pPr>
      <w:r w:rsidRPr="004922B7">
        <w:rPr>
          <w:rFonts w:cs="Verdana"/>
          <w:szCs w:val="18"/>
        </w:rPr>
        <w:t>Ja.</w:t>
      </w:r>
    </w:p>
    <w:p w:rsidRPr="004922B7" w:rsidR="00726E1F" w:rsidP="00726E1F" w:rsidRDefault="00726E1F" w14:paraId="196B5ECF" w14:textId="77777777">
      <w:pPr>
        <w:rPr>
          <w:rFonts w:cs="Verdana"/>
          <w:szCs w:val="18"/>
        </w:rPr>
      </w:pPr>
      <w:r w:rsidRPr="004922B7">
        <w:rPr>
          <w:rFonts w:cs="Verdana"/>
          <w:szCs w:val="18"/>
        </w:rPr>
        <w:t xml:space="preserve"> </w:t>
      </w:r>
    </w:p>
    <w:p w:rsidR="00726E1F" w:rsidP="00726E1F" w:rsidRDefault="00726E1F" w14:paraId="4720DCE0" w14:textId="77777777">
      <w:pPr>
        <w:rPr>
          <w:rFonts w:cs="Verdana"/>
          <w:szCs w:val="18"/>
        </w:rPr>
      </w:pPr>
      <w:r w:rsidRPr="004922B7">
        <w:rPr>
          <w:rFonts w:cs="Verdana"/>
          <w:szCs w:val="18"/>
        </w:rPr>
        <w:t>2</w:t>
      </w:r>
    </w:p>
    <w:p w:rsidRPr="004922B7" w:rsidR="00726E1F" w:rsidP="00726E1F" w:rsidRDefault="00726E1F" w14:paraId="52C6679F" w14:textId="77777777">
      <w:pPr>
        <w:rPr>
          <w:rFonts w:cs="Verdana"/>
          <w:szCs w:val="18"/>
        </w:rPr>
      </w:pPr>
      <w:r w:rsidRPr="004922B7">
        <w:rPr>
          <w:rFonts w:cs="Verdana"/>
          <w:szCs w:val="18"/>
        </w:rPr>
        <w:t>Wat betekent een invoedingstarief voor bestaande projecten die zijn gerealiseerd zonder rekening te houden met een dergelijk tarief?</w:t>
      </w:r>
    </w:p>
    <w:p w:rsidR="00726E1F" w:rsidP="00726E1F" w:rsidRDefault="00726E1F" w14:paraId="20822E55" w14:textId="77777777">
      <w:pPr>
        <w:rPr>
          <w:rFonts w:cs="Verdana"/>
          <w:szCs w:val="18"/>
        </w:rPr>
      </w:pPr>
    </w:p>
    <w:p w:rsidR="00726E1F" w:rsidP="00726E1F" w:rsidRDefault="00726E1F" w14:paraId="3D38381D" w14:textId="77777777">
      <w:pPr>
        <w:rPr>
          <w:rFonts w:cs="Verdana"/>
          <w:szCs w:val="18"/>
        </w:rPr>
      </w:pPr>
      <w:r w:rsidRPr="004922B7">
        <w:rPr>
          <w:rFonts w:cs="Verdana"/>
          <w:szCs w:val="18"/>
        </w:rPr>
        <w:t>3</w:t>
      </w:r>
    </w:p>
    <w:p w:rsidRPr="004922B7" w:rsidR="00726E1F" w:rsidP="00726E1F" w:rsidRDefault="00726E1F" w14:paraId="30CD8415" w14:textId="77777777">
      <w:pPr>
        <w:rPr>
          <w:rFonts w:cs="Verdana"/>
          <w:szCs w:val="18"/>
        </w:rPr>
      </w:pPr>
      <w:r w:rsidRPr="004922B7">
        <w:rPr>
          <w:rFonts w:cs="Verdana"/>
          <w:szCs w:val="18"/>
        </w:rPr>
        <w:t>Wat is, op basis van de huidige inzichten, de verwachte impact van een invoedingstarief op de investeringsbereidheid en de businesscase van nieuwe wind- en zonne-energieprojecten, en in andere kapitaalintensieve energieprojecten zoals kerncentrales?</w:t>
      </w:r>
    </w:p>
    <w:p w:rsidRPr="004922B7" w:rsidR="00726E1F" w:rsidP="00726E1F" w:rsidRDefault="00726E1F" w14:paraId="5750E169" w14:textId="77777777">
      <w:pPr>
        <w:rPr>
          <w:rFonts w:cs="Verdana"/>
          <w:szCs w:val="18"/>
        </w:rPr>
      </w:pPr>
    </w:p>
    <w:p w:rsidRPr="004922B7" w:rsidR="00726E1F" w:rsidP="00726E1F" w:rsidRDefault="00726E1F" w14:paraId="54E4536F" w14:textId="77777777">
      <w:pPr>
        <w:rPr>
          <w:rFonts w:cs="Verdana"/>
          <w:szCs w:val="18"/>
        </w:rPr>
      </w:pPr>
      <w:r w:rsidRPr="004922B7">
        <w:rPr>
          <w:rFonts w:cs="Verdana"/>
          <w:szCs w:val="18"/>
        </w:rPr>
        <w:t>Antwoord 2 en 3</w:t>
      </w:r>
    </w:p>
    <w:p w:rsidRPr="004922B7" w:rsidR="00726E1F" w:rsidP="00726E1F" w:rsidRDefault="00726E1F" w14:paraId="56619E71" w14:textId="77777777">
      <w:pPr>
        <w:rPr>
          <w:rFonts w:cs="Verdana"/>
          <w:szCs w:val="18"/>
        </w:rPr>
      </w:pPr>
      <w:r w:rsidRPr="004922B7">
        <w:rPr>
          <w:rFonts w:cs="Verdana"/>
          <w:szCs w:val="18"/>
        </w:rPr>
        <w:t xml:space="preserve">Vooropgesteld: er is nog geen formeel besluit van </w:t>
      </w:r>
      <w:r>
        <w:rPr>
          <w:rFonts w:cs="Verdana"/>
          <w:szCs w:val="18"/>
        </w:rPr>
        <w:t xml:space="preserve">de </w:t>
      </w:r>
      <w:r w:rsidRPr="004922B7">
        <w:rPr>
          <w:rFonts w:cs="Verdana"/>
          <w:szCs w:val="18"/>
        </w:rPr>
        <w:t>ACM over de vormgeving, hoogte, invoerdatum of overgangsperiode van een eventueel invoedingstarief. Ook zijn de effecten sterk afhankelijk van eventueel flankerend beleid én de regulatoire en marktgerelateerde ontwikkelingen in de met Nederland verbonden elektriciteitsmarkten. Daardoor zijn de effecten van een eventueel invoedingstarief slechts kwalitatief en met een beperkte mate van zekerheid in te schatten.</w:t>
      </w:r>
    </w:p>
    <w:p w:rsidRPr="004922B7" w:rsidR="00726E1F" w:rsidP="00726E1F" w:rsidRDefault="00726E1F" w14:paraId="7A083C13" w14:textId="77777777">
      <w:pPr>
        <w:rPr>
          <w:rFonts w:cs="Verdana"/>
          <w:szCs w:val="18"/>
        </w:rPr>
      </w:pPr>
    </w:p>
    <w:p w:rsidRPr="004922B7" w:rsidR="00726E1F" w:rsidP="00726E1F" w:rsidRDefault="00726E1F" w14:paraId="28F59BBE" w14:textId="77777777">
      <w:pPr>
        <w:rPr>
          <w:rFonts w:cs="Verdana"/>
          <w:szCs w:val="18"/>
        </w:rPr>
      </w:pPr>
      <w:r w:rsidRPr="004922B7">
        <w:rPr>
          <w:rFonts w:cs="Verdana"/>
          <w:szCs w:val="18"/>
        </w:rPr>
        <w:lastRenderedPageBreak/>
        <w:t xml:space="preserve">De inschatting is dat producenten een invoedingstarief slechts in beperkte mate door kunnen rekenen in hun verkoopprijzen. Dit komt ten eerste omdat veel producenten werken met bestaande prijsafspraken en ten tweede omdat Nederlandse producenten in de Noordwest-Europese elektriciteitsmarkt doorgaans niet prijszettend zijn. Dit zorgt ervoor dat de invoering van een invoedingstarief een negatieve impact kan hebben op de winstgevendheid van elektriciteitsproductie in Nederland. Marktpartijen hebben in reactie op een consultatievoorstel van </w:t>
      </w:r>
      <w:r>
        <w:rPr>
          <w:rFonts w:cs="Verdana"/>
          <w:szCs w:val="18"/>
        </w:rPr>
        <w:t xml:space="preserve">de </w:t>
      </w:r>
      <w:r w:rsidRPr="004922B7">
        <w:rPr>
          <w:rFonts w:cs="Verdana"/>
          <w:szCs w:val="18"/>
        </w:rPr>
        <w:t xml:space="preserve">ACM deze zomer gewezen op de mogelijke impact op hun business cases en waarschuwen dat een invoedingstarief kan leiden tot faillissementen en </w:t>
      </w:r>
      <w:r>
        <w:rPr>
          <w:rFonts w:cs="Verdana"/>
          <w:szCs w:val="18"/>
        </w:rPr>
        <w:t xml:space="preserve">het </w:t>
      </w:r>
      <w:r w:rsidRPr="004922B7">
        <w:rPr>
          <w:rFonts w:cs="Verdana"/>
          <w:szCs w:val="18"/>
        </w:rPr>
        <w:t>vroegtijdig uit</w:t>
      </w:r>
      <w:r>
        <w:rPr>
          <w:rFonts w:cs="Verdana"/>
          <w:szCs w:val="18"/>
        </w:rPr>
        <w:t xml:space="preserve"> </w:t>
      </w:r>
      <w:r w:rsidRPr="004922B7">
        <w:rPr>
          <w:rFonts w:cs="Verdana"/>
          <w:szCs w:val="18"/>
        </w:rPr>
        <w:t>gebruik</w:t>
      </w:r>
      <w:r>
        <w:rPr>
          <w:rFonts w:cs="Verdana"/>
          <w:szCs w:val="18"/>
        </w:rPr>
        <w:t xml:space="preserve"> nemen</w:t>
      </w:r>
      <w:r w:rsidRPr="004922B7">
        <w:rPr>
          <w:rFonts w:cs="Verdana"/>
          <w:szCs w:val="18"/>
        </w:rPr>
        <w:t xml:space="preserve"> van bestaande productielocaties. De ordegrootte van deze mogelijke negatieve impact is mede afhankelijk van de vormgeving, hoogte, invoerdatum en overgangsperiode van een invoedingstarief. </w:t>
      </w:r>
    </w:p>
    <w:p w:rsidRPr="004922B7" w:rsidR="00726E1F" w:rsidP="00726E1F" w:rsidRDefault="00726E1F" w14:paraId="71647ECB" w14:textId="77777777">
      <w:pPr>
        <w:rPr>
          <w:rFonts w:cs="Verdana"/>
          <w:szCs w:val="18"/>
        </w:rPr>
      </w:pPr>
    </w:p>
    <w:p w:rsidRPr="004922B7" w:rsidR="00726E1F" w:rsidP="00726E1F" w:rsidRDefault="00726E1F" w14:paraId="3761297B" w14:textId="77777777">
      <w:pPr>
        <w:rPr>
          <w:rFonts w:cs="Verdana"/>
          <w:color w:val="000000"/>
          <w:szCs w:val="18"/>
        </w:rPr>
      </w:pPr>
      <w:r w:rsidRPr="004922B7">
        <w:rPr>
          <w:rFonts w:cs="Verdana"/>
          <w:szCs w:val="18"/>
        </w:rPr>
        <w:t xml:space="preserve">Bij al getenderde, maar nog niet gerealiseerde wind op zee projecten bestaat het risico dat de ontwikkelaar de businesscase niet meer rond gerekend krijgt en de ontwikkeling staakt. Dit heeft grote extra kosten tot gevolg omdat TenneT ver van tevoren al investeringen doet in het net op zee. Deze kosten lopen op naarmate de realisatie van windparken wordt uitgesteld. Ditzelfde geldt ook voor Nederlandse projecten voor hernieuwbare energie op land die nog niet zijn gerealiseerd, maar die al wel een subsidiebeschikking hebben. De subsidieparameters staan immers al vast, terwijl de kosten van de productie zouden stijgen als gevolg van de instelling van een invoedingstarief. Ook voor de nog open te stellen subsidietender voor wind op zee in 2026 (TOWOZ) vormt het invoedingstarief en de onzekerheid daarover een aanzienlijk risico dat de investeringsbereidheid vanuit marktpartijen zou kunnen beperken. Dat kan resulteren in een lagere slagingskans van de tender. Hetzelfde geldt voor de slagingskans van toekomstige “Contracts for Difference”-tenders (CfD's) voor ondersteuning van hernieuwbare energie op land en wind op zee, afhankelijk van duidelijkheid over het invoedingstarief, de vormgeving en de mogelijkheden voor de markt om het risico voldoende in te prijzen. </w:t>
      </w:r>
      <w:r w:rsidRPr="004922B7">
        <w:rPr>
          <w:rFonts w:cs="Verdana"/>
          <w:color w:val="000000"/>
          <w:szCs w:val="18"/>
        </w:rPr>
        <w:t>Een invoedingstarief kan ten slotte ook een negatief effect hebben op de business case van en de investeringsbereidheid in kernenergie.</w:t>
      </w:r>
    </w:p>
    <w:p w:rsidRPr="004922B7" w:rsidR="00726E1F" w:rsidP="00726E1F" w:rsidRDefault="00726E1F" w14:paraId="258137B7" w14:textId="77777777">
      <w:pPr>
        <w:rPr>
          <w:rFonts w:cs="Verdana"/>
          <w:szCs w:val="18"/>
        </w:rPr>
      </w:pPr>
    </w:p>
    <w:p w:rsidRPr="004922B7" w:rsidR="00726E1F" w:rsidP="00726E1F" w:rsidRDefault="00726E1F" w14:paraId="69432DC3" w14:textId="77777777">
      <w:pPr>
        <w:rPr>
          <w:rFonts w:cs="Verdana"/>
          <w:szCs w:val="18"/>
        </w:rPr>
      </w:pPr>
      <w:r w:rsidRPr="004922B7">
        <w:rPr>
          <w:rFonts w:cs="Verdana"/>
          <w:szCs w:val="18"/>
        </w:rPr>
        <w:t xml:space="preserve">De mate waarin deze effecten zullen optreden of voorkomen kunnen worden, zijn afhankelijk van de definitieve keuzes van </w:t>
      </w:r>
      <w:r>
        <w:rPr>
          <w:rFonts w:cs="Verdana"/>
          <w:szCs w:val="18"/>
        </w:rPr>
        <w:t xml:space="preserve">de </w:t>
      </w:r>
      <w:r w:rsidRPr="004922B7">
        <w:rPr>
          <w:rFonts w:cs="Verdana"/>
          <w:szCs w:val="18"/>
        </w:rPr>
        <w:t>ACM over het invoedingstarief, eventueel flankerend beleid</w:t>
      </w:r>
      <w:r>
        <w:rPr>
          <w:rFonts w:cs="Verdana"/>
          <w:szCs w:val="18"/>
        </w:rPr>
        <w:t>, invoeringstermijn en overgangsperiode,</w:t>
      </w:r>
      <w:r w:rsidRPr="004922B7">
        <w:rPr>
          <w:rFonts w:cs="Verdana"/>
          <w:szCs w:val="18"/>
        </w:rPr>
        <w:t xml:space="preserve"> en van ontwikkelingen in elektriciteitsmarkten waar Nederland mee is verbonden. Een belangrijk deel van deze negatieve effecten zouden naar verwachting uitblijven wanneer sprake zou zijn van een Europees geharmoniseerde invoering van een invoedingstarief, of een invoedingstarief waarvan de hoogte beter aansluit bij die in verbonden elektriciteitsmarkten. Dit zou echter niet problemen </w:t>
      </w:r>
      <w:r w:rsidRPr="004922B7">
        <w:rPr>
          <w:rFonts w:cs="Verdana"/>
          <w:szCs w:val="18"/>
        </w:rPr>
        <w:lastRenderedPageBreak/>
        <w:t>voorkomen die ontstaan bij projecten met een bestaande SDE++ subsidiebeschikking. Dit wordt nader toegelicht in antwoorden op vraag 4 en 5.</w:t>
      </w:r>
    </w:p>
    <w:p w:rsidRPr="004922B7" w:rsidR="00726E1F" w:rsidP="00726E1F" w:rsidRDefault="00726E1F" w14:paraId="513F7A37" w14:textId="77777777">
      <w:pPr>
        <w:rPr>
          <w:rFonts w:cs="Verdana"/>
          <w:szCs w:val="18"/>
        </w:rPr>
      </w:pPr>
    </w:p>
    <w:p w:rsidR="00726E1F" w:rsidP="00726E1F" w:rsidRDefault="00726E1F" w14:paraId="0B406ACC" w14:textId="77777777">
      <w:pPr>
        <w:rPr>
          <w:rFonts w:cs="Verdana"/>
          <w:szCs w:val="18"/>
        </w:rPr>
      </w:pPr>
      <w:r w:rsidRPr="004922B7">
        <w:rPr>
          <w:rFonts w:cs="Verdana"/>
          <w:szCs w:val="18"/>
        </w:rPr>
        <w:t>4</w:t>
      </w:r>
    </w:p>
    <w:p w:rsidRPr="004922B7" w:rsidR="00726E1F" w:rsidP="00726E1F" w:rsidRDefault="00726E1F" w14:paraId="414DCD48" w14:textId="77777777">
      <w:pPr>
        <w:rPr>
          <w:rFonts w:cs="Verdana"/>
          <w:szCs w:val="18"/>
        </w:rPr>
      </w:pPr>
      <w:r w:rsidRPr="004922B7">
        <w:rPr>
          <w:rFonts w:cs="Verdana"/>
          <w:szCs w:val="18"/>
        </w:rPr>
        <w:t>Welke gevolgen verwacht u dat een invoedingstarief heeft voor het tijdig halen van de klimaatdoelstellingen voor 2030, in het bijzonder met oog op de uitrol van hernieuwbare elektriciteitsproductie van eigen bodem?</w:t>
      </w:r>
    </w:p>
    <w:p w:rsidRPr="004922B7" w:rsidR="00726E1F" w:rsidP="00726E1F" w:rsidRDefault="00726E1F" w14:paraId="60C90D55" w14:textId="77777777">
      <w:pPr>
        <w:rPr>
          <w:rFonts w:cs="Verdana"/>
          <w:szCs w:val="18"/>
        </w:rPr>
      </w:pPr>
    </w:p>
    <w:p w:rsidRPr="004922B7" w:rsidR="00726E1F" w:rsidP="00726E1F" w:rsidRDefault="00726E1F" w14:paraId="1C116F57" w14:textId="77777777">
      <w:pPr>
        <w:rPr>
          <w:rFonts w:cs="Verdana"/>
          <w:szCs w:val="18"/>
        </w:rPr>
      </w:pPr>
      <w:r w:rsidRPr="004922B7">
        <w:rPr>
          <w:rFonts w:cs="Verdana"/>
          <w:szCs w:val="18"/>
        </w:rPr>
        <w:t>Antwoord</w:t>
      </w:r>
    </w:p>
    <w:p w:rsidRPr="004922B7" w:rsidR="00726E1F" w:rsidP="00726E1F" w:rsidRDefault="00726E1F" w14:paraId="63E920F0" w14:textId="77777777">
      <w:pPr>
        <w:rPr>
          <w:rFonts w:cs="Verdana"/>
          <w:szCs w:val="18"/>
        </w:rPr>
      </w:pPr>
      <w:r w:rsidRPr="004922B7">
        <w:rPr>
          <w:rFonts w:cs="Verdana"/>
          <w:szCs w:val="18"/>
        </w:rPr>
        <w:t>De projecten die bijdragen aan nationale productie van hernieuwbare elektriciteit zijn onmisbaar voor de klimaatdoelstellingen voor 2030. Voor de ontwikkeling of operatie van deze projecten is een acceptabele business case nodig, anders komen de projecten niet tot stand. Als het invoedingstarief niet geabsorbeerd, doorberekend of gecompenseerd kan worden, zal dit een negatief effect hebben op de business case van deze projecten en daarmee op de hoeveelheid nationale productie van hernieuwbare elektriciteit. Projecten die op tijd worden gerealiseerd om bij te dragen aan de klimaatdoelstellingen voor 2030 hebben waarschijnlijk al een subsidiebeschikking ontvangen. Bij deze projecten is het, zoals in het antwoord op vraag 5 hieronder is toegelicht, niet goed mogelijk om rekening te houden met de financiële effecten van een invoedingstarief. Voor projecten voor hernieuwbare energie op land die nog niet zijn gerealiseerd, maar die al wel een subsidiebeschikking hebben, bestaat daardoor een wezenlijk risico op non-realisatie. Er bestaat daarom, afhankelijk van de vormgeving, hoogte, invoerdatum en overgangsperiode, een risico dat een invoedingstarief de realisatie van klimaatdoelstellingen voor 2030 in de weg staat of moeilijker maakt.</w:t>
      </w:r>
    </w:p>
    <w:p w:rsidRPr="004922B7" w:rsidR="00726E1F" w:rsidP="00726E1F" w:rsidRDefault="00726E1F" w14:paraId="01A18A35" w14:textId="77777777">
      <w:pPr>
        <w:rPr>
          <w:rFonts w:ascii="Aptos" w:hAnsi="Aptos"/>
          <w:sz w:val="24"/>
        </w:rPr>
      </w:pPr>
    </w:p>
    <w:p w:rsidR="00726E1F" w:rsidP="00726E1F" w:rsidRDefault="00726E1F" w14:paraId="2D3FBFC3" w14:textId="77777777">
      <w:pPr>
        <w:rPr>
          <w:rFonts w:cs="Verdana"/>
          <w:szCs w:val="18"/>
        </w:rPr>
      </w:pPr>
      <w:r w:rsidRPr="004922B7">
        <w:rPr>
          <w:rFonts w:cs="Verdana"/>
          <w:szCs w:val="18"/>
        </w:rPr>
        <w:t>5</w:t>
      </w:r>
    </w:p>
    <w:p w:rsidRPr="004922B7" w:rsidR="00726E1F" w:rsidP="00726E1F" w:rsidRDefault="00726E1F" w14:paraId="01AC71A3" w14:textId="77777777">
      <w:pPr>
        <w:rPr>
          <w:rFonts w:cs="Verdana"/>
          <w:szCs w:val="18"/>
        </w:rPr>
      </w:pPr>
      <w:r w:rsidRPr="004922B7">
        <w:rPr>
          <w:rFonts w:cs="Verdana"/>
          <w:szCs w:val="18"/>
        </w:rPr>
        <w:t>Ziet u mogelijkheden om de financiële impact van een invoedingstarief voor bestaande en nieuwe projecten te mitigeren, bijvoorbeeld via de Stimulering Duurzame Energieproductie en Klimaattransitie (SDE++) of een opvolgende subsidieregeling?</w:t>
      </w:r>
    </w:p>
    <w:p w:rsidRPr="004922B7" w:rsidR="00726E1F" w:rsidP="00726E1F" w:rsidRDefault="00726E1F" w14:paraId="4F90385E" w14:textId="77777777">
      <w:pPr>
        <w:rPr>
          <w:rFonts w:ascii="Aptos" w:hAnsi="Aptos"/>
          <w:sz w:val="24"/>
        </w:rPr>
      </w:pPr>
    </w:p>
    <w:p w:rsidRPr="004922B7" w:rsidR="00726E1F" w:rsidP="00726E1F" w:rsidRDefault="00726E1F" w14:paraId="6ACF4E8B" w14:textId="77777777">
      <w:pPr>
        <w:rPr>
          <w:rFonts w:cs="Verdana"/>
          <w:szCs w:val="18"/>
        </w:rPr>
      </w:pPr>
      <w:r w:rsidRPr="004922B7">
        <w:rPr>
          <w:rFonts w:cs="Verdana"/>
          <w:szCs w:val="18"/>
        </w:rPr>
        <w:t xml:space="preserve">Antwoord </w:t>
      </w:r>
      <w:r w:rsidRPr="004922B7">
        <w:rPr>
          <w:rFonts w:ascii="Aptos" w:hAnsi="Aptos"/>
          <w:sz w:val="24"/>
        </w:rPr>
        <w:br/>
      </w:r>
      <w:r w:rsidRPr="004922B7">
        <w:rPr>
          <w:rFonts w:cs="Verdana"/>
          <w:szCs w:val="18"/>
        </w:rPr>
        <w:t xml:space="preserve">Er is op dit moment geen budget of juridische grondslag om eventuele compensatie te bieden voor de negatieve gevolgen van een invoedingstarief voor bestaande, al getenderde of vergunde projecten. Voor projecten met een bestaande SDE++ beschikking is het effect van het invoedingstarief extra </w:t>
      </w:r>
      <w:r w:rsidRPr="004922B7" w:rsidDel="1F6751E2">
        <w:rPr>
          <w:rFonts w:cs="Verdana"/>
          <w:szCs w:val="18"/>
        </w:rPr>
        <w:t>n</w:t>
      </w:r>
      <w:r w:rsidRPr="004922B7">
        <w:rPr>
          <w:rFonts w:cs="Verdana"/>
          <w:szCs w:val="18"/>
        </w:rPr>
        <w:t xml:space="preserve">adelig: ten eerste verhoogt deze de kosten voor opwek, zonder dat de subsidie </w:t>
      </w:r>
      <w:r w:rsidRPr="004922B7">
        <w:rPr>
          <w:rFonts w:cs="Verdana"/>
          <w:szCs w:val="18"/>
        </w:rPr>
        <w:lastRenderedPageBreak/>
        <w:t>stijgt. In de subsidieparameters ligt namelijk besloten dat de subsidie alleen meebeweegt met veranderende elektriciteitsprijzen, niet met veranderende netkosten. Ten tweede wordt de subsidie voor deze partijen daardoor ook nog gekort, als gevolg van en voor zover de elektriciteitsprijs stijgt door de invoering van het invoedingstarief. Dit komt doordat de subsidie berekend wordt op basis van een vastgestelde kostprijs per kilowattuur, verminderd met de actuele elektriciteitsprijs, en deze eerste niet meebeweegt met de verhoogde kosten en deze tweede wel met de verhoging van de elektriciteitsprijs.</w:t>
      </w:r>
      <w:r>
        <w:rPr>
          <w:rFonts w:cs="Verdana"/>
          <w:szCs w:val="18"/>
        </w:rPr>
        <w:t xml:space="preserve"> </w:t>
      </w:r>
      <w:r w:rsidRPr="004922B7">
        <w:rPr>
          <w:rFonts w:cs="Verdana"/>
          <w:szCs w:val="18"/>
        </w:rPr>
        <w:t xml:space="preserve"> </w:t>
      </w:r>
    </w:p>
    <w:p w:rsidRPr="004922B7" w:rsidR="00726E1F" w:rsidP="00726E1F" w:rsidRDefault="00726E1F" w14:paraId="2E05223C" w14:textId="77777777">
      <w:pPr>
        <w:rPr>
          <w:rFonts w:cs="Verdana"/>
          <w:szCs w:val="18"/>
        </w:rPr>
      </w:pPr>
    </w:p>
    <w:p w:rsidRPr="004922B7" w:rsidR="00726E1F" w:rsidP="00726E1F" w:rsidRDefault="00726E1F" w14:paraId="15FF1577" w14:textId="77777777">
      <w:pPr>
        <w:rPr>
          <w:rFonts w:cs="Verdana"/>
          <w:szCs w:val="18"/>
        </w:rPr>
      </w:pPr>
      <w:r w:rsidRPr="004922B7">
        <w:rPr>
          <w:rFonts w:cs="Verdana"/>
          <w:szCs w:val="18"/>
        </w:rPr>
        <w:t xml:space="preserve">Voor toekomstige, nieuwe projecten geldt dat er in de subsidiebedragen eventueel rekening kan worden gehouden met de hogere kosten, dit betekent wel dat de subsidie-intensiteit van deze productie-installaties voor hernieuwbare elektriciteit omhooggaat. Dit betekent dat met de beschikbare middelen minder opwek van hernieuwbare elektriciteit gestimuleerd kan worden. Dit geldt niet alleen voor zon-PV en windenergie, maar bijvoorbeeld ook voor kernenergie, als daarvoor in de toekomst steun geboden wordt. Bovendien is de uitvoerbaarheid van het rekening houden met de financiële impact van een invoedingstarief sterk afhankelijk van de wijze waarop een invoedingstarief wordt vormgegeven. Bepaalde varianten van een invoedingstarief leiden tot onvoorspelbare en wisselende hoogtes, waardoor ook het benodigde subsidiebedrag elk jaar zou veranderen. Pas als duidelijk is hoe het invoedingstarief exact vormgegeven wordt kan onderzocht worden hoe dit eventueel in subsidies verwerkt kan worden. Voor de TOWOZ en SDE++ ronde van 2026 is dit niet meer mogelijk. </w:t>
      </w:r>
    </w:p>
    <w:p w:rsidRPr="004922B7" w:rsidR="00726E1F" w:rsidP="00726E1F" w:rsidRDefault="00726E1F" w14:paraId="75E73C83" w14:textId="77777777">
      <w:pPr>
        <w:rPr>
          <w:rFonts w:cs="Verdana"/>
          <w:szCs w:val="18"/>
        </w:rPr>
      </w:pPr>
    </w:p>
    <w:p w:rsidR="00726E1F" w:rsidP="00726E1F" w:rsidRDefault="00726E1F" w14:paraId="430955F7" w14:textId="77777777">
      <w:pPr>
        <w:rPr>
          <w:rFonts w:cs="Verdana"/>
          <w:szCs w:val="18"/>
        </w:rPr>
      </w:pPr>
      <w:r w:rsidRPr="004922B7">
        <w:rPr>
          <w:rFonts w:cs="Verdana"/>
          <w:szCs w:val="18"/>
        </w:rPr>
        <w:t>6</w:t>
      </w:r>
    </w:p>
    <w:p w:rsidRPr="004922B7" w:rsidR="00726E1F" w:rsidP="00726E1F" w:rsidRDefault="00726E1F" w14:paraId="5833BF9E" w14:textId="77777777">
      <w:pPr>
        <w:rPr>
          <w:rFonts w:cs="Verdana"/>
          <w:szCs w:val="18"/>
        </w:rPr>
      </w:pPr>
      <w:r w:rsidRPr="004922B7">
        <w:rPr>
          <w:rFonts w:cs="Verdana"/>
          <w:szCs w:val="18"/>
        </w:rPr>
        <w:t>Hoe beoordeelt u het risico dat kosten die via een invoedingstarief bij producenten worden neergelegd, uiteindelijk via subsidies weer moeten worden gecompenseerd, waardoor per saldo geen kostenbesparing maar juist extra systeemkosten ontstaan?</w:t>
      </w:r>
      <w:r w:rsidRPr="004922B7">
        <w:rPr>
          <w:rFonts w:ascii="Aptos" w:hAnsi="Aptos"/>
          <w:sz w:val="24"/>
        </w:rPr>
        <w:br/>
      </w:r>
    </w:p>
    <w:p w:rsidRPr="004922B7" w:rsidR="00726E1F" w:rsidP="00726E1F" w:rsidRDefault="00726E1F" w14:paraId="544AF6E6" w14:textId="77777777">
      <w:pPr>
        <w:rPr>
          <w:rFonts w:cs="Verdana"/>
          <w:szCs w:val="18"/>
        </w:rPr>
      </w:pPr>
      <w:r w:rsidRPr="004922B7">
        <w:rPr>
          <w:rFonts w:cs="Verdana"/>
          <w:szCs w:val="18"/>
        </w:rPr>
        <w:t>Antwoord</w:t>
      </w:r>
    </w:p>
    <w:p w:rsidRPr="004922B7" w:rsidR="00726E1F" w:rsidP="00726E1F" w:rsidRDefault="00726E1F" w14:paraId="5AEEC1F9" w14:textId="77777777">
      <w:pPr>
        <w:rPr>
          <w:rFonts w:cs="Verdana"/>
          <w:szCs w:val="18"/>
        </w:rPr>
      </w:pPr>
      <w:r w:rsidRPr="004922B7">
        <w:rPr>
          <w:rFonts w:cs="Verdana"/>
          <w:szCs w:val="18"/>
        </w:rPr>
        <w:t xml:space="preserve">Het invoedingstarief zullen producenten moeten betalen per eenheid energie die zij invoeden in het elektriciteitsnet. Het zorgt daardoor voor een hogere kostprijs van de productie van elektriciteit. Producenten zullen dit proberen door te berekenen in de verkoopprijs. Het lijkt waarschijnlijk dat producenten dit slechts gedeeltelijk kunnen doen. Voor het deel van dit tarief dat niet kan worden doorberekend, resulteert dit in een hogere onrendabele top van hernieuwbare elektriciteit. Deze onrendabele top vertaalt zich in een hogere subsidiebehoefte. In het geval van zon-PV en windenergie op land en op zee zal stimulering vanaf 2027 door middel van CfD's plaatsvinden, die het verschil </w:t>
      </w:r>
      <w:r w:rsidRPr="004922B7">
        <w:rPr>
          <w:rFonts w:cs="Verdana"/>
          <w:szCs w:val="18"/>
        </w:rPr>
        <w:lastRenderedPageBreak/>
        <w:t>tussen de kostprijs en de marktprijs van elektriciteit dekken met financiële middelen van de overheid. Dat betekent dat er bij invoering van een invoedingstarief meer middelen nodig zijn om dezelfde hoeveelheid elektriciteit uit hernieuwbare energieprojecten te produceren. Het lijkt dus waarschijnlijk dat de hogere kosten voor producenten deels door de overheid zullen moeten worden gecompenseerd. Dit betekent dat met dezelfde beschikbare middelen minder opwek van hernieuwbare elektriciteit gestimuleerd kan worden.</w:t>
      </w:r>
    </w:p>
    <w:p w:rsidRPr="004922B7" w:rsidR="00726E1F" w:rsidP="00726E1F" w:rsidRDefault="00726E1F" w14:paraId="1494674B" w14:textId="77777777">
      <w:pPr>
        <w:rPr>
          <w:rFonts w:cs="Verdana"/>
          <w:szCs w:val="18"/>
        </w:rPr>
      </w:pPr>
    </w:p>
    <w:p w:rsidRPr="004922B7" w:rsidR="00726E1F" w:rsidP="00726E1F" w:rsidRDefault="00726E1F" w14:paraId="1C4B6910" w14:textId="77777777">
      <w:pPr>
        <w:rPr>
          <w:rFonts w:cs="Verdana"/>
          <w:szCs w:val="18"/>
        </w:rPr>
      </w:pPr>
      <w:r w:rsidRPr="004922B7">
        <w:rPr>
          <w:rFonts w:cs="Verdana"/>
          <w:szCs w:val="18"/>
        </w:rPr>
        <w:t>De totale systeemkosten zijn daarnaast ook afhankelijk van andere factoren, die zeer moeilijk zijn in te schatten. Een invoedingstarief leidt tot een herverdeling van netkosten tussen afnemers en invoeders, waarbij de afnemers minder netkosten gaan betalen en de invoeders meer. Een voordeel van een invoedingstarief kan daarnaast zijn dat deze producenten prikkelt tot efficiënter netgebruik, zoals het vermijden van invoedingspieken. Dit kan op termijn de noodzaak voor dure netverzwaringen voorkomen. De verslechterde concurrentiepositie van Nederlandse elektriciteitscentrales kan tegelijkertijd zorgen voor nieuwe problemen die de netkosten verhogen. Netbeheer Nederland benoemt dat er bepaalde centrales nodig blijven om netondersteunende diensten te leveren en voor congestiemanagement. Indien deze centrales dreigen te sluiten als gevolg van een invoedingstarief kan het nodig zijn dat netbeheerders hogere vergoedingen moet gaan betalen om deze centrales open te houden. Een gevolg kan ook zijn dat er (hogere) vergoedingen betaald worden via een capaciteitsmechanisme. Dergelijke effecten zijn zeer moeilijk in te schatten en het netto-effect op de elektriciteitskosten van afnemers is daardoor onzeker.</w:t>
      </w:r>
    </w:p>
    <w:p w:rsidRPr="004922B7" w:rsidR="00726E1F" w:rsidP="00726E1F" w:rsidRDefault="00726E1F" w14:paraId="140A42DD" w14:textId="77777777">
      <w:pPr>
        <w:rPr>
          <w:rFonts w:cs="Verdana"/>
          <w:szCs w:val="18"/>
        </w:rPr>
      </w:pPr>
    </w:p>
    <w:p w:rsidRPr="004922B7" w:rsidR="00726E1F" w:rsidP="00726E1F" w:rsidRDefault="00726E1F" w14:paraId="68B3C6AA" w14:textId="77777777">
      <w:pPr>
        <w:rPr>
          <w:rFonts w:cs="Verdana"/>
          <w:szCs w:val="18"/>
        </w:rPr>
      </w:pPr>
      <w:r w:rsidRPr="004922B7">
        <w:rPr>
          <w:rFonts w:cs="Verdana"/>
          <w:szCs w:val="18"/>
        </w:rPr>
        <w:t xml:space="preserve">Een kwantitatieve schatting van deze effecten en het uiteindelijke resultaat is pas te maken wanneer er sprake is van een concreet voorstel van </w:t>
      </w:r>
      <w:r>
        <w:rPr>
          <w:rFonts w:cs="Verdana"/>
          <w:szCs w:val="18"/>
        </w:rPr>
        <w:t xml:space="preserve">de </w:t>
      </w:r>
      <w:r w:rsidRPr="004922B7">
        <w:rPr>
          <w:rFonts w:cs="Verdana"/>
          <w:szCs w:val="18"/>
        </w:rPr>
        <w:t>ACM voor een invoedingstarief.</w:t>
      </w:r>
    </w:p>
    <w:p w:rsidRPr="004922B7" w:rsidR="00726E1F" w:rsidP="00726E1F" w:rsidRDefault="00726E1F" w14:paraId="53D9524E" w14:textId="77777777">
      <w:pPr>
        <w:rPr>
          <w:rFonts w:cs="Verdana"/>
          <w:szCs w:val="18"/>
        </w:rPr>
      </w:pPr>
    </w:p>
    <w:p w:rsidR="00726E1F" w:rsidP="00726E1F" w:rsidRDefault="00726E1F" w14:paraId="53375F6A" w14:textId="77777777">
      <w:pPr>
        <w:rPr>
          <w:rFonts w:cs="Verdana"/>
          <w:szCs w:val="18"/>
        </w:rPr>
      </w:pPr>
      <w:r w:rsidRPr="004922B7">
        <w:rPr>
          <w:rFonts w:cs="Verdana"/>
          <w:szCs w:val="18"/>
        </w:rPr>
        <w:t>7</w:t>
      </w:r>
    </w:p>
    <w:p w:rsidRPr="004922B7" w:rsidR="00726E1F" w:rsidP="00726E1F" w:rsidRDefault="00726E1F" w14:paraId="0E5440A0" w14:textId="77777777">
      <w:pPr>
        <w:rPr>
          <w:rFonts w:cs="Verdana"/>
          <w:szCs w:val="18"/>
        </w:rPr>
      </w:pPr>
      <w:r w:rsidRPr="004922B7">
        <w:rPr>
          <w:rFonts w:cs="Verdana"/>
          <w:szCs w:val="18"/>
        </w:rPr>
        <w:t>Ziet u risico’s dat een invoedingstarief, door het afremmen van investeringen in binnenlandse productie, ook een negatieve impact kan hebben op de leveringszekerheid van energie in Nederland?</w:t>
      </w:r>
    </w:p>
    <w:p w:rsidRPr="004922B7" w:rsidR="00726E1F" w:rsidP="00726E1F" w:rsidRDefault="00726E1F" w14:paraId="513FE8CE" w14:textId="77777777">
      <w:pPr>
        <w:rPr>
          <w:rFonts w:cs="Verdana"/>
          <w:szCs w:val="18"/>
          <w:highlight w:val="yellow"/>
        </w:rPr>
      </w:pPr>
    </w:p>
    <w:p w:rsidRPr="004922B7" w:rsidR="00726E1F" w:rsidP="00726E1F" w:rsidRDefault="00726E1F" w14:paraId="1BD306E6" w14:textId="77777777">
      <w:pPr>
        <w:rPr>
          <w:rFonts w:cs="Verdana"/>
          <w:szCs w:val="18"/>
        </w:rPr>
      </w:pPr>
      <w:r w:rsidRPr="004922B7">
        <w:rPr>
          <w:rFonts w:cs="Verdana"/>
          <w:szCs w:val="18"/>
        </w:rPr>
        <w:t>Antwoord</w:t>
      </w:r>
    </w:p>
    <w:p w:rsidRPr="004922B7" w:rsidR="00726E1F" w:rsidP="00726E1F" w:rsidRDefault="00726E1F" w14:paraId="09BC53CA" w14:textId="77777777">
      <w:pPr>
        <w:rPr>
          <w:rFonts w:cs="Verdana"/>
          <w:szCs w:val="18"/>
        </w:rPr>
      </w:pPr>
      <w:r w:rsidRPr="004922B7">
        <w:rPr>
          <w:rFonts w:cs="Verdana"/>
          <w:szCs w:val="18"/>
        </w:rPr>
        <w:t xml:space="preserve">Een invoedingstarief kan, met name wanneer deze sterk afwijkt qua hoogte of vormgeving van invoedingstarieven in het buitenland, een negatieve invloed hebben op de mogelijkheid van productiecentrales en batterijen om hun </w:t>
      </w:r>
      <w:r w:rsidRPr="004922B7">
        <w:rPr>
          <w:rFonts w:cs="Verdana"/>
          <w:szCs w:val="18"/>
        </w:rPr>
        <w:lastRenderedPageBreak/>
        <w:t>jaarlijkse vaste kosten terug te kunnen verdienen. Deze partijen zijn naar verwachting echter nodig om bij te dragen aan de voorzieningszekerheid van elektriciteit. Gegeven het voornemen om met een capaciteitsmechanisme de leveringszekerheid te borgen, is het echter onwaarschijnlijk dat een invoedingstarief zal leiden tot een verslechtering van de voorzieningszekerheid. Wel kan een invoedingstarief de kosten van een capaciteitsmechanisme verhogen.</w:t>
      </w:r>
    </w:p>
    <w:p w:rsidRPr="004922B7" w:rsidR="00726E1F" w:rsidP="00726E1F" w:rsidRDefault="00726E1F" w14:paraId="18E722A2" w14:textId="77777777">
      <w:pPr>
        <w:rPr>
          <w:rFonts w:cs="Verdana"/>
          <w:szCs w:val="18"/>
        </w:rPr>
      </w:pPr>
    </w:p>
    <w:p w:rsidRPr="004922B7" w:rsidR="00726E1F" w:rsidP="00726E1F" w:rsidRDefault="00726E1F" w14:paraId="762867CE" w14:textId="77777777">
      <w:pPr>
        <w:rPr>
          <w:rFonts w:cs="Verdana"/>
          <w:szCs w:val="18"/>
        </w:rPr>
      </w:pPr>
    </w:p>
    <w:p w:rsidR="00726E1F" w:rsidP="00726E1F" w:rsidRDefault="00726E1F" w14:paraId="07234A91" w14:textId="77777777">
      <w:pPr>
        <w:rPr>
          <w:rFonts w:cs="Verdana"/>
          <w:szCs w:val="18"/>
        </w:rPr>
      </w:pPr>
      <w:r w:rsidRPr="004922B7">
        <w:rPr>
          <w:rFonts w:cs="Verdana"/>
          <w:szCs w:val="18"/>
        </w:rPr>
        <w:t>8</w:t>
      </w:r>
    </w:p>
    <w:p w:rsidRPr="004922B7" w:rsidR="00726E1F" w:rsidP="00726E1F" w:rsidRDefault="00726E1F" w14:paraId="6FF0528C" w14:textId="77777777">
      <w:pPr>
        <w:rPr>
          <w:rFonts w:ascii="Aptos" w:hAnsi="Aptos"/>
          <w:sz w:val="24"/>
        </w:rPr>
      </w:pPr>
      <w:r w:rsidRPr="004922B7">
        <w:rPr>
          <w:rFonts w:cs="Verdana"/>
          <w:szCs w:val="18"/>
        </w:rPr>
        <w:t>Hoe verhoudt een invoedingstarief zich tot andere maatregelen die netefficiënt gedrag kunnen bevorderen?</w:t>
      </w:r>
    </w:p>
    <w:p w:rsidR="00726E1F" w:rsidP="00726E1F" w:rsidRDefault="00726E1F" w14:paraId="719BB5B3" w14:textId="77777777">
      <w:pPr>
        <w:rPr>
          <w:rFonts w:cs="Verdana"/>
          <w:szCs w:val="18"/>
        </w:rPr>
      </w:pPr>
    </w:p>
    <w:p w:rsidR="00726E1F" w:rsidP="00726E1F" w:rsidRDefault="00726E1F" w14:paraId="7D968324" w14:textId="77777777">
      <w:pPr>
        <w:rPr>
          <w:rFonts w:cs="Verdana"/>
          <w:szCs w:val="18"/>
        </w:rPr>
      </w:pPr>
      <w:r w:rsidRPr="004922B7">
        <w:rPr>
          <w:rFonts w:cs="Verdana"/>
          <w:szCs w:val="18"/>
        </w:rPr>
        <w:t>9</w:t>
      </w:r>
    </w:p>
    <w:p w:rsidRPr="004922B7" w:rsidR="00726E1F" w:rsidP="00726E1F" w:rsidRDefault="00726E1F" w14:paraId="12320AAB" w14:textId="77777777">
      <w:pPr>
        <w:rPr>
          <w:rFonts w:cs="Verdana"/>
          <w:szCs w:val="18"/>
        </w:rPr>
      </w:pPr>
      <w:r w:rsidRPr="004922B7">
        <w:rPr>
          <w:rFonts w:cs="Verdana"/>
          <w:szCs w:val="18"/>
        </w:rPr>
        <w:t>Bent u bekend met de conclusies uit de appreciatie van het Interdepartementaal beleidsonderzoek (IBO) 'Bekostiging van de Elektriciteitsinfrastructuur' (Kamerstuk 29023, nr. 567), waarin wordt gewezen op aanzienlijke potentiële kostenbesparingen door flexibel netgebruik, en kunt u toelichten in hoeverre deze alternatieven effectiever of doelmatiger zijn dan een invoedingstarief?</w:t>
      </w:r>
      <w:r w:rsidRPr="004922B7">
        <w:rPr>
          <w:rFonts w:ascii="Aptos" w:hAnsi="Aptos"/>
          <w:sz w:val="24"/>
        </w:rPr>
        <w:br/>
      </w:r>
    </w:p>
    <w:p w:rsidRPr="004922B7" w:rsidR="00726E1F" w:rsidP="00726E1F" w:rsidRDefault="00726E1F" w14:paraId="24D00F13" w14:textId="77777777">
      <w:pPr>
        <w:rPr>
          <w:rFonts w:cs="Verdana"/>
          <w:szCs w:val="18"/>
        </w:rPr>
      </w:pPr>
      <w:r w:rsidRPr="004922B7">
        <w:rPr>
          <w:rFonts w:cs="Verdana"/>
          <w:szCs w:val="18"/>
        </w:rPr>
        <w:t>Antwoord 8 en 9</w:t>
      </w:r>
    </w:p>
    <w:p w:rsidRPr="004922B7" w:rsidR="00726E1F" w:rsidP="00726E1F" w:rsidRDefault="00726E1F" w14:paraId="5CDF1448" w14:textId="77777777">
      <w:pPr>
        <w:rPr>
          <w:rFonts w:cs="Verdana"/>
          <w:szCs w:val="18"/>
        </w:rPr>
      </w:pPr>
      <w:r w:rsidRPr="004922B7">
        <w:rPr>
          <w:rFonts w:cs="Verdana"/>
          <w:szCs w:val="18"/>
        </w:rPr>
        <w:t xml:space="preserve">Ja, </w:t>
      </w:r>
      <w:r>
        <w:rPr>
          <w:rFonts w:cs="Verdana"/>
          <w:szCs w:val="18"/>
        </w:rPr>
        <w:t>het kabinet is bekend</w:t>
      </w:r>
      <w:r w:rsidRPr="004922B7">
        <w:rPr>
          <w:rFonts w:cs="Verdana"/>
          <w:szCs w:val="18"/>
        </w:rPr>
        <w:t xml:space="preserve"> met de conclusies uit de appreciatie van het IBO. </w:t>
      </w:r>
    </w:p>
    <w:p w:rsidRPr="004922B7" w:rsidR="00726E1F" w:rsidP="00726E1F" w:rsidRDefault="00726E1F" w14:paraId="7519F9D3" w14:textId="77777777">
      <w:pPr>
        <w:rPr>
          <w:rFonts w:cs="Verdana"/>
          <w:szCs w:val="18"/>
        </w:rPr>
      </w:pPr>
    </w:p>
    <w:p w:rsidRPr="003F3B3F" w:rsidR="00726E1F" w:rsidP="00726E1F" w:rsidRDefault="00726E1F" w14:paraId="00921488" w14:textId="77777777">
      <w:pPr>
        <w:rPr>
          <w:rFonts w:cs="Verdana"/>
          <w:szCs w:val="18"/>
        </w:rPr>
      </w:pPr>
      <w:r w:rsidRPr="004922B7">
        <w:rPr>
          <w:rFonts w:cs="Verdana"/>
          <w:szCs w:val="18"/>
        </w:rPr>
        <w:t xml:space="preserve">De belangrijkste toegevoegde waarde van een invoedingstarief is dat het producenten prikkelt tot efficiënter netgebruik, waardoor op termijn de kosten van het elektriciteitsnet kunnen afnemen. Een dergelijke prikkel via de nettarieven is binnen de huidige kaders niet vorm te geven, omdat voor invoeding nu geen nettarief wordt gerekend. Tegelijkertijd kunnen vergelijkbare prikkels voor efficiënter netgebruik deels ook via andere instrumenten worden georganiseerd, zoals flexibele aansluit- en transportvoorwaarden, flexibiliteitscontracten, en via aanpassingen in de tendervoorwaarden voor wind op zee of de subsidievoorwaarden van de SDE++. Zo wordt in de SDE++ vereist dat zon-PV slechts op 50% van het piekvermogen wordt aangesloten, om hoge netkosten ter facilitering van piekbelasting te voorkomen. Deze instrumenten zijn moeilijk </w:t>
      </w:r>
      <w:r w:rsidRPr="003F3B3F">
        <w:rPr>
          <w:rFonts w:cs="Verdana"/>
          <w:szCs w:val="18"/>
        </w:rPr>
        <w:t xml:space="preserve">categorisch te vergelijken met een invoedingstarief, omdat zij op uiteenlopende manieren kunnen worden vormgegeven en vaak verschillende effecten hebben voor verschillende partijen. Of de alternatieve instrumenten een sterkere negatieve impact zouden hebben op de business case is </w:t>
      </w:r>
      <w:r w:rsidRPr="003F3B3F">
        <w:rPr>
          <w:rFonts w:cs="Verdana"/>
          <w:szCs w:val="18"/>
        </w:rPr>
        <w:lastRenderedPageBreak/>
        <w:t>afhankelijk van de vormgeving, hoogte, invoerdatum en overgangsperiode van een eventueel invoedingstarief.</w:t>
      </w:r>
    </w:p>
    <w:p w:rsidR="00726E1F" w:rsidP="00726E1F" w:rsidRDefault="00726E1F" w14:paraId="7F2A6910" w14:textId="77777777">
      <w:pPr>
        <w:rPr>
          <w:rFonts w:cs="Verdana"/>
          <w:szCs w:val="18"/>
        </w:rPr>
      </w:pPr>
      <w:r w:rsidRPr="003F3B3F">
        <w:rPr>
          <w:szCs w:val="18"/>
        </w:rPr>
        <w:br/>
      </w:r>
      <w:r w:rsidRPr="003F3B3F">
        <w:rPr>
          <w:rFonts w:cs="Verdana"/>
          <w:szCs w:val="18"/>
        </w:rPr>
        <w:t>10</w:t>
      </w:r>
    </w:p>
    <w:p w:rsidRPr="004922B7" w:rsidR="00726E1F" w:rsidP="00726E1F" w:rsidRDefault="00726E1F" w14:paraId="190D8BD8" w14:textId="77777777">
      <w:pPr>
        <w:rPr>
          <w:rFonts w:cs="Verdana"/>
          <w:b/>
          <w:bCs/>
          <w:szCs w:val="18"/>
        </w:rPr>
      </w:pPr>
      <w:r w:rsidRPr="003F3B3F">
        <w:rPr>
          <w:rFonts w:cs="Verdana"/>
          <w:szCs w:val="18"/>
        </w:rPr>
        <w:t>In hoeverre wordt bij de afweging rond een invoedingstarief gekeken naar de concurrentiepositie van Nederland ten opzichte van andere Europese landen? Wordt een vergelijkbaar tarief elders in Europa ingevoerd, en zo ja, met welke effecten op investeringe</w:t>
      </w:r>
      <w:r w:rsidRPr="004922B7">
        <w:rPr>
          <w:rFonts w:cs="Verdana"/>
          <w:szCs w:val="18"/>
        </w:rPr>
        <w:t>n en netcongestie?</w:t>
      </w:r>
    </w:p>
    <w:p w:rsidRPr="004922B7" w:rsidR="00726E1F" w:rsidP="00726E1F" w:rsidRDefault="00726E1F" w14:paraId="37BA943E" w14:textId="77777777">
      <w:pPr>
        <w:rPr>
          <w:rFonts w:cs="Verdana"/>
          <w:szCs w:val="18"/>
        </w:rPr>
      </w:pPr>
    </w:p>
    <w:p w:rsidRPr="004922B7" w:rsidR="00726E1F" w:rsidP="00726E1F" w:rsidRDefault="00726E1F" w14:paraId="0BD5DFE6" w14:textId="77777777">
      <w:pPr>
        <w:rPr>
          <w:rFonts w:cs="Verdana"/>
          <w:b/>
          <w:bCs/>
          <w:szCs w:val="18"/>
        </w:rPr>
      </w:pPr>
      <w:r w:rsidRPr="004922B7">
        <w:rPr>
          <w:rFonts w:cs="Verdana"/>
          <w:szCs w:val="18"/>
        </w:rPr>
        <w:t>Antwoord</w:t>
      </w:r>
    </w:p>
    <w:p w:rsidRPr="004922B7" w:rsidR="00726E1F" w:rsidP="00726E1F" w:rsidRDefault="00726E1F" w14:paraId="26FB3813" w14:textId="77777777">
      <w:pPr>
        <w:rPr>
          <w:rFonts w:cs="Verdana"/>
          <w:szCs w:val="18"/>
        </w:rPr>
      </w:pPr>
      <w:r w:rsidRPr="004922B7">
        <w:rPr>
          <w:rFonts w:cs="Verdana"/>
          <w:szCs w:val="18"/>
        </w:rPr>
        <w:t xml:space="preserve">In haar consultatiedocument over het invoedingstarief heeft de ACM aangegeven dat het mogelijk is om de maximale hoogte van het invoedingstarief te beperken met het oog op de concurrentiepositie van Nederlandse producenten. De ACM stelt echter ook dat een verlaagd tarief minder kostenreflectief is en minder goede prikkels geeft voor efficiënt netgedrag. </w:t>
      </w:r>
    </w:p>
    <w:p w:rsidRPr="004922B7" w:rsidR="00726E1F" w:rsidP="00726E1F" w:rsidRDefault="00726E1F" w14:paraId="0EA2E940" w14:textId="77777777">
      <w:pPr>
        <w:rPr>
          <w:rFonts w:cs="Verdana"/>
          <w:szCs w:val="18"/>
        </w:rPr>
      </w:pPr>
    </w:p>
    <w:p w:rsidRPr="003F3B3F" w:rsidR="00726E1F" w:rsidP="00726E1F" w:rsidRDefault="00726E1F" w14:paraId="1ADB0682" w14:textId="77777777">
      <w:pPr>
        <w:rPr>
          <w:rFonts w:cs="Verdana"/>
          <w:color w:val="000000"/>
          <w:szCs w:val="18"/>
        </w:rPr>
      </w:pPr>
      <w:r w:rsidRPr="004922B7">
        <w:rPr>
          <w:rFonts w:cs="Verdana"/>
          <w:szCs w:val="18"/>
        </w:rPr>
        <w:t xml:space="preserve">Binnen Europa is slechts zeer beperkt sprake van harmonisatie van nettarieven voor elektriciteit. Hierdoor bestaan tussen lidstaten grote verschillen. </w:t>
      </w:r>
      <w:r w:rsidRPr="004922B7">
        <w:rPr>
          <w:rFonts w:cs="Verdana"/>
          <w:color w:val="000000"/>
          <w:szCs w:val="18"/>
        </w:rPr>
        <w:t xml:space="preserve">In ca. 60% van lidstaten bestaat geen of verwaarloosbaar invoedingstarief. Het aandeel lidstaten met een invoedingstarief lijkt over de jaren wel licht te groeien. In de 40% van de lidstaten met een invoedingstarief is het aandeel van de totale netkosten dat in lidstaten met een substantieel invoedingstarief wordt toegerekend aan invoeders uiteenlopend, verschillend voor transmissie en distributie. Ook worden in lidstaten met een invoedingstarief verschillende soorten kostenposten wel en niet daarin opgenomen. In lidstaten waar een invoedingstarief </w:t>
      </w:r>
      <w:r w:rsidRPr="003F3B3F">
        <w:rPr>
          <w:rFonts w:cs="Verdana"/>
          <w:color w:val="000000"/>
          <w:szCs w:val="18"/>
        </w:rPr>
        <w:t>bestaat, is vervolgens in veel gevallen sprake van ontheffingen of verlagingen van het invoedingstarief, bijvoorbeeld voor kleine producenten, voor bepaalde technieken (zoals offshore wind of batterijen), of vanwege de inzet van een installatie voor bepaalde systeemdoeleinden. Dit maakt een directe vergelijking met andere lidstaten niet goed mogelijk.</w:t>
      </w:r>
    </w:p>
    <w:p w:rsidRPr="003F3B3F" w:rsidR="00726E1F" w:rsidP="00726E1F" w:rsidRDefault="00726E1F" w14:paraId="5F955CED" w14:textId="77777777">
      <w:pPr>
        <w:rPr>
          <w:rFonts w:cs="Verdana"/>
          <w:color w:val="000000"/>
          <w:szCs w:val="18"/>
        </w:rPr>
      </w:pPr>
    </w:p>
    <w:p w:rsidRPr="001A3911" w:rsidR="00726E1F" w:rsidP="00726E1F" w:rsidRDefault="00726E1F" w14:paraId="001AD6AE" w14:textId="77777777">
      <w:pPr>
        <w:rPr>
          <w:rFonts w:cs="Verdana"/>
          <w:szCs w:val="18"/>
        </w:rPr>
      </w:pPr>
      <w:r w:rsidRPr="003F3B3F">
        <w:rPr>
          <w:rFonts w:cs="Verdana"/>
          <w:color w:val="000000"/>
          <w:szCs w:val="18"/>
        </w:rPr>
        <w:t>De nettarievenstructuur binnen veel lidstaten is in beweging. De ACM heeft aangegeven dat zij rekenschap geeft van de tariefstructuren en ervaringen in omringende landen.</w:t>
      </w:r>
    </w:p>
    <w:p w:rsidR="002C3023" w:rsidRDefault="002C3023" w14:paraId="20AA77E0" w14:textId="77777777"/>
    <w:sectPr w:rsidR="002C3023" w:rsidSect="00726E1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F567" w14:textId="77777777" w:rsidR="00726E1F" w:rsidRDefault="00726E1F" w:rsidP="00726E1F">
      <w:pPr>
        <w:spacing w:after="0" w:line="240" w:lineRule="auto"/>
      </w:pPr>
      <w:r>
        <w:separator/>
      </w:r>
    </w:p>
  </w:endnote>
  <w:endnote w:type="continuationSeparator" w:id="0">
    <w:p w14:paraId="62085111" w14:textId="77777777" w:rsidR="00726E1F" w:rsidRDefault="00726E1F" w:rsidP="0072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B8F5" w14:textId="77777777" w:rsidR="00726E1F" w:rsidRPr="00726E1F" w:rsidRDefault="00726E1F" w:rsidP="00726E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23E5" w14:textId="77777777" w:rsidR="00726E1F" w:rsidRPr="00726E1F" w:rsidRDefault="00726E1F" w:rsidP="00726E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B746" w14:textId="77777777" w:rsidR="00726E1F" w:rsidRPr="00726E1F" w:rsidRDefault="00726E1F" w:rsidP="00726E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0C56" w14:textId="77777777" w:rsidR="00726E1F" w:rsidRDefault="00726E1F" w:rsidP="00726E1F">
      <w:pPr>
        <w:spacing w:after="0" w:line="240" w:lineRule="auto"/>
      </w:pPr>
      <w:r>
        <w:separator/>
      </w:r>
    </w:p>
  </w:footnote>
  <w:footnote w:type="continuationSeparator" w:id="0">
    <w:p w14:paraId="724FAAEF" w14:textId="77777777" w:rsidR="00726E1F" w:rsidRDefault="00726E1F" w:rsidP="00726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24DC" w14:textId="77777777" w:rsidR="00726E1F" w:rsidRPr="00726E1F" w:rsidRDefault="00726E1F" w:rsidP="00726E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21A6" w14:textId="77777777" w:rsidR="00726E1F" w:rsidRPr="00726E1F" w:rsidRDefault="00726E1F" w:rsidP="00726E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B60F" w14:textId="77777777" w:rsidR="00726E1F" w:rsidRPr="00726E1F" w:rsidRDefault="00726E1F" w:rsidP="00726E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1F"/>
    <w:rsid w:val="002C3023"/>
    <w:rsid w:val="004A009C"/>
    <w:rsid w:val="00726E1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928A"/>
  <w15:chartTrackingRefBased/>
  <w15:docId w15:val="{C084FEB0-CDE2-4749-83E8-075FDB36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6E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6E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6E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6E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E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E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E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E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6E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6E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6E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6E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6E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E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E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E1F"/>
    <w:rPr>
      <w:rFonts w:eastAsiaTheme="majorEastAsia" w:cstheme="majorBidi"/>
      <w:color w:val="272727" w:themeColor="text1" w:themeTint="D8"/>
    </w:rPr>
  </w:style>
  <w:style w:type="paragraph" w:styleId="Titel">
    <w:name w:val="Title"/>
    <w:basedOn w:val="Standaard"/>
    <w:next w:val="Standaard"/>
    <w:link w:val="TitelChar"/>
    <w:uiPriority w:val="10"/>
    <w:qFormat/>
    <w:rsid w:val="0072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E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E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E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E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E1F"/>
    <w:rPr>
      <w:i/>
      <w:iCs/>
      <w:color w:val="404040" w:themeColor="text1" w:themeTint="BF"/>
    </w:rPr>
  </w:style>
  <w:style w:type="paragraph" w:styleId="Lijstalinea">
    <w:name w:val="List Paragraph"/>
    <w:basedOn w:val="Standaard"/>
    <w:uiPriority w:val="34"/>
    <w:qFormat/>
    <w:rsid w:val="00726E1F"/>
    <w:pPr>
      <w:ind w:left="720"/>
      <w:contextualSpacing/>
    </w:pPr>
  </w:style>
  <w:style w:type="character" w:styleId="Intensievebenadrukking">
    <w:name w:val="Intense Emphasis"/>
    <w:basedOn w:val="Standaardalinea-lettertype"/>
    <w:uiPriority w:val="21"/>
    <w:qFormat/>
    <w:rsid w:val="00726E1F"/>
    <w:rPr>
      <w:i/>
      <w:iCs/>
      <w:color w:val="0F4761" w:themeColor="accent1" w:themeShade="BF"/>
    </w:rPr>
  </w:style>
  <w:style w:type="paragraph" w:styleId="Duidelijkcitaat">
    <w:name w:val="Intense Quote"/>
    <w:basedOn w:val="Standaard"/>
    <w:next w:val="Standaard"/>
    <w:link w:val="DuidelijkcitaatChar"/>
    <w:uiPriority w:val="30"/>
    <w:qFormat/>
    <w:rsid w:val="0072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6E1F"/>
    <w:rPr>
      <w:i/>
      <w:iCs/>
      <w:color w:val="0F4761" w:themeColor="accent1" w:themeShade="BF"/>
    </w:rPr>
  </w:style>
  <w:style w:type="character" w:styleId="Intensieveverwijzing">
    <w:name w:val="Intense Reference"/>
    <w:basedOn w:val="Standaardalinea-lettertype"/>
    <w:uiPriority w:val="32"/>
    <w:qFormat/>
    <w:rsid w:val="00726E1F"/>
    <w:rPr>
      <w:b/>
      <w:bCs/>
      <w:smallCaps/>
      <w:color w:val="0F4761" w:themeColor="accent1" w:themeShade="BF"/>
      <w:spacing w:val="5"/>
    </w:rPr>
  </w:style>
  <w:style w:type="paragraph" w:styleId="Koptekst">
    <w:name w:val="header"/>
    <w:basedOn w:val="Standaard"/>
    <w:link w:val="KoptekstChar"/>
    <w:rsid w:val="00726E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26E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26E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26E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26E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26E1F"/>
    <w:rPr>
      <w:rFonts w:ascii="Verdana" w:hAnsi="Verdana"/>
      <w:noProof/>
      <w:sz w:val="13"/>
      <w:szCs w:val="24"/>
      <w:lang w:eastAsia="nl-NL"/>
    </w:rPr>
  </w:style>
  <w:style w:type="paragraph" w:customStyle="1" w:styleId="Huisstijl-Gegeven">
    <w:name w:val="Huisstijl-Gegeven"/>
    <w:basedOn w:val="Standaard"/>
    <w:link w:val="Huisstijl-GegevenCharChar"/>
    <w:rsid w:val="00726E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26E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26E1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26E1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26E1F"/>
    <w:pPr>
      <w:spacing w:after="0"/>
    </w:pPr>
    <w:rPr>
      <w:b/>
    </w:rPr>
  </w:style>
  <w:style w:type="paragraph" w:customStyle="1" w:styleId="Huisstijl-Paginanummering">
    <w:name w:val="Huisstijl-Paginanummering"/>
    <w:basedOn w:val="Standaard"/>
    <w:rsid w:val="00726E1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26E1F"/>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726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2403</ap:Words>
  <ap:Characters>13222</ap:Characters>
  <ap:DocSecurity>0</ap:DocSecurity>
  <ap:Lines>110</ap:Lines>
  <ap:Paragraphs>31</ap:Paragraphs>
  <ap:ScaleCrop>false</ap:ScaleCrop>
  <ap:LinksUpToDate>false</ap:LinksUpToDate>
  <ap:CharactersWithSpaces>15594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2026-02-16T09:28:00.0000000Z</dcterms:created>
  <dcterms:modified xsi:type="dcterms:W3CDTF">2026-02-16T09:29:00.0000000Z</dcterms:modified>
  <version/>
  <category/>
</coreProperties>
</file>