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5BDB" w:rsidP="00E05BDB" w:rsidRDefault="00E05BDB" w14:paraId="5798225E" w14:textId="3F955BC0">
      <w:pPr>
        <w:pStyle w:val="Geenafstand"/>
      </w:pPr>
      <w:r>
        <w:t>AH 1117</w:t>
      </w:r>
    </w:p>
    <w:p w:rsidR="00E05BDB" w:rsidP="00E05BDB" w:rsidRDefault="00E05BDB" w14:paraId="2BFEF438" w14:textId="11ED4C63">
      <w:pPr>
        <w:pStyle w:val="Geenafstand"/>
      </w:pPr>
      <w:r w:rsidRPr="004922B7">
        <w:t>2026Z00337</w:t>
      </w:r>
    </w:p>
    <w:p w:rsidR="00E05BDB" w:rsidP="00E05BDB" w:rsidRDefault="00E05BDB" w14:paraId="6A3F4739" w14:textId="77777777">
      <w:pPr>
        <w:pStyle w:val="Geenafstand"/>
      </w:pPr>
    </w:p>
    <w:p w:rsidR="00E05BDB" w:rsidP="00E05BDB" w:rsidRDefault="00E05BDB" w14:paraId="3DB2FEAF" w14:textId="1C109D36">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16 februari 2026)</w:t>
      </w:r>
    </w:p>
    <w:p w:rsidR="00E05BDB" w:rsidP="00E05BDB" w:rsidRDefault="00E05BDB" w14:paraId="7AC52B15" w14:textId="77777777">
      <w:pPr>
        <w:pStyle w:val="Geenafstand"/>
        <w:rPr>
          <w:sz w:val="24"/>
          <w:szCs w:val="24"/>
        </w:rPr>
      </w:pPr>
    </w:p>
    <w:p w:rsidRPr="007B1B93" w:rsidR="00E05BDB" w:rsidP="00427BA1" w:rsidRDefault="00E05BDB" w14:paraId="27A5D382" w14:textId="22210FB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1014</w:t>
      </w:r>
    </w:p>
    <w:p w:rsidRPr="004922B7" w:rsidR="00E05BDB" w:rsidP="00E05BDB" w:rsidRDefault="00E05BDB" w14:paraId="5E24A793" w14:textId="3D816253">
      <w:pPr>
        <w:pStyle w:val="Geenafstand"/>
      </w:pPr>
    </w:p>
    <w:p w:rsidRPr="004922B7" w:rsidR="00E05BDB" w:rsidP="00E05BDB" w:rsidRDefault="00E05BDB" w14:paraId="6EEBE58E" w14:textId="77777777">
      <w:pPr>
        <w:rPr>
          <w:rFonts w:cs="Verdana"/>
          <w:szCs w:val="18"/>
        </w:rPr>
      </w:pPr>
      <w:r w:rsidRPr="004922B7">
        <w:rPr>
          <w:rFonts w:cs="Verdana"/>
          <w:szCs w:val="18"/>
        </w:rPr>
        <w:t xml:space="preserve"> </w:t>
      </w:r>
    </w:p>
    <w:p w:rsidR="00E05BDB" w:rsidP="00E05BDB" w:rsidRDefault="00E05BDB" w14:paraId="6AD267ED" w14:textId="77777777">
      <w:pPr>
        <w:rPr>
          <w:rFonts w:cs="Verdana"/>
          <w:szCs w:val="18"/>
        </w:rPr>
      </w:pPr>
      <w:r w:rsidRPr="004922B7">
        <w:rPr>
          <w:rFonts w:cs="Verdana"/>
          <w:szCs w:val="18"/>
        </w:rPr>
        <w:t>1</w:t>
      </w:r>
    </w:p>
    <w:p w:rsidRPr="004922B7" w:rsidR="00E05BDB" w:rsidP="00E05BDB" w:rsidRDefault="00E05BDB" w14:paraId="24E9EC4E" w14:textId="77777777">
      <w:pPr>
        <w:rPr>
          <w:rFonts w:cs="Verdana"/>
          <w:szCs w:val="18"/>
        </w:rPr>
      </w:pPr>
      <w:r w:rsidRPr="004922B7">
        <w:rPr>
          <w:rFonts w:cs="Verdana"/>
          <w:szCs w:val="18"/>
        </w:rPr>
        <w:t>Bent u bekend met het artikel 'Huishouden dupe extra kosten stroomnet' en met de door de Autoriteit Consument en Markt (ACM) aangekondigde voorbereiding van een invoedingstarief voor grote elektriciteitsproducenten?</w:t>
      </w:r>
    </w:p>
    <w:p w:rsidRPr="004922B7" w:rsidR="00E05BDB" w:rsidP="00E05BDB" w:rsidRDefault="00E05BDB" w14:paraId="3D1B33E5" w14:textId="77777777">
      <w:pPr>
        <w:rPr>
          <w:rFonts w:cs="Verdana"/>
          <w:szCs w:val="18"/>
        </w:rPr>
      </w:pPr>
    </w:p>
    <w:p w:rsidRPr="004922B7" w:rsidR="00E05BDB" w:rsidP="00E05BDB" w:rsidRDefault="00E05BDB" w14:paraId="57A29D93" w14:textId="77777777">
      <w:pPr>
        <w:rPr>
          <w:rFonts w:cs="Verdana"/>
          <w:szCs w:val="18"/>
        </w:rPr>
      </w:pPr>
      <w:r w:rsidRPr="004922B7">
        <w:rPr>
          <w:rFonts w:cs="Verdana"/>
          <w:szCs w:val="18"/>
        </w:rPr>
        <w:t>Antwoord</w:t>
      </w:r>
    </w:p>
    <w:p w:rsidRPr="004922B7" w:rsidR="00E05BDB" w:rsidP="00E05BDB" w:rsidRDefault="00E05BDB" w14:paraId="1483F1E3" w14:textId="77777777">
      <w:pPr>
        <w:rPr>
          <w:rFonts w:cs="Verdana"/>
          <w:szCs w:val="18"/>
        </w:rPr>
      </w:pPr>
      <w:r w:rsidRPr="004922B7">
        <w:rPr>
          <w:rFonts w:cs="Verdana"/>
          <w:szCs w:val="18"/>
        </w:rPr>
        <w:t>Ja.</w:t>
      </w:r>
    </w:p>
    <w:p w:rsidRPr="004922B7" w:rsidR="00E05BDB" w:rsidP="00E05BDB" w:rsidRDefault="00E05BDB" w14:paraId="24E35102" w14:textId="77777777">
      <w:pPr>
        <w:rPr>
          <w:rFonts w:cs="Verdana"/>
          <w:szCs w:val="18"/>
        </w:rPr>
      </w:pPr>
      <w:r w:rsidRPr="004922B7">
        <w:rPr>
          <w:rFonts w:cs="Verdana"/>
          <w:szCs w:val="18"/>
        </w:rPr>
        <w:t xml:space="preserve"> </w:t>
      </w:r>
    </w:p>
    <w:p w:rsidR="00E05BDB" w:rsidP="00E05BDB" w:rsidRDefault="00E05BDB" w14:paraId="3FA76E67" w14:textId="77777777">
      <w:pPr>
        <w:rPr>
          <w:rFonts w:cs="Verdana"/>
          <w:szCs w:val="18"/>
        </w:rPr>
      </w:pPr>
      <w:r w:rsidRPr="004922B7">
        <w:rPr>
          <w:rFonts w:cs="Verdana"/>
          <w:szCs w:val="18"/>
        </w:rPr>
        <w:t>2</w:t>
      </w:r>
    </w:p>
    <w:p w:rsidRPr="004922B7" w:rsidR="00E05BDB" w:rsidP="00E05BDB" w:rsidRDefault="00E05BDB" w14:paraId="1543337F" w14:textId="77777777">
      <w:pPr>
        <w:rPr>
          <w:rFonts w:cs="Verdana"/>
          <w:b/>
          <w:bCs/>
          <w:szCs w:val="18"/>
        </w:rPr>
      </w:pPr>
      <w:r w:rsidRPr="004922B7">
        <w:rPr>
          <w:rFonts w:cs="Verdana"/>
          <w:szCs w:val="18"/>
        </w:rPr>
        <w:t>Erkent u de nadelen van een invoedingstarief die in het artikel genoemd worden?</w:t>
      </w:r>
    </w:p>
    <w:p w:rsidR="00E05BDB" w:rsidP="00E05BDB" w:rsidRDefault="00E05BDB" w14:paraId="4E1B4CF4" w14:textId="77777777">
      <w:pPr>
        <w:rPr>
          <w:rFonts w:cs="Verdana"/>
          <w:szCs w:val="18"/>
        </w:rPr>
      </w:pPr>
    </w:p>
    <w:p w:rsidR="00E05BDB" w:rsidP="00E05BDB" w:rsidRDefault="00E05BDB" w14:paraId="086400DD" w14:textId="77777777">
      <w:pPr>
        <w:rPr>
          <w:rFonts w:cs="Verdana"/>
          <w:szCs w:val="18"/>
        </w:rPr>
      </w:pPr>
      <w:r w:rsidRPr="004922B7">
        <w:rPr>
          <w:rFonts w:cs="Verdana"/>
          <w:szCs w:val="18"/>
        </w:rPr>
        <w:t>3</w:t>
      </w:r>
    </w:p>
    <w:p w:rsidRPr="004922B7" w:rsidR="00E05BDB" w:rsidP="00E05BDB" w:rsidRDefault="00E05BDB" w14:paraId="7F81D80D" w14:textId="77777777">
      <w:pPr>
        <w:rPr>
          <w:rFonts w:cs="Verdana"/>
          <w:b/>
          <w:bCs/>
          <w:szCs w:val="18"/>
        </w:rPr>
      </w:pPr>
      <w:r w:rsidRPr="004922B7">
        <w:rPr>
          <w:rFonts w:cs="Verdana"/>
          <w:szCs w:val="18"/>
        </w:rPr>
        <w:t>Klopt het een invoedingstarief de afhankelijkheid van buitenlandse productie kan vergroten?</w:t>
      </w:r>
    </w:p>
    <w:p w:rsidR="00E05BDB" w:rsidP="00E05BDB" w:rsidRDefault="00E05BDB" w14:paraId="334A6CA6" w14:textId="77777777">
      <w:pPr>
        <w:rPr>
          <w:rFonts w:cs="Verdana"/>
          <w:szCs w:val="18"/>
        </w:rPr>
      </w:pPr>
    </w:p>
    <w:p w:rsidR="00E05BDB" w:rsidP="00E05BDB" w:rsidRDefault="00E05BDB" w14:paraId="4936F4F2" w14:textId="77777777">
      <w:pPr>
        <w:rPr>
          <w:rFonts w:cs="Verdana"/>
          <w:szCs w:val="18"/>
        </w:rPr>
      </w:pPr>
      <w:r w:rsidRPr="004922B7">
        <w:rPr>
          <w:rFonts w:cs="Verdana"/>
          <w:szCs w:val="18"/>
        </w:rPr>
        <w:t>4</w:t>
      </w:r>
    </w:p>
    <w:p w:rsidRPr="004922B7" w:rsidR="00E05BDB" w:rsidP="00E05BDB" w:rsidRDefault="00E05BDB" w14:paraId="5C5FBD2E" w14:textId="77777777">
      <w:pPr>
        <w:rPr>
          <w:rFonts w:cs="Verdana"/>
          <w:b/>
          <w:bCs/>
          <w:szCs w:val="18"/>
        </w:rPr>
      </w:pPr>
      <w:r w:rsidRPr="004922B7">
        <w:rPr>
          <w:rFonts w:cs="Verdana"/>
          <w:szCs w:val="18"/>
        </w:rPr>
        <w:t>Klopt het dat nieuwe projecten om elektriciteit op te wekken hierdoor lastiger worden?</w:t>
      </w:r>
    </w:p>
    <w:p w:rsidRPr="004922B7" w:rsidR="00E05BDB" w:rsidP="00E05BDB" w:rsidRDefault="00E05BDB" w14:paraId="5FE982AC" w14:textId="77777777">
      <w:pPr>
        <w:rPr>
          <w:rFonts w:cs="Verdana"/>
          <w:szCs w:val="18"/>
        </w:rPr>
      </w:pPr>
    </w:p>
    <w:p w:rsidRPr="004922B7" w:rsidR="00E05BDB" w:rsidP="00E05BDB" w:rsidRDefault="00E05BDB" w14:paraId="1C46EF15" w14:textId="77777777">
      <w:pPr>
        <w:rPr>
          <w:rFonts w:cs="Verdana"/>
          <w:szCs w:val="18"/>
        </w:rPr>
      </w:pPr>
      <w:r w:rsidRPr="004922B7">
        <w:rPr>
          <w:rFonts w:cs="Verdana"/>
          <w:szCs w:val="18"/>
        </w:rPr>
        <w:t>Antwoord</w:t>
      </w:r>
      <w:r>
        <w:rPr>
          <w:rFonts w:cs="Verdana"/>
          <w:szCs w:val="18"/>
        </w:rPr>
        <w:t xml:space="preserve"> </w:t>
      </w:r>
      <w:r w:rsidRPr="004922B7">
        <w:rPr>
          <w:rFonts w:cs="Verdana"/>
          <w:szCs w:val="18"/>
        </w:rPr>
        <w:t>2, 3 en 4</w:t>
      </w:r>
    </w:p>
    <w:p w:rsidRPr="004922B7" w:rsidR="00E05BDB" w:rsidP="00E05BDB" w:rsidRDefault="00E05BDB" w14:paraId="684EB000" w14:textId="77777777">
      <w:pPr>
        <w:rPr>
          <w:rFonts w:cs="Verdana"/>
          <w:szCs w:val="18"/>
        </w:rPr>
      </w:pPr>
      <w:r w:rsidRPr="004922B7">
        <w:rPr>
          <w:rFonts w:cs="Verdana"/>
          <w:szCs w:val="18"/>
        </w:rPr>
        <w:t xml:space="preserve">Vooropgesteld: er is nog geen formeel besluit van </w:t>
      </w:r>
      <w:r>
        <w:rPr>
          <w:rFonts w:cs="Verdana"/>
          <w:szCs w:val="18"/>
        </w:rPr>
        <w:t xml:space="preserve">de </w:t>
      </w:r>
      <w:r w:rsidRPr="004922B7">
        <w:rPr>
          <w:rFonts w:cs="Verdana"/>
          <w:szCs w:val="18"/>
        </w:rPr>
        <w:t xml:space="preserve">ACM over de vormgeving, hoogte, invoerdatum of overgangsperiode van een eventueel invoedingstarief. Ook zijn de effecten sterk afhankelijk van eventueel flankerend beleid én de regulatoire en marktgerelateerde ontwikkelingen in de met Nederland verbonden elektriciteitsmarkten. Daardoor zijn de effecten van een eventueel </w:t>
      </w:r>
      <w:r w:rsidRPr="004922B7">
        <w:rPr>
          <w:rFonts w:cs="Verdana"/>
          <w:szCs w:val="18"/>
        </w:rPr>
        <w:lastRenderedPageBreak/>
        <w:t>invoedingstarief slechts kwalitatief en met een beperkte mate van zekerheid in te schatten. Niettemin herken</w:t>
      </w:r>
      <w:r>
        <w:rPr>
          <w:rFonts w:cs="Verdana"/>
          <w:szCs w:val="18"/>
        </w:rPr>
        <w:t>t</w:t>
      </w:r>
      <w:r w:rsidRPr="004922B7">
        <w:rPr>
          <w:rFonts w:cs="Verdana"/>
          <w:szCs w:val="18"/>
        </w:rPr>
        <w:t xml:space="preserve"> </w:t>
      </w:r>
      <w:r>
        <w:rPr>
          <w:rFonts w:cs="Verdana"/>
          <w:szCs w:val="18"/>
        </w:rPr>
        <w:t xml:space="preserve">het kabinet </w:t>
      </w:r>
      <w:r w:rsidRPr="004922B7">
        <w:rPr>
          <w:rFonts w:cs="Verdana"/>
          <w:szCs w:val="18"/>
        </w:rPr>
        <w:t xml:space="preserve">de in het artikel geschetste nadelen als mogelijke gevolgen van de invoering van een invoedingstarief. </w:t>
      </w:r>
    </w:p>
    <w:p w:rsidRPr="004922B7" w:rsidR="00E05BDB" w:rsidP="00E05BDB" w:rsidRDefault="00E05BDB" w14:paraId="2DC2D2C2" w14:textId="77777777">
      <w:pPr>
        <w:rPr>
          <w:rFonts w:cs="Verdana"/>
          <w:szCs w:val="18"/>
        </w:rPr>
      </w:pPr>
    </w:p>
    <w:p w:rsidRPr="004922B7" w:rsidR="00E05BDB" w:rsidP="00E05BDB" w:rsidRDefault="00E05BDB" w14:paraId="261C1F64" w14:textId="77777777">
      <w:pPr>
        <w:rPr>
          <w:rFonts w:cs="Verdana"/>
          <w:szCs w:val="18"/>
        </w:rPr>
      </w:pPr>
      <w:r w:rsidRPr="004922B7">
        <w:rPr>
          <w:rFonts w:cs="Verdana"/>
          <w:szCs w:val="18"/>
        </w:rPr>
        <w:t xml:space="preserve">De inschatting is dat producenten een invoedingstarief slechts in beperkte mate door kunnen rekenen in hun verkoopprijzen. Dit komt ten eerste omdat veel producenten werken met bestaande prijsafspraken en ten tweede omdat Nederlandse producenten in de Noordwest-Europese elektriciteitsmarkt doorgaans niet prijszettend zijn. Dit zorgt ervoor dat de invoering van een invoedingstarief een negatieve impact kan hebben op de winstgevendheid van elektriciteitsproductie in Nederland. Marktpartijen hebben in reactie op een consultatievoorstel van </w:t>
      </w:r>
      <w:r>
        <w:rPr>
          <w:rFonts w:cs="Verdana"/>
          <w:szCs w:val="18"/>
        </w:rPr>
        <w:t xml:space="preserve">de </w:t>
      </w:r>
      <w:r w:rsidRPr="004922B7">
        <w:rPr>
          <w:rFonts w:cs="Verdana"/>
          <w:szCs w:val="18"/>
        </w:rPr>
        <w:t>ACM deze zomer gewezen op de mogelijke impact op hun business cases en waarschuwen dat een invoedingstarief kan leiden tot faillissementen en vroegtijdige uitgebruikname van bestaande productielocaties. Het speelveld voor Nederlandse producenten kan verslechteren en de import van elektriciteit kan daardoor relatief aantrekkelijk worden. De afhankelijkheid van buitenlandse productie kan daardoor groter worden. De ordegrootte van deze mogelijke negatieve gevolgen zijn mede afhankelijk van de vormgeving, hoogte, invoerdatum en overgangsperiode van een invoedingstarief.</w:t>
      </w:r>
    </w:p>
    <w:p w:rsidRPr="004922B7" w:rsidR="00E05BDB" w:rsidP="00E05BDB" w:rsidRDefault="00E05BDB" w14:paraId="1FECFAAC" w14:textId="77777777">
      <w:pPr>
        <w:rPr>
          <w:rFonts w:cs="Verdana"/>
          <w:szCs w:val="18"/>
        </w:rPr>
      </w:pPr>
    </w:p>
    <w:p w:rsidRPr="004922B7" w:rsidR="00E05BDB" w:rsidP="00E05BDB" w:rsidRDefault="00E05BDB" w14:paraId="61596CED" w14:textId="77777777">
      <w:pPr>
        <w:rPr>
          <w:rFonts w:cs="Verdana"/>
          <w:color w:val="000000"/>
          <w:szCs w:val="18"/>
        </w:rPr>
      </w:pPr>
      <w:r w:rsidRPr="004922B7">
        <w:rPr>
          <w:rFonts w:cs="Verdana"/>
          <w:szCs w:val="18"/>
        </w:rPr>
        <w:t xml:space="preserve">Bij al getenderde, maar nog niet gerealiseerde wind op zee projecten bestaat het risico dat de ontwikkelaar de businesscase niet meer rond gerekend krijgt en de ontwikkeling staakt. Dit heeft grote extra kosten tot gevolg omdat TenneT ver van tevoren al investeringen doet in het net op zee. Deze kosten lopen op naarmate de realisatie van windparken wordt uitgesteld. Ditzelfde geldt ook voor Nederlandse projecten voor hernieuwbare energie op land die nog niet zijn gerealiseerd, maar die al wel een subsidiebeschikking hebben. De subsidieparameters staan immers al vast, terwijl de kosten van de productie zouden stijgen als gevolg van de instelling van een invoedingstarief. Ook voor de nog open te stellen subsidietender voor wind op zee in 2026 (TOWOZ) vormt het invoedingstarief en de onzekerheid daarover een aanzienlijk risico dat de investeringsbereidheid vanuit marktpartijen zou kunnen beperken. Dat kan resulteren in een lagere slagingskans van de tender. Hetzelfde geldt voor de slagingskans van toekomstige “Contracts for Difference”-tenders (CfD's) voor ondersteuning van hernieuwbare energie op land en wind op zee, afhankelijk van duidelijkheid over het invoedingstarief, de vormgeving en de mogelijkheden voor de markt om het risico voldoende in te prijzen. </w:t>
      </w:r>
      <w:r w:rsidRPr="004922B7">
        <w:rPr>
          <w:rFonts w:cs="Verdana"/>
          <w:color w:val="000000"/>
          <w:szCs w:val="18"/>
        </w:rPr>
        <w:t>Een invoedingstarief kan ten slotte ook een negatief effect hebben op de business case van en de investeringsbereidheid in kernenergie.</w:t>
      </w:r>
    </w:p>
    <w:p w:rsidRPr="004922B7" w:rsidR="00E05BDB" w:rsidP="00E05BDB" w:rsidRDefault="00E05BDB" w14:paraId="3EB4B523" w14:textId="77777777">
      <w:pPr>
        <w:rPr>
          <w:rFonts w:cs="Verdana"/>
          <w:szCs w:val="18"/>
        </w:rPr>
      </w:pPr>
    </w:p>
    <w:p w:rsidRPr="004922B7" w:rsidR="00E05BDB" w:rsidP="00E05BDB" w:rsidRDefault="00E05BDB" w14:paraId="3595CEEA" w14:textId="77777777">
      <w:pPr>
        <w:rPr>
          <w:rFonts w:cs="Verdana"/>
          <w:szCs w:val="18"/>
        </w:rPr>
      </w:pPr>
      <w:r w:rsidRPr="004922B7">
        <w:rPr>
          <w:rFonts w:cs="Verdana"/>
          <w:szCs w:val="18"/>
        </w:rPr>
        <w:lastRenderedPageBreak/>
        <w:t>Er is op dit moment geen budget of juridische grondslag om eventuele compensatie te bieden voor de negatieve gevolgen van een invoedingstarief voor bestaande, al getenderde of vergunde projecten. Voor projecten met een bestaande SDE++ beschikking is het effect van het invoedingstarief extra nadelig: ten eerste verhoogt deze de kosten voor opwek, zonder dat de subsidie stijgt. In de subsidieparameters ligt namelijk besloten dat de subsidie alleen meebeweegt met veranderende elektriciteitsprijzen, niet met veranderende netkosten. Ten tweede wordt de subsidie voor deze partijen daardoor ook nog gekort, als gevolg van en voor zover de elektriciteitsprijs stijgt door de invoering van het invoedingstarief. Dit komt doordat de subsidie berekend wordt op basis van een vastgestelde kostprijs per kilowattuur, verminderd met de actuele elektriciteitsprijs, en deze eerste niet meebeweegt met de verhoogde kosten en deze tweede wel met de verhoging van de elektriciteitsprijs.</w:t>
      </w:r>
      <w:r>
        <w:rPr>
          <w:rFonts w:cs="Verdana"/>
          <w:szCs w:val="18"/>
        </w:rPr>
        <w:t xml:space="preserve"> </w:t>
      </w:r>
      <w:r w:rsidRPr="004922B7">
        <w:rPr>
          <w:rFonts w:cs="Verdana"/>
          <w:szCs w:val="18"/>
        </w:rPr>
        <w:t xml:space="preserve"> </w:t>
      </w:r>
    </w:p>
    <w:p w:rsidRPr="004922B7" w:rsidR="00E05BDB" w:rsidP="00E05BDB" w:rsidRDefault="00E05BDB" w14:paraId="4F2FC09F" w14:textId="77777777">
      <w:pPr>
        <w:rPr>
          <w:rFonts w:cs="Verdana"/>
          <w:szCs w:val="18"/>
        </w:rPr>
      </w:pPr>
    </w:p>
    <w:p w:rsidRPr="004922B7" w:rsidR="00E05BDB" w:rsidP="00E05BDB" w:rsidRDefault="00E05BDB" w14:paraId="75FD76E4" w14:textId="77777777">
      <w:pPr>
        <w:rPr>
          <w:rFonts w:cs="Verdana"/>
          <w:szCs w:val="18"/>
        </w:rPr>
      </w:pPr>
      <w:r w:rsidRPr="004922B7">
        <w:rPr>
          <w:rFonts w:cs="Verdana"/>
          <w:szCs w:val="18"/>
        </w:rPr>
        <w:t>Voor toekomstige, nieuwe projecten geldt dat er in de subsidiebedragen eventueel rekening kan worden gehouden met de hogere kosten, dit betekent wel dat de subsidie-intensiteit van deze productie-installaties voor hernieuwbare elektriciteit omhooggaat. Dit betekent dat met de beschikbare middelen minder opwek van hernieuwbare elektriciteit gestimuleerd kan worden. Dit geldt niet alleen voor zon-PV en windenergie, maar bijvoorbeeld ook voor kernenergie, als daarvoor in de toekomst steun geboden wordt. Bovendien is de uitvoerbaarheid van het rekening houden met de financiële impact van een invoedingstarief sterk afhankelijk van de wijze waarop een invoedingstarief wordt vormgegeven. Bepaalde varianten van een invoedingstarief leiden tot onvoorspelbare en wisselende hoogtes, waardoor ook het benodigde subsidiebedrag elk jaar zou veranderen. Pas als duidelijk is hoe het invoedingstarief exact vormgegeven wordt kan onderzocht worden hoe dit eventueel in subsidies verwerkt kan worden. Voor de TOWOZ en SDE++ ronde van 2026 is dit niet meer mogelijk.</w:t>
      </w:r>
    </w:p>
    <w:p w:rsidRPr="004922B7" w:rsidR="00E05BDB" w:rsidP="00E05BDB" w:rsidRDefault="00E05BDB" w14:paraId="17C6EE95" w14:textId="77777777">
      <w:pPr>
        <w:rPr>
          <w:rFonts w:cs="Verdana"/>
          <w:szCs w:val="18"/>
        </w:rPr>
      </w:pPr>
    </w:p>
    <w:p w:rsidRPr="004922B7" w:rsidR="00E05BDB" w:rsidP="00E05BDB" w:rsidRDefault="00E05BDB" w14:paraId="45BB9761" w14:textId="77777777">
      <w:pPr>
        <w:rPr>
          <w:rFonts w:cs="Verdana"/>
          <w:szCs w:val="18"/>
        </w:rPr>
      </w:pPr>
      <w:r w:rsidRPr="004922B7">
        <w:rPr>
          <w:rFonts w:cs="Verdana"/>
          <w:szCs w:val="18"/>
        </w:rPr>
        <w:t xml:space="preserve">De mate waarin deze effecten zullen optreden of voorkomen kunnen worden, zijn afhankelijk van de definitieve keuzes van </w:t>
      </w:r>
      <w:r>
        <w:rPr>
          <w:rFonts w:cs="Verdana"/>
          <w:szCs w:val="18"/>
        </w:rPr>
        <w:t xml:space="preserve">de </w:t>
      </w:r>
      <w:r w:rsidRPr="004922B7">
        <w:rPr>
          <w:rFonts w:cs="Verdana"/>
          <w:szCs w:val="18"/>
        </w:rPr>
        <w:t>ACM over het invoedingstarief, eventueel flankerend beleid</w:t>
      </w:r>
      <w:r>
        <w:rPr>
          <w:rFonts w:cs="Verdana"/>
          <w:szCs w:val="18"/>
        </w:rPr>
        <w:t>, invoeringstermijn</w:t>
      </w:r>
      <w:r w:rsidRPr="004922B7">
        <w:rPr>
          <w:rFonts w:cs="Verdana"/>
          <w:szCs w:val="18"/>
        </w:rPr>
        <w:t xml:space="preserve"> </w:t>
      </w:r>
      <w:r>
        <w:rPr>
          <w:rFonts w:cs="Verdana"/>
          <w:szCs w:val="18"/>
        </w:rPr>
        <w:t xml:space="preserve">en ingroeipad, </w:t>
      </w:r>
      <w:r w:rsidRPr="004922B7">
        <w:rPr>
          <w:rFonts w:cs="Verdana"/>
          <w:szCs w:val="18"/>
        </w:rPr>
        <w:t xml:space="preserve">en van ontwikkelingen in elektriciteitsmarkten waar Nederland mee is verbonden. Een belangrijk deel van deze, negatieve effecten zouden naar verwachting uitblijven wanneer sprake zou zijn van een Europees geharmoniseerde invoering van een invoedingstarief, of een invoedingstarief waarvan de hoogte beter aansluit bij die in verbonden elektriciteitsmarkten. </w:t>
      </w:r>
    </w:p>
    <w:p w:rsidRPr="004922B7" w:rsidR="00E05BDB" w:rsidP="00E05BDB" w:rsidRDefault="00E05BDB" w14:paraId="48AB487E" w14:textId="77777777">
      <w:pPr>
        <w:rPr>
          <w:rFonts w:cs="Verdana"/>
          <w:szCs w:val="18"/>
        </w:rPr>
      </w:pPr>
    </w:p>
    <w:p w:rsidR="00E05BDB" w:rsidP="00E05BDB" w:rsidRDefault="00E05BDB" w14:paraId="6E08E4F5" w14:textId="77777777">
      <w:pPr>
        <w:rPr>
          <w:rFonts w:cs="Verdana"/>
          <w:szCs w:val="18"/>
        </w:rPr>
      </w:pPr>
      <w:r w:rsidRPr="004922B7">
        <w:rPr>
          <w:rFonts w:cs="Verdana"/>
          <w:szCs w:val="18"/>
        </w:rPr>
        <w:t>5</w:t>
      </w:r>
    </w:p>
    <w:p w:rsidRPr="004922B7" w:rsidR="00E05BDB" w:rsidP="00E05BDB" w:rsidRDefault="00E05BDB" w14:paraId="66448D61" w14:textId="77777777">
      <w:pPr>
        <w:rPr>
          <w:rFonts w:cs="Verdana"/>
          <w:szCs w:val="18"/>
        </w:rPr>
      </w:pPr>
      <w:r w:rsidRPr="004922B7">
        <w:rPr>
          <w:rFonts w:cs="Verdana"/>
          <w:szCs w:val="18"/>
        </w:rPr>
        <w:lastRenderedPageBreak/>
        <w:t xml:space="preserve">Deelt u de conclusies uit de studies van Aurora Energy, SiRM en CE Delft dat de energierekening voor afnemers waarschijnlijk stijgt? </w:t>
      </w:r>
    </w:p>
    <w:p w:rsidRPr="004922B7" w:rsidR="00E05BDB" w:rsidP="00E05BDB" w:rsidRDefault="00E05BDB" w14:paraId="6EF09E2C" w14:textId="77777777">
      <w:pPr>
        <w:rPr>
          <w:rFonts w:cs="Verdana"/>
          <w:szCs w:val="18"/>
        </w:rPr>
      </w:pPr>
    </w:p>
    <w:p w:rsidRPr="004922B7" w:rsidR="00E05BDB" w:rsidP="00E05BDB" w:rsidRDefault="00E05BDB" w14:paraId="1FF0F952" w14:textId="77777777">
      <w:pPr>
        <w:rPr>
          <w:rFonts w:cs="Verdana"/>
          <w:szCs w:val="18"/>
        </w:rPr>
      </w:pPr>
      <w:r w:rsidRPr="004922B7">
        <w:rPr>
          <w:rFonts w:cs="Verdana"/>
          <w:szCs w:val="18"/>
        </w:rPr>
        <w:t>Antwoord</w:t>
      </w:r>
    </w:p>
    <w:p w:rsidRPr="004922B7" w:rsidR="00E05BDB" w:rsidP="00E05BDB" w:rsidRDefault="00E05BDB" w14:paraId="7A9971AA" w14:textId="77777777">
      <w:pPr>
        <w:rPr>
          <w:rFonts w:cs="Verdana"/>
          <w:szCs w:val="18"/>
        </w:rPr>
      </w:pPr>
      <w:r w:rsidRPr="004922B7">
        <w:rPr>
          <w:rFonts w:cs="Verdana"/>
          <w:szCs w:val="18"/>
        </w:rPr>
        <w:t>Het netto-effect op de energierekening van afnemers is moeilijk vooraf in te schatten en hangt in grote mate af van de vormgeving, hoogte, invoerdatum en ingroeipad van een eventueel invoedingstarief. Daarnaast zijn er eventuele, flankerende maatregelen die kunnen worden genomen om de nadelige effecten van een invoedingstarief te beperken. Daarnaast zal het effect ook verschillen, afhankelijk van het type aansluiting en het verbruiksprofiel van elke afnemer.</w:t>
      </w:r>
    </w:p>
    <w:p w:rsidRPr="004922B7" w:rsidR="00E05BDB" w:rsidP="00E05BDB" w:rsidRDefault="00E05BDB" w14:paraId="6BAA6D68" w14:textId="77777777">
      <w:pPr>
        <w:rPr>
          <w:rFonts w:cs="Verdana"/>
          <w:szCs w:val="18"/>
        </w:rPr>
      </w:pPr>
    </w:p>
    <w:p w:rsidRPr="004922B7" w:rsidR="00E05BDB" w:rsidP="00E05BDB" w:rsidRDefault="00E05BDB" w14:paraId="0434294B" w14:textId="77777777">
      <w:pPr>
        <w:rPr>
          <w:rFonts w:cs="Verdana"/>
          <w:szCs w:val="18"/>
        </w:rPr>
      </w:pPr>
      <w:r w:rsidRPr="004922B7">
        <w:rPr>
          <w:rFonts w:cs="Verdana"/>
          <w:szCs w:val="18"/>
        </w:rPr>
        <w:t xml:space="preserve">Uit de doorrekeningen van onderzoeksbureau Aurora (in opdracht van Energie Nederland) en CE Delft (in opdracht van </w:t>
      </w:r>
      <w:r>
        <w:rPr>
          <w:rFonts w:cs="Verdana"/>
          <w:szCs w:val="18"/>
        </w:rPr>
        <w:t xml:space="preserve">de </w:t>
      </w:r>
      <w:r w:rsidRPr="004922B7">
        <w:rPr>
          <w:rFonts w:cs="Verdana"/>
          <w:szCs w:val="18"/>
        </w:rPr>
        <w:t xml:space="preserve">ACM) blijkt dat het invoedingstarief zich vertaalt in een hogere elektriciteitsprijs. Dit wordt ook bevestigd door een onafhankelijke studie van TenneT. De stijging van de (basislast) elektriciteitsprijs is echter lager dan de hoogte van het invoedingstarief. Zonder aanvullend beleid is de verwachting op basis van voorgenoemde studies dat hierdoor ca. 20 tot 50% procent van het invoedingstarief terugkomt in een hogere basislast elektriciteitsprijs. Ook is het de verwachting in deze studies dat de invoer van elektriciteit gaat toenemen. Het invoedingstarief kan daardoor het effect hebben dat producenten in Nederland minder investeren in nieuwe centrales en in het verlengen van de levensduur van bestaande centrales. </w:t>
      </w:r>
    </w:p>
    <w:p w:rsidRPr="004922B7" w:rsidR="00E05BDB" w:rsidP="00E05BDB" w:rsidRDefault="00E05BDB" w14:paraId="6020D51F" w14:textId="77777777">
      <w:pPr>
        <w:rPr>
          <w:rFonts w:cs="Verdana"/>
          <w:szCs w:val="18"/>
        </w:rPr>
      </w:pPr>
    </w:p>
    <w:p w:rsidRPr="004922B7" w:rsidR="00E05BDB" w:rsidP="00E05BDB" w:rsidRDefault="00E05BDB" w14:paraId="669CECE9" w14:textId="77777777">
      <w:pPr>
        <w:rPr>
          <w:rFonts w:cs="Verdana"/>
          <w:szCs w:val="18"/>
        </w:rPr>
      </w:pPr>
      <w:r w:rsidRPr="004922B7">
        <w:rPr>
          <w:rFonts w:cs="Verdana"/>
          <w:szCs w:val="18"/>
        </w:rPr>
        <w:t xml:space="preserve">De bijdrage van producenten aan de netkosten zorgen ervoor dat de nettarieven voor afnemers op het elektriciteitsnet in beginsel lager vastgesteld kunnen worden. Op deze manier is het mogelijk dat afnemers erop vooruitgaan. </w:t>
      </w:r>
    </w:p>
    <w:p w:rsidRPr="004922B7" w:rsidR="00E05BDB" w:rsidP="00E05BDB" w:rsidRDefault="00E05BDB" w14:paraId="2D39A101" w14:textId="77777777">
      <w:pPr>
        <w:rPr>
          <w:rFonts w:cs="Verdana"/>
          <w:szCs w:val="18"/>
        </w:rPr>
      </w:pPr>
    </w:p>
    <w:p w:rsidRPr="004922B7" w:rsidR="00E05BDB" w:rsidP="00E05BDB" w:rsidRDefault="00E05BDB" w14:paraId="16E26E98" w14:textId="77777777">
      <w:pPr>
        <w:rPr>
          <w:rFonts w:cs="Verdana"/>
          <w:szCs w:val="18"/>
        </w:rPr>
      </w:pPr>
      <w:r w:rsidRPr="004922B7">
        <w:rPr>
          <w:rFonts w:cs="Verdana"/>
          <w:szCs w:val="18"/>
        </w:rPr>
        <w:t xml:space="preserve">De verslechterde concurrentiepositie van Nederlandse elektriciteitscentrales kan tegelijkertijd zorgen voor nieuwe problemen die de netkosten verhogen. Netbeheer Nederland benoemt dat er bepaalde centrales nodig blijven om netondersteunende diensten te leveren en voor congestiemanagement. Indien deze centrales dreigen te sluiten als gevolg van een invoedingstarief kan het nodig zijn dat netbeheerders hogere vergoedingen moet gaan betalen om deze centrales open te houden. Een gevolg kan ook zijn dat er (hogere) vergoedingen betaald worden via een capaciteitsmechanisme. Dergelijke effecten zijn zeer moeilijk in te schatten en het netto-effect op de elektriciteitskosten van afnemers is daardoor onzeker. </w:t>
      </w:r>
    </w:p>
    <w:p w:rsidRPr="004922B7" w:rsidR="00E05BDB" w:rsidP="00E05BDB" w:rsidRDefault="00E05BDB" w14:paraId="07B97EC9" w14:textId="77777777">
      <w:pPr>
        <w:rPr>
          <w:rFonts w:cs="Verdana"/>
          <w:szCs w:val="18"/>
        </w:rPr>
      </w:pPr>
    </w:p>
    <w:p w:rsidRPr="004922B7" w:rsidR="00E05BDB" w:rsidP="00E05BDB" w:rsidRDefault="00E05BDB" w14:paraId="72419605" w14:textId="77777777">
      <w:pPr>
        <w:rPr>
          <w:rFonts w:cs="Verdana"/>
          <w:szCs w:val="18"/>
        </w:rPr>
      </w:pPr>
      <w:r w:rsidRPr="004922B7">
        <w:rPr>
          <w:rFonts w:cs="Verdana"/>
          <w:szCs w:val="18"/>
        </w:rPr>
        <w:lastRenderedPageBreak/>
        <w:t xml:space="preserve">Deze verslechtering van de concurrentiepositie zou beperkt blijven wanneer de invoering van het invoedingstarief meer gekoppeld zou worden aan Europese ontwikkelingen of de situatie in onze buurlanden. </w:t>
      </w:r>
      <w:r w:rsidRPr="004922B7">
        <w:rPr>
          <w:rFonts w:cs="Verdana"/>
          <w:color w:val="000000"/>
          <w:szCs w:val="18"/>
        </w:rPr>
        <w:t>De ACM heeft aangegeven dat zij rekenschap geeft van de tariefstructuren en ervaringen in omringende landen.</w:t>
      </w:r>
    </w:p>
    <w:p w:rsidR="00E05BDB" w:rsidP="00E05BDB" w:rsidRDefault="00E05BDB" w14:paraId="59253613" w14:textId="77777777">
      <w:pPr>
        <w:rPr>
          <w:rFonts w:cs="Verdana"/>
          <w:szCs w:val="18"/>
        </w:rPr>
      </w:pPr>
    </w:p>
    <w:p w:rsidR="00E05BDB" w:rsidP="00E05BDB" w:rsidRDefault="00E05BDB" w14:paraId="03986547" w14:textId="77777777">
      <w:pPr>
        <w:rPr>
          <w:rFonts w:cs="Verdana"/>
          <w:szCs w:val="18"/>
        </w:rPr>
      </w:pPr>
      <w:r w:rsidRPr="004922B7">
        <w:rPr>
          <w:rFonts w:cs="Verdana"/>
          <w:szCs w:val="18"/>
        </w:rPr>
        <w:t>6</w:t>
      </w:r>
    </w:p>
    <w:p w:rsidRPr="004922B7" w:rsidR="00E05BDB" w:rsidP="00E05BDB" w:rsidRDefault="00E05BDB" w14:paraId="0871F744" w14:textId="77777777">
      <w:pPr>
        <w:rPr>
          <w:rFonts w:cs="Verdana"/>
          <w:szCs w:val="18"/>
        </w:rPr>
      </w:pPr>
      <w:r w:rsidRPr="004922B7">
        <w:rPr>
          <w:rFonts w:cs="Verdana"/>
          <w:szCs w:val="18"/>
        </w:rPr>
        <w:t>Welke gevolgen heeft een invoedingstarief voor de leveringszekerheid van elektriciteit?</w:t>
      </w:r>
    </w:p>
    <w:p w:rsidRPr="004922B7" w:rsidR="00E05BDB" w:rsidP="00E05BDB" w:rsidRDefault="00E05BDB" w14:paraId="17278E19" w14:textId="77777777">
      <w:pPr>
        <w:rPr>
          <w:rFonts w:cs="Verdana"/>
          <w:szCs w:val="18"/>
        </w:rPr>
      </w:pPr>
    </w:p>
    <w:p w:rsidRPr="004922B7" w:rsidR="00E05BDB" w:rsidP="00E05BDB" w:rsidRDefault="00E05BDB" w14:paraId="638316DE" w14:textId="77777777">
      <w:pPr>
        <w:rPr>
          <w:rFonts w:cs="Verdana"/>
          <w:szCs w:val="18"/>
        </w:rPr>
      </w:pPr>
      <w:r w:rsidRPr="004922B7">
        <w:rPr>
          <w:rFonts w:cs="Verdana"/>
          <w:szCs w:val="18"/>
        </w:rPr>
        <w:t>Antwoord</w:t>
      </w:r>
    </w:p>
    <w:p w:rsidRPr="004922B7" w:rsidR="00E05BDB" w:rsidP="00E05BDB" w:rsidRDefault="00E05BDB" w14:paraId="37112EEC" w14:textId="77777777">
      <w:pPr>
        <w:rPr>
          <w:rFonts w:cs="Verdana"/>
          <w:szCs w:val="18"/>
        </w:rPr>
      </w:pPr>
      <w:r w:rsidRPr="004922B7">
        <w:rPr>
          <w:rFonts w:cs="Verdana"/>
          <w:szCs w:val="18"/>
        </w:rPr>
        <w:t>Een invoedingstarief kan, met name wanneer deze sterk afwijkt qua hoogte of vormgeving van invoedingstarieven in het buitenland, een negatieve invloed hebben op de mogelijkheid van productiecentrales en batterijen om hun jaarlijkse vaste kosten terug te kunnen verdienen. Deze partijen zijn naar verwachting echter nodig om bij te dragen aan de voorzieningszekerheid van elektriciteit. Gegeven het voornemen om met een capaciteitsmechanisme de leveringszekerheid te borgen, is het echter onwaarschijnlijk dat een invoedingstarief zal leiden tot een verslechtering van de voorzieningszekerheid. Wel kan een invoedingstarief de kosten van een capaciteitsmechanisme verhogen.</w:t>
      </w:r>
    </w:p>
    <w:p w:rsidRPr="004922B7" w:rsidR="00E05BDB" w:rsidP="00E05BDB" w:rsidRDefault="00E05BDB" w14:paraId="2941D945" w14:textId="77777777">
      <w:pPr>
        <w:rPr>
          <w:rFonts w:cs="Verdana"/>
          <w:szCs w:val="18"/>
        </w:rPr>
      </w:pPr>
    </w:p>
    <w:p w:rsidR="00E05BDB" w:rsidP="00E05BDB" w:rsidRDefault="00E05BDB" w14:paraId="5E38F51F" w14:textId="77777777">
      <w:pPr>
        <w:rPr>
          <w:rFonts w:cs="Verdana"/>
          <w:szCs w:val="18"/>
        </w:rPr>
      </w:pPr>
      <w:r w:rsidRPr="004922B7">
        <w:rPr>
          <w:rFonts w:cs="Verdana"/>
          <w:szCs w:val="18"/>
        </w:rPr>
        <w:t>7</w:t>
      </w:r>
    </w:p>
    <w:p w:rsidRPr="004922B7" w:rsidR="00E05BDB" w:rsidP="00E05BDB" w:rsidRDefault="00E05BDB" w14:paraId="4A2083EC" w14:textId="77777777">
      <w:pPr>
        <w:rPr>
          <w:rFonts w:cs="Verdana"/>
          <w:szCs w:val="18"/>
        </w:rPr>
      </w:pPr>
      <w:r w:rsidRPr="004922B7">
        <w:rPr>
          <w:rFonts w:cs="Verdana"/>
          <w:szCs w:val="18"/>
        </w:rPr>
        <w:t>Kunt u uiteenzetten wat de ACM onder het voorgenomen invoedingstarief verstaat, welke definitie van “grote producenten” wordt gehanteerd en worden er uitzonderingen overwogen?</w:t>
      </w:r>
    </w:p>
    <w:p w:rsidRPr="004922B7" w:rsidR="00E05BDB" w:rsidP="00E05BDB" w:rsidRDefault="00E05BDB" w14:paraId="5C71D085" w14:textId="77777777">
      <w:pPr>
        <w:rPr>
          <w:rFonts w:cs="Verdana"/>
          <w:szCs w:val="18"/>
        </w:rPr>
      </w:pPr>
    </w:p>
    <w:p w:rsidRPr="004922B7" w:rsidR="00E05BDB" w:rsidP="00E05BDB" w:rsidRDefault="00E05BDB" w14:paraId="15596BB7" w14:textId="77777777">
      <w:pPr>
        <w:rPr>
          <w:rFonts w:cs="Verdana"/>
          <w:szCs w:val="18"/>
        </w:rPr>
      </w:pPr>
      <w:r w:rsidRPr="004922B7">
        <w:rPr>
          <w:rFonts w:cs="Verdana"/>
          <w:szCs w:val="18"/>
        </w:rPr>
        <w:t>Antwoord</w:t>
      </w:r>
    </w:p>
    <w:p w:rsidRPr="004922B7" w:rsidR="00E05BDB" w:rsidP="00E05BDB" w:rsidRDefault="00E05BDB" w14:paraId="22860673" w14:textId="77777777">
      <w:pPr>
        <w:rPr>
          <w:rFonts w:cs="Verdana"/>
          <w:szCs w:val="18"/>
        </w:rPr>
      </w:pPr>
      <w:r w:rsidRPr="004922B7">
        <w:rPr>
          <w:rFonts w:cs="Verdana"/>
          <w:szCs w:val="18"/>
        </w:rPr>
        <w:t xml:space="preserve">Een invoedingstarief is een tarief dat aangeslotenen moeten betalen om elektriciteit in te voeden op het net. Voor de infrastructuurgerelateerde kosten van het elektriciteitsnet geldt een Europees-wettelijk vastgelegd maximumtarief voor invoeders. Voor de systeemkosten (kosten voor inkoop congestie- en balanceringsdiensten en netverliezen) geldt geen Europese begrenzing. </w:t>
      </w:r>
    </w:p>
    <w:p w:rsidRPr="004922B7" w:rsidR="00E05BDB" w:rsidP="00E05BDB" w:rsidRDefault="00E05BDB" w14:paraId="0AB241BF" w14:textId="77777777">
      <w:pPr>
        <w:rPr>
          <w:rFonts w:cs="Verdana"/>
          <w:szCs w:val="18"/>
        </w:rPr>
      </w:pPr>
    </w:p>
    <w:p w:rsidRPr="004922B7" w:rsidR="00E05BDB" w:rsidP="00E05BDB" w:rsidRDefault="00E05BDB" w14:paraId="7390F94D" w14:textId="77777777">
      <w:pPr>
        <w:rPr>
          <w:rFonts w:cs="Verdana"/>
          <w:szCs w:val="18"/>
        </w:rPr>
      </w:pPr>
      <w:r w:rsidRPr="004922B7">
        <w:rPr>
          <w:rFonts w:cs="Verdana"/>
          <w:szCs w:val="18"/>
        </w:rPr>
        <w:t>De ACM is voornemens om het invoedingstarief op dit moment alleen uit te werken voor grootverbruikers. Dit zijn gebruikers met een aansluiting met een aansluitcapaciteit van meer dan 3 keer 80 Amp</w:t>
      </w:r>
      <w:r>
        <w:rPr>
          <w:rFonts w:cs="Verdana"/>
          <w:szCs w:val="18"/>
        </w:rPr>
        <w:t>è</w:t>
      </w:r>
      <w:r w:rsidRPr="004922B7">
        <w:rPr>
          <w:rFonts w:cs="Verdana"/>
          <w:szCs w:val="18"/>
        </w:rPr>
        <w:t xml:space="preserve">re, hier vallen onder andere </w:t>
      </w:r>
      <w:r w:rsidRPr="004922B7">
        <w:rPr>
          <w:rFonts w:cs="Verdana"/>
          <w:szCs w:val="18"/>
        </w:rPr>
        <w:lastRenderedPageBreak/>
        <w:t xml:space="preserve">onder wind op zee, kerncentrales, gascentrales, windparken en zonneparken. Voor kleinverbruikers wordt momenteel een nieuwe nettariefstructuur uitgewerkt en de ACM wil dit proces niet doorkruisen. Voor kleinschalige zon op dak, bijvoorbeeld op een woonhuis, gaat het invoedingstarief dus niet gelden. </w:t>
      </w:r>
    </w:p>
    <w:p w:rsidRPr="004922B7" w:rsidR="00E05BDB" w:rsidP="00E05BDB" w:rsidRDefault="00E05BDB" w14:paraId="1BB8F2AA" w14:textId="77777777">
      <w:pPr>
        <w:rPr>
          <w:rFonts w:cs="Verdana"/>
          <w:szCs w:val="18"/>
        </w:rPr>
      </w:pPr>
    </w:p>
    <w:p w:rsidRPr="004922B7" w:rsidR="00E05BDB" w:rsidP="00E05BDB" w:rsidRDefault="00E05BDB" w14:paraId="2142289E" w14:textId="77777777">
      <w:pPr>
        <w:rPr>
          <w:rFonts w:cs="Verdana"/>
          <w:szCs w:val="18"/>
        </w:rPr>
      </w:pPr>
      <w:r w:rsidRPr="004922B7">
        <w:rPr>
          <w:rFonts w:cs="Verdana"/>
          <w:szCs w:val="18"/>
        </w:rPr>
        <w:t xml:space="preserve">De ACM heeft nog geen definitieve keuzes gemaakt over uitzonderingen. Het consultatiedocument van </w:t>
      </w:r>
      <w:r>
        <w:rPr>
          <w:rFonts w:cs="Verdana"/>
          <w:szCs w:val="18"/>
        </w:rPr>
        <w:t xml:space="preserve">de </w:t>
      </w:r>
      <w:r w:rsidRPr="004922B7">
        <w:rPr>
          <w:rFonts w:cs="Verdana"/>
          <w:szCs w:val="18"/>
        </w:rPr>
        <w:t>ACM bespreekt de mogelijkheid van een uitzondering voor producenten op zee en voor bi-directionele gebruikers (waaronder batterij-opslag). De ACM heeft hier nog geen besluit over genomen.</w:t>
      </w:r>
    </w:p>
    <w:p w:rsidRPr="004922B7" w:rsidR="00E05BDB" w:rsidP="00E05BDB" w:rsidRDefault="00E05BDB" w14:paraId="021D0C78" w14:textId="77777777">
      <w:pPr>
        <w:rPr>
          <w:rFonts w:cs="Verdana"/>
          <w:szCs w:val="18"/>
        </w:rPr>
      </w:pPr>
    </w:p>
    <w:p w:rsidR="00E05BDB" w:rsidP="00E05BDB" w:rsidRDefault="00E05BDB" w14:paraId="2F740D9E" w14:textId="77777777">
      <w:pPr>
        <w:rPr>
          <w:rFonts w:cs="Verdana"/>
          <w:szCs w:val="18"/>
        </w:rPr>
      </w:pPr>
      <w:r w:rsidRPr="004922B7">
        <w:rPr>
          <w:rFonts w:cs="Verdana"/>
          <w:szCs w:val="18"/>
        </w:rPr>
        <w:t>8</w:t>
      </w:r>
    </w:p>
    <w:p w:rsidRPr="004922B7" w:rsidR="00E05BDB" w:rsidP="00E05BDB" w:rsidRDefault="00E05BDB" w14:paraId="123B3ED2" w14:textId="77777777">
      <w:pPr>
        <w:rPr>
          <w:rFonts w:cs="Verdana"/>
          <w:szCs w:val="18"/>
        </w:rPr>
      </w:pPr>
      <w:r w:rsidRPr="004922B7">
        <w:rPr>
          <w:rFonts w:cs="Verdana"/>
          <w:szCs w:val="18"/>
        </w:rPr>
        <w:t xml:space="preserve">Op basis van welke wettelijke grondslag en (tarief)codes heeft de ACM volgens u de bevoegdheid om een invoedingstarief in te voeren, en welke formele rol heeft u de daarbij (welke interventies zijn wél/niet mogelijk)? </w:t>
      </w:r>
    </w:p>
    <w:p w:rsidRPr="004922B7" w:rsidR="00E05BDB" w:rsidP="00E05BDB" w:rsidRDefault="00E05BDB" w14:paraId="05E5AF4C" w14:textId="77777777">
      <w:pPr>
        <w:rPr>
          <w:rFonts w:cs="Verdana"/>
          <w:szCs w:val="18"/>
        </w:rPr>
      </w:pPr>
    </w:p>
    <w:p w:rsidR="00E05BDB" w:rsidP="00E05BDB" w:rsidRDefault="00E05BDB" w14:paraId="5782A224" w14:textId="77777777">
      <w:pPr>
        <w:spacing w:line="240" w:lineRule="auto"/>
        <w:rPr>
          <w:rFonts w:cs="Verdana"/>
          <w:szCs w:val="18"/>
        </w:rPr>
      </w:pPr>
      <w:r>
        <w:rPr>
          <w:rFonts w:cs="Verdana"/>
          <w:szCs w:val="18"/>
        </w:rPr>
        <w:br w:type="page"/>
      </w:r>
    </w:p>
    <w:p w:rsidRPr="004922B7" w:rsidR="00E05BDB" w:rsidP="00E05BDB" w:rsidRDefault="00E05BDB" w14:paraId="49932D5F" w14:textId="77777777">
      <w:pPr>
        <w:rPr>
          <w:rFonts w:cs="Verdana"/>
          <w:szCs w:val="18"/>
        </w:rPr>
      </w:pPr>
      <w:r w:rsidRPr="004922B7">
        <w:rPr>
          <w:rFonts w:cs="Verdana"/>
          <w:szCs w:val="18"/>
        </w:rPr>
        <w:lastRenderedPageBreak/>
        <w:t>Antwoord</w:t>
      </w:r>
    </w:p>
    <w:p w:rsidRPr="004922B7" w:rsidR="00E05BDB" w:rsidP="00E05BDB" w:rsidRDefault="00E05BDB" w14:paraId="2E407DBD" w14:textId="77777777">
      <w:pPr>
        <w:rPr>
          <w:rFonts w:cs="Verdana"/>
          <w:szCs w:val="18"/>
        </w:rPr>
      </w:pPr>
      <w:r w:rsidRPr="004922B7">
        <w:rPr>
          <w:rFonts w:cs="Verdana"/>
          <w:szCs w:val="18"/>
        </w:rPr>
        <w:t xml:space="preserve">De Europese Elektriciteitsrichtlijn schrijft dwingend voor dat de onafhankelijke nationale regulerende instantie, in Nederland de ACM, exclusief bevoegd moet zijn om de tarieven of tariefreguleringsmethode en de tariefstructuren van netbeheerders vast te stellen of goed te keuren. In het Nederlands recht is dit geïmplementeerd in de Energiewet. De bevoegdheid voor de ACM om de tarieven en tariefreguleringsmethode vast te stellen is vastgelegd in artikel 3.106, eerste lid, in combinatie met artikel 3.107 van de Energiewet. Voorts moeten op grond van artikel 3.107, vierde lid van de Energiewet tariefstructuren worden opgesteld die ingevolge artikel 3.119 in combinatie met de artikelen 3.120 en 3.121 van de Energiewet die goedkeuring moeten hebben van de ACM en de ACM kan daarvoor ook zelf voorstellen indienen als zij dat nodig acht. De minister heeft hierbij geen rol en kan ook geen instructies geven aan de ACM gelet op de onafhankelijkheid van de ACM, zoals onder meer volgt uit de artikelen 9 en 10 van de Instellingswet Autoriteit Consument en Markt. </w:t>
      </w:r>
    </w:p>
    <w:p w:rsidRPr="004922B7" w:rsidR="00E05BDB" w:rsidP="00E05BDB" w:rsidRDefault="00E05BDB" w14:paraId="7B248889" w14:textId="77777777">
      <w:pPr>
        <w:rPr>
          <w:rFonts w:cs="Verdana"/>
          <w:szCs w:val="18"/>
        </w:rPr>
      </w:pPr>
    </w:p>
    <w:p w:rsidR="00E05BDB" w:rsidP="00E05BDB" w:rsidRDefault="00E05BDB" w14:paraId="4396D78C" w14:textId="77777777">
      <w:pPr>
        <w:rPr>
          <w:rFonts w:cs="Verdana"/>
          <w:szCs w:val="18"/>
        </w:rPr>
      </w:pPr>
      <w:r w:rsidRPr="004922B7">
        <w:rPr>
          <w:rFonts w:cs="Verdana"/>
          <w:szCs w:val="18"/>
        </w:rPr>
        <w:t>9</w:t>
      </w:r>
    </w:p>
    <w:p w:rsidRPr="004922B7" w:rsidR="00E05BDB" w:rsidP="00E05BDB" w:rsidRDefault="00E05BDB" w14:paraId="0CD7DF5E" w14:textId="77777777">
      <w:pPr>
        <w:rPr>
          <w:rFonts w:cs="Verdana"/>
          <w:szCs w:val="18"/>
        </w:rPr>
      </w:pPr>
      <w:r w:rsidRPr="004922B7">
        <w:rPr>
          <w:rFonts w:cs="Verdana"/>
          <w:szCs w:val="18"/>
        </w:rPr>
        <w:t>Klopt het dat u bij brief van 25 april 2025 (p. 13) waarschuwt dat een invoedingstarief bij nieuwe projecten leidt tot een hogere onrendabele top en daarmee meer subsidie? Kunt u de onderliggende berekeningen aan de Kamer sturen?</w:t>
      </w:r>
    </w:p>
    <w:p w:rsidRPr="004922B7" w:rsidR="00E05BDB" w:rsidP="00E05BDB" w:rsidRDefault="00E05BDB" w14:paraId="50A0D3E4" w14:textId="77777777">
      <w:pPr>
        <w:rPr>
          <w:rFonts w:cs="Verdana"/>
          <w:szCs w:val="18"/>
        </w:rPr>
      </w:pPr>
      <w:r w:rsidRPr="004922B7">
        <w:rPr>
          <w:rFonts w:cs="Verdana"/>
          <w:szCs w:val="18"/>
        </w:rPr>
        <w:t xml:space="preserve"> </w:t>
      </w:r>
    </w:p>
    <w:p w:rsidRPr="004922B7" w:rsidR="00E05BDB" w:rsidP="00E05BDB" w:rsidRDefault="00E05BDB" w14:paraId="44EDBB41" w14:textId="77777777">
      <w:pPr>
        <w:rPr>
          <w:rFonts w:cs="Verdana"/>
          <w:szCs w:val="18"/>
        </w:rPr>
      </w:pPr>
      <w:r w:rsidRPr="004922B7">
        <w:rPr>
          <w:rFonts w:cs="Verdana"/>
          <w:szCs w:val="18"/>
        </w:rPr>
        <w:t>Antwoord</w:t>
      </w:r>
    </w:p>
    <w:p w:rsidRPr="004922B7" w:rsidR="00E05BDB" w:rsidP="00E05BDB" w:rsidRDefault="00E05BDB" w14:paraId="6F3575E4" w14:textId="77777777">
      <w:pPr>
        <w:rPr>
          <w:rFonts w:cs="Verdana"/>
          <w:szCs w:val="18"/>
        </w:rPr>
      </w:pPr>
      <w:r w:rsidRPr="004922B7">
        <w:rPr>
          <w:rFonts w:cs="Verdana"/>
          <w:szCs w:val="18"/>
        </w:rPr>
        <w:t>De kwalitatieve aanname dat een invoedingstarief bij nieuwe projecten resulteert in een hogere onrendabele top klopt. Het invoedingstarief zullen producenten moeten betalen per eenheid energie die zij invoeden in het elektriciteitsnet. Het zorgt daardoor voor een hogere kostprijs van de productie van elektriciteit. Producenten zullen dit proberen door te berekenen in de verkoopprijs. Het lijkt waarschijnlijk dat producenten dit slechts gedeeltelijk kunnen doen. Voor het deel dat dit tarief niet kan worden doorberekend, resulteert dit in een hogere onrendabele top van hernieuwbare elektriciteit. Deze onrendabele top vertaalt zich in een hogere subsidiebehoefte. In het geval van zon-PV en windenergie op land en op zee zal stimulering vanaf 2027 door middel van CfD's plaatsvinden, welke het verschil tussen de kostprijs en de marktprijs van elektriciteit dekken. Dat betekent dat er bij invoering van een invoedingstarief meer middelen nodig zijn om dezelfde hoeveelheid elektriciteit uit hernieuwbare energieprojecten te produceren.</w:t>
      </w:r>
    </w:p>
    <w:p w:rsidRPr="004922B7" w:rsidR="00E05BDB" w:rsidP="00E05BDB" w:rsidRDefault="00E05BDB" w14:paraId="70F89E64" w14:textId="77777777">
      <w:pPr>
        <w:rPr>
          <w:rFonts w:cs="Verdana"/>
          <w:szCs w:val="18"/>
        </w:rPr>
      </w:pPr>
    </w:p>
    <w:p w:rsidRPr="004922B7" w:rsidR="00E05BDB" w:rsidP="00E05BDB" w:rsidRDefault="00E05BDB" w14:paraId="0CE15832" w14:textId="77777777">
      <w:pPr>
        <w:rPr>
          <w:rFonts w:cs="Verdana"/>
          <w:szCs w:val="18"/>
        </w:rPr>
      </w:pPr>
      <w:r w:rsidRPr="004922B7">
        <w:rPr>
          <w:rFonts w:cs="Verdana"/>
          <w:szCs w:val="18"/>
        </w:rPr>
        <w:t xml:space="preserve">Zonder een concreet voorstel van </w:t>
      </w:r>
      <w:r>
        <w:rPr>
          <w:rFonts w:cs="Verdana"/>
          <w:szCs w:val="18"/>
        </w:rPr>
        <w:t xml:space="preserve">de </w:t>
      </w:r>
      <w:r w:rsidRPr="004922B7">
        <w:rPr>
          <w:rFonts w:cs="Verdana"/>
          <w:szCs w:val="18"/>
        </w:rPr>
        <w:t xml:space="preserve">ACM voor </w:t>
      </w:r>
      <w:r>
        <w:rPr>
          <w:rFonts w:cs="Verdana"/>
          <w:szCs w:val="18"/>
        </w:rPr>
        <w:t>een</w:t>
      </w:r>
      <w:r w:rsidRPr="004922B7">
        <w:rPr>
          <w:rFonts w:cs="Verdana"/>
          <w:szCs w:val="18"/>
        </w:rPr>
        <w:t xml:space="preserve"> invoedingstarief is het niet mogelijk om de effecten en extra subsidiebehoefte goed uit te rekenen.</w:t>
      </w:r>
    </w:p>
    <w:p w:rsidRPr="004922B7" w:rsidR="00E05BDB" w:rsidP="00E05BDB" w:rsidRDefault="00E05BDB" w14:paraId="3C011F00" w14:textId="77777777">
      <w:pPr>
        <w:rPr>
          <w:rFonts w:cs="Verdana"/>
          <w:szCs w:val="18"/>
        </w:rPr>
      </w:pPr>
    </w:p>
    <w:p w:rsidR="00E05BDB" w:rsidP="00E05BDB" w:rsidRDefault="00E05BDB" w14:paraId="120F1C9E" w14:textId="77777777">
      <w:pPr>
        <w:rPr>
          <w:rFonts w:cs="Verdana"/>
          <w:szCs w:val="18"/>
        </w:rPr>
      </w:pPr>
      <w:r w:rsidRPr="004922B7">
        <w:rPr>
          <w:rFonts w:cs="Verdana"/>
          <w:szCs w:val="18"/>
        </w:rPr>
        <w:t>10</w:t>
      </w:r>
    </w:p>
    <w:p w:rsidRPr="004922B7" w:rsidR="00E05BDB" w:rsidP="00E05BDB" w:rsidRDefault="00E05BDB" w14:paraId="68C9962A" w14:textId="77777777">
      <w:pPr>
        <w:rPr>
          <w:rFonts w:cs="Verdana"/>
          <w:szCs w:val="18"/>
        </w:rPr>
      </w:pPr>
      <w:r w:rsidRPr="004922B7">
        <w:rPr>
          <w:rFonts w:cs="Verdana"/>
          <w:szCs w:val="18"/>
        </w:rPr>
        <w:t>Kunt u uitsluiten dat huishoudens, het midden- en kleinbedrijf en de industrie per saldo meer gaan betalen door invoering van een invoedingstarief? Zo nee, welke maatregelen neemt u om dit te voorkomen? En hoe hoog is de stijging?</w:t>
      </w:r>
    </w:p>
    <w:p w:rsidRPr="004922B7" w:rsidR="00E05BDB" w:rsidP="00E05BDB" w:rsidRDefault="00E05BDB" w14:paraId="1892AF03" w14:textId="77777777">
      <w:pPr>
        <w:rPr>
          <w:rFonts w:cs="Verdana"/>
          <w:szCs w:val="18"/>
        </w:rPr>
      </w:pPr>
    </w:p>
    <w:p w:rsidRPr="004922B7" w:rsidR="00E05BDB" w:rsidP="00E05BDB" w:rsidRDefault="00E05BDB" w14:paraId="4E50D331" w14:textId="77777777">
      <w:pPr>
        <w:rPr>
          <w:rFonts w:cs="Verdana"/>
          <w:szCs w:val="18"/>
        </w:rPr>
      </w:pPr>
      <w:r w:rsidRPr="004922B7">
        <w:rPr>
          <w:rFonts w:cs="Verdana"/>
          <w:szCs w:val="18"/>
        </w:rPr>
        <w:t>Antwoord</w:t>
      </w:r>
    </w:p>
    <w:p w:rsidRPr="004922B7" w:rsidR="00E05BDB" w:rsidP="00E05BDB" w:rsidRDefault="00E05BDB" w14:paraId="0DC2D51F" w14:textId="77777777">
      <w:pPr>
        <w:rPr>
          <w:rFonts w:ascii="Aptos" w:hAnsi="Aptos"/>
          <w:sz w:val="24"/>
        </w:rPr>
      </w:pPr>
      <w:r w:rsidRPr="004922B7">
        <w:rPr>
          <w:rFonts w:cs="Verdana"/>
          <w:szCs w:val="18"/>
        </w:rPr>
        <w:t xml:space="preserve">Zoals hierboven aangegeven is geen duidelijkheid over de vormgeving, hoogte, invoerdatum en overgangsperiode voor het invoedingstarief. De totale systeemkosten zijn daarnaast ook afhankelijk van andere factoren, die zeer moeilijk zijn in te schatten. </w:t>
      </w:r>
      <w:r>
        <w:rPr>
          <w:rFonts w:cs="Verdana"/>
          <w:szCs w:val="18"/>
        </w:rPr>
        <w:t xml:space="preserve">Het kabinet </w:t>
      </w:r>
      <w:r w:rsidRPr="004922B7">
        <w:rPr>
          <w:rFonts w:cs="Verdana"/>
          <w:szCs w:val="18"/>
        </w:rPr>
        <w:t xml:space="preserve">kan op dit moment daarom niet uitsluiten of bevestigen dat aangeslotenen per saldo meer gaan betalen door de invoering van een invoedingstarief. Noch kan </w:t>
      </w:r>
      <w:r>
        <w:rPr>
          <w:rFonts w:cs="Verdana"/>
          <w:szCs w:val="18"/>
        </w:rPr>
        <w:t>het kabinet</w:t>
      </w:r>
      <w:r w:rsidRPr="004922B7">
        <w:rPr>
          <w:rFonts w:cs="Verdana"/>
          <w:szCs w:val="18"/>
        </w:rPr>
        <w:t xml:space="preserve"> vooruitlopen op eventuele compenserende maatregelen of een betrouwbare inschatting geven van de hoogte van een eventuele stijging.</w:t>
      </w:r>
    </w:p>
    <w:p w:rsidRPr="004922B7" w:rsidR="00E05BDB" w:rsidP="00E05BDB" w:rsidRDefault="00E05BDB" w14:paraId="0676C355" w14:textId="77777777">
      <w:pPr>
        <w:rPr>
          <w:rFonts w:cs="Verdana"/>
          <w:szCs w:val="18"/>
        </w:rPr>
      </w:pPr>
      <w:r w:rsidRPr="004922B7">
        <w:rPr>
          <w:rFonts w:cs="Verdana"/>
          <w:szCs w:val="18"/>
        </w:rPr>
        <w:t xml:space="preserve"> </w:t>
      </w:r>
    </w:p>
    <w:p w:rsidR="00E05BDB" w:rsidP="00E05BDB" w:rsidRDefault="00E05BDB" w14:paraId="153048C8" w14:textId="77777777">
      <w:pPr>
        <w:rPr>
          <w:rFonts w:cs="Verdana"/>
          <w:szCs w:val="18"/>
        </w:rPr>
      </w:pPr>
      <w:r w:rsidRPr="004922B7">
        <w:rPr>
          <w:rFonts w:cs="Verdana"/>
          <w:szCs w:val="18"/>
        </w:rPr>
        <w:t>11</w:t>
      </w:r>
    </w:p>
    <w:p w:rsidRPr="004922B7" w:rsidR="00E05BDB" w:rsidP="00E05BDB" w:rsidRDefault="00E05BDB" w14:paraId="7864DD45" w14:textId="77777777">
      <w:pPr>
        <w:rPr>
          <w:rFonts w:cs="Verdana"/>
          <w:szCs w:val="18"/>
        </w:rPr>
      </w:pPr>
      <w:r w:rsidRPr="004922B7">
        <w:rPr>
          <w:rFonts w:cs="Verdana"/>
          <w:szCs w:val="18"/>
        </w:rPr>
        <w:t>Heeft u er kennis van genomen dat in de aangeleverde informatie wordt gesteld dat Nederlandse (gas)centrales efficiënter zijn maar door het invoedingstarief “na” Duitse centrales in de merit order kunnen komen? Herkent u dit mechanisme en wat betekent dit voor prijsniveau en de systeemkosten?</w:t>
      </w:r>
    </w:p>
    <w:p w:rsidRPr="004922B7" w:rsidR="00E05BDB" w:rsidP="00E05BDB" w:rsidRDefault="00E05BDB" w14:paraId="50899E3F" w14:textId="77777777">
      <w:pPr>
        <w:rPr>
          <w:rFonts w:cs="Verdana"/>
          <w:b/>
          <w:bCs/>
          <w:szCs w:val="18"/>
        </w:rPr>
      </w:pPr>
    </w:p>
    <w:p w:rsidRPr="004922B7" w:rsidR="00E05BDB" w:rsidP="00E05BDB" w:rsidRDefault="00E05BDB" w14:paraId="4A88AC3B" w14:textId="77777777">
      <w:pPr>
        <w:rPr>
          <w:rFonts w:cs="Verdana"/>
          <w:szCs w:val="18"/>
        </w:rPr>
      </w:pPr>
      <w:r w:rsidRPr="004922B7">
        <w:rPr>
          <w:rFonts w:cs="Verdana"/>
          <w:szCs w:val="18"/>
        </w:rPr>
        <w:t>Antwoord</w:t>
      </w:r>
    </w:p>
    <w:p w:rsidRPr="004922B7" w:rsidR="00E05BDB" w:rsidP="00E05BDB" w:rsidRDefault="00E05BDB" w14:paraId="78442900" w14:textId="77777777">
      <w:pPr>
        <w:rPr>
          <w:rFonts w:cs="Verdana"/>
          <w:szCs w:val="18"/>
        </w:rPr>
      </w:pPr>
      <w:r w:rsidRPr="004922B7">
        <w:rPr>
          <w:rFonts w:cs="Verdana"/>
          <w:szCs w:val="18"/>
        </w:rPr>
        <w:t>Dit is inderdaad een mogelijk gevolg van de invoering van een invoedingstarief, afhankelijk van de vormgeving van het tarief en ontwikkelingen in Nederland en Duitsland. De Duitse en Nederlandse elektriciteitsmarkten zijn goed met elkaar geïntegreerd en een vervanging van Nederlandse door Duitse producenten in de merit order is mogelijk bij een voldoende hoog, Nederlands invoedingstarief. Indien Nederland een relatief hoog invoedingstarief zou invoeren en Duitsland niet, ontstaat er een ongelijk(er) speelveld tussen Nederlandse en Duitse elektriciteitsproducenten</w:t>
      </w:r>
      <w:r>
        <w:rPr>
          <w:rFonts w:cs="Verdana"/>
          <w:szCs w:val="18"/>
        </w:rPr>
        <w:t>.</w:t>
      </w:r>
    </w:p>
    <w:p w:rsidRPr="004922B7" w:rsidR="00E05BDB" w:rsidP="00E05BDB" w:rsidRDefault="00E05BDB" w14:paraId="69E5CF79" w14:textId="77777777">
      <w:pPr>
        <w:rPr>
          <w:rFonts w:cs="Verdana"/>
          <w:szCs w:val="18"/>
        </w:rPr>
      </w:pPr>
    </w:p>
    <w:p w:rsidRPr="004922B7" w:rsidR="00E05BDB" w:rsidP="00E05BDB" w:rsidRDefault="00E05BDB" w14:paraId="30553325" w14:textId="77777777">
      <w:pPr>
        <w:rPr>
          <w:rFonts w:cs="Verdana"/>
          <w:szCs w:val="18"/>
        </w:rPr>
      </w:pPr>
      <w:r w:rsidRPr="004922B7">
        <w:rPr>
          <w:rFonts w:cs="Verdana"/>
          <w:szCs w:val="18"/>
        </w:rPr>
        <w:t>Zoals toegelicht in het antwoord op vraag 5 is het uiteindelijke effect op het prijsniveau en de systeemkosten zeer moeilijk in te schatten en afhankelijk van eventueel flankerend beleid en ontwikkelingen in het buitenland.</w:t>
      </w:r>
    </w:p>
    <w:p w:rsidRPr="004922B7" w:rsidR="00E05BDB" w:rsidP="00E05BDB" w:rsidRDefault="00E05BDB" w14:paraId="4F97D248" w14:textId="77777777">
      <w:pPr>
        <w:rPr>
          <w:rFonts w:cs="Verdana"/>
          <w:szCs w:val="18"/>
        </w:rPr>
      </w:pPr>
      <w:r w:rsidRPr="004922B7">
        <w:rPr>
          <w:rFonts w:cs="Verdana"/>
          <w:szCs w:val="18"/>
        </w:rPr>
        <w:t xml:space="preserve"> </w:t>
      </w:r>
    </w:p>
    <w:p w:rsidR="00E05BDB" w:rsidP="00E05BDB" w:rsidRDefault="00E05BDB" w14:paraId="0E6AE4B5" w14:textId="77777777">
      <w:pPr>
        <w:rPr>
          <w:rFonts w:cs="Verdana"/>
          <w:szCs w:val="18"/>
        </w:rPr>
      </w:pPr>
      <w:r w:rsidRPr="004922B7">
        <w:rPr>
          <w:rFonts w:cs="Verdana"/>
          <w:szCs w:val="18"/>
        </w:rPr>
        <w:t>12</w:t>
      </w:r>
    </w:p>
    <w:p w:rsidRPr="004922B7" w:rsidR="00E05BDB" w:rsidP="00E05BDB" w:rsidRDefault="00E05BDB" w14:paraId="35D4B159" w14:textId="77777777">
      <w:pPr>
        <w:rPr>
          <w:rFonts w:cs="Verdana"/>
          <w:b/>
          <w:bCs/>
          <w:szCs w:val="18"/>
        </w:rPr>
      </w:pPr>
      <w:r w:rsidRPr="004922B7">
        <w:rPr>
          <w:rFonts w:cs="Verdana"/>
          <w:szCs w:val="18"/>
        </w:rPr>
        <w:lastRenderedPageBreak/>
        <w:t>Klopt het dat Duitsland, de grootste handelspartner van Nederland, geen vergelijkbaar</w:t>
      </w:r>
      <w:r w:rsidRPr="004922B7">
        <w:rPr>
          <w:rFonts w:cs="Verdana"/>
          <w:b/>
          <w:bCs/>
          <w:szCs w:val="18"/>
        </w:rPr>
        <w:t xml:space="preserve"> </w:t>
      </w:r>
      <w:r w:rsidRPr="004922B7">
        <w:rPr>
          <w:rFonts w:cs="Verdana"/>
          <w:szCs w:val="18"/>
        </w:rPr>
        <w:t>invoedingstarief kent? Hoe is dit geregeld in de overige landen waarmee Nederland via</w:t>
      </w:r>
      <w:r w:rsidRPr="004922B7">
        <w:rPr>
          <w:rFonts w:cs="Verdana"/>
          <w:b/>
          <w:bCs/>
          <w:szCs w:val="18"/>
        </w:rPr>
        <w:t xml:space="preserve"> </w:t>
      </w:r>
      <w:r w:rsidRPr="004922B7">
        <w:rPr>
          <w:rFonts w:cs="Verdana"/>
          <w:szCs w:val="18"/>
        </w:rPr>
        <w:t>interconnecties op het elektriciteitsnet is aangesloten (België, het Verenigd Koninkrijk, Noorwegen en Denemarken)? En welke inzet pleegt u om te voorkomen dat Nederland zich uit de markt prijst of eenzijdig nadeel creëert?</w:t>
      </w:r>
    </w:p>
    <w:p w:rsidRPr="004922B7" w:rsidR="00E05BDB" w:rsidP="00E05BDB" w:rsidRDefault="00E05BDB" w14:paraId="3BA462A6" w14:textId="77777777">
      <w:pPr>
        <w:rPr>
          <w:rFonts w:cs="Verdana"/>
          <w:szCs w:val="18"/>
        </w:rPr>
      </w:pPr>
    </w:p>
    <w:p w:rsidRPr="004922B7" w:rsidR="00E05BDB" w:rsidP="00E05BDB" w:rsidRDefault="00E05BDB" w14:paraId="2C694070" w14:textId="77777777">
      <w:pPr>
        <w:rPr>
          <w:rFonts w:cs="Verdana"/>
          <w:szCs w:val="18"/>
        </w:rPr>
      </w:pPr>
      <w:r w:rsidRPr="004922B7">
        <w:rPr>
          <w:rFonts w:cs="Verdana"/>
          <w:szCs w:val="18"/>
        </w:rPr>
        <w:t>Antwoord</w:t>
      </w:r>
    </w:p>
    <w:p w:rsidRPr="004922B7" w:rsidR="00E05BDB" w:rsidP="00E05BDB" w:rsidRDefault="00E05BDB" w14:paraId="5CD9E320" w14:textId="77777777">
      <w:pPr>
        <w:rPr>
          <w:rFonts w:cs="Verdana"/>
          <w:szCs w:val="18"/>
        </w:rPr>
      </w:pPr>
      <w:r w:rsidRPr="004922B7">
        <w:rPr>
          <w:rFonts w:cs="Verdana"/>
          <w:szCs w:val="18"/>
        </w:rPr>
        <w:t>Elk land heeft een eigen stelsel voor de nettarieven, in de EU-lidstaten gebaseerd op gezamenlijke Europese principes zoals ‘de gebruiker betaalt’. De vormgeving en hoogte van de nettarieven is divers, niet altijd direct vergelijkbaar en bovendien in beweging. Op basis van een relatief recente studie van de Europese toezichthouder ACER naar de nettarieven in Europa en een onderzoek van Sia Partners, uitgevoerd in opdracht van de Belgische transmissiesysteembeheerder Elia uit 2023 is niettemin enige informatie beschikbaar over het invoedingstarief in de met Nederland verbonden lidstaten en derde landen.</w:t>
      </w:r>
      <w:r w:rsidRPr="004922B7">
        <w:rPr>
          <w:rFonts w:cs="Verdana"/>
          <w:szCs w:val="18"/>
          <w:vertAlign w:val="superscript"/>
        </w:rPr>
        <w:footnoteReference w:id="1"/>
      </w:r>
      <w:r w:rsidRPr="004922B7">
        <w:rPr>
          <w:rFonts w:cs="Verdana"/>
          <w:szCs w:val="18"/>
        </w:rPr>
        <w:t xml:space="preserve"> </w:t>
      </w:r>
    </w:p>
    <w:p w:rsidRPr="004922B7" w:rsidR="00E05BDB" w:rsidP="00E05BDB" w:rsidRDefault="00E05BDB" w14:paraId="2DEB25AE" w14:textId="77777777">
      <w:pPr>
        <w:rPr>
          <w:rFonts w:cs="Verdana"/>
          <w:szCs w:val="18"/>
        </w:rPr>
      </w:pPr>
    </w:p>
    <w:p w:rsidRPr="004922B7" w:rsidR="00E05BDB" w:rsidP="00E05BDB" w:rsidRDefault="00E05BDB" w14:paraId="311162FF" w14:textId="77777777">
      <w:pPr>
        <w:rPr>
          <w:rFonts w:cs="Verdana"/>
          <w:szCs w:val="18"/>
        </w:rPr>
      </w:pPr>
      <w:r w:rsidRPr="004922B7">
        <w:rPr>
          <w:rFonts w:cs="Verdana"/>
          <w:szCs w:val="18"/>
        </w:rPr>
        <w:t xml:space="preserve">Sia heeft het “gewogen gemiddelde invoedingstarief” in kaart gebracht. Dit omvat uitsluitend gereguleerde nettariefcomponenten voor invoeding van elektriciteit. </w:t>
      </w:r>
    </w:p>
    <w:p w:rsidRPr="004922B7" w:rsidR="00E05BDB" w:rsidP="00E05BDB" w:rsidRDefault="00E05BDB" w14:paraId="030FA1DD" w14:textId="77777777">
      <w:pPr>
        <w:rPr>
          <w:rFonts w:cs="Verdana"/>
          <w:szCs w:val="18"/>
        </w:rPr>
      </w:pPr>
    </w:p>
    <w:tbl>
      <w:tblPr>
        <w:tblStyle w:val="Tabelraster1"/>
        <w:tblW w:w="0" w:type="auto"/>
        <w:tblLook w:val="06A0" w:firstRow="1" w:lastRow="0" w:firstColumn="1" w:lastColumn="0" w:noHBand="1" w:noVBand="1"/>
      </w:tblPr>
      <w:tblGrid>
        <w:gridCol w:w="2550"/>
        <w:gridCol w:w="2280"/>
      </w:tblGrid>
      <w:tr w:rsidRPr="004922B7" w:rsidR="00E05BDB" w:rsidTr="00E86228" w14:paraId="61F0EFA8" w14:textId="77777777">
        <w:trPr>
          <w:trHeight w:val="300"/>
        </w:trPr>
        <w:tc>
          <w:tcPr>
            <w:tcW w:w="2550" w:type="dxa"/>
          </w:tcPr>
          <w:p w:rsidRPr="004922B7" w:rsidR="00E05BDB" w:rsidP="00E86228" w:rsidRDefault="00E05BDB" w14:paraId="09C14ADE" w14:textId="77777777">
            <w:pPr>
              <w:rPr>
                <w:rFonts w:cs="Verdana"/>
                <w:szCs w:val="18"/>
              </w:rPr>
            </w:pPr>
            <w:r w:rsidRPr="004922B7">
              <w:rPr>
                <w:rFonts w:cs="Verdana"/>
                <w:szCs w:val="18"/>
              </w:rPr>
              <w:t>Land</w:t>
            </w:r>
          </w:p>
        </w:tc>
        <w:tc>
          <w:tcPr>
            <w:tcW w:w="2280" w:type="dxa"/>
          </w:tcPr>
          <w:p w:rsidRPr="004922B7" w:rsidR="00E05BDB" w:rsidP="00E86228" w:rsidRDefault="00E05BDB" w14:paraId="5761E73D" w14:textId="77777777">
            <w:pPr>
              <w:rPr>
                <w:rFonts w:cs="Verdana"/>
                <w:szCs w:val="18"/>
              </w:rPr>
            </w:pPr>
            <w:r w:rsidRPr="004922B7">
              <w:rPr>
                <w:rFonts w:cs="Verdana"/>
                <w:szCs w:val="18"/>
              </w:rPr>
              <w:t>Gewogen gemiddeld invoedingstarief 2022 (€/MWh)</w:t>
            </w:r>
          </w:p>
        </w:tc>
      </w:tr>
      <w:tr w:rsidRPr="004922B7" w:rsidR="00E05BDB" w:rsidTr="00E86228" w14:paraId="2CADB910" w14:textId="77777777">
        <w:trPr>
          <w:trHeight w:val="300"/>
        </w:trPr>
        <w:tc>
          <w:tcPr>
            <w:tcW w:w="2550" w:type="dxa"/>
          </w:tcPr>
          <w:p w:rsidRPr="004922B7" w:rsidR="00E05BDB" w:rsidP="00E86228" w:rsidRDefault="00E05BDB" w14:paraId="7326EF26" w14:textId="77777777">
            <w:pPr>
              <w:rPr>
                <w:rFonts w:cs="Verdana"/>
                <w:szCs w:val="18"/>
              </w:rPr>
            </w:pPr>
            <w:r w:rsidRPr="004922B7">
              <w:rPr>
                <w:rFonts w:cs="Verdana"/>
                <w:szCs w:val="18"/>
              </w:rPr>
              <w:t>Nederland</w:t>
            </w:r>
          </w:p>
        </w:tc>
        <w:tc>
          <w:tcPr>
            <w:tcW w:w="2280" w:type="dxa"/>
          </w:tcPr>
          <w:p w:rsidRPr="004922B7" w:rsidR="00E05BDB" w:rsidP="00E86228" w:rsidRDefault="00E05BDB" w14:paraId="37B16CF5" w14:textId="77777777">
            <w:pPr>
              <w:rPr>
                <w:rFonts w:cs="Verdana"/>
                <w:szCs w:val="18"/>
              </w:rPr>
            </w:pPr>
            <w:r w:rsidRPr="004922B7">
              <w:rPr>
                <w:rFonts w:cs="Verdana"/>
                <w:szCs w:val="18"/>
              </w:rPr>
              <w:t>0,02</w:t>
            </w:r>
          </w:p>
        </w:tc>
      </w:tr>
      <w:tr w:rsidRPr="004922B7" w:rsidR="00E05BDB" w:rsidTr="00E86228" w14:paraId="0CF0464B" w14:textId="77777777">
        <w:trPr>
          <w:trHeight w:val="300"/>
        </w:trPr>
        <w:tc>
          <w:tcPr>
            <w:tcW w:w="2550" w:type="dxa"/>
          </w:tcPr>
          <w:p w:rsidRPr="004922B7" w:rsidR="00E05BDB" w:rsidP="00E86228" w:rsidRDefault="00E05BDB" w14:paraId="1FA16E49" w14:textId="77777777">
            <w:pPr>
              <w:rPr>
                <w:rFonts w:cs="Verdana"/>
                <w:szCs w:val="18"/>
              </w:rPr>
            </w:pPr>
            <w:r w:rsidRPr="004922B7">
              <w:rPr>
                <w:rFonts w:cs="Verdana"/>
                <w:szCs w:val="18"/>
              </w:rPr>
              <w:t>Duitsland</w:t>
            </w:r>
          </w:p>
        </w:tc>
        <w:tc>
          <w:tcPr>
            <w:tcW w:w="2280" w:type="dxa"/>
          </w:tcPr>
          <w:p w:rsidRPr="004922B7" w:rsidR="00E05BDB" w:rsidP="00E86228" w:rsidRDefault="00E05BDB" w14:paraId="0F10A756" w14:textId="77777777">
            <w:pPr>
              <w:rPr>
                <w:rFonts w:cs="Verdana"/>
                <w:szCs w:val="18"/>
              </w:rPr>
            </w:pPr>
            <w:r w:rsidRPr="004922B7">
              <w:rPr>
                <w:rFonts w:cs="Verdana"/>
                <w:szCs w:val="18"/>
              </w:rPr>
              <w:t>0,00</w:t>
            </w:r>
          </w:p>
        </w:tc>
      </w:tr>
      <w:tr w:rsidRPr="004922B7" w:rsidR="00E05BDB" w:rsidTr="00E86228" w14:paraId="5E0D60B6" w14:textId="77777777">
        <w:trPr>
          <w:trHeight w:val="300"/>
        </w:trPr>
        <w:tc>
          <w:tcPr>
            <w:tcW w:w="2550" w:type="dxa"/>
          </w:tcPr>
          <w:p w:rsidRPr="004922B7" w:rsidR="00E05BDB" w:rsidP="00E86228" w:rsidRDefault="00E05BDB" w14:paraId="78C559A0" w14:textId="77777777">
            <w:pPr>
              <w:rPr>
                <w:rFonts w:cs="Verdana"/>
                <w:szCs w:val="18"/>
              </w:rPr>
            </w:pPr>
            <w:r w:rsidRPr="004922B7">
              <w:rPr>
                <w:rFonts w:cs="Verdana"/>
                <w:szCs w:val="18"/>
              </w:rPr>
              <w:t>België</w:t>
            </w:r>
          </w:p>
        </w:tc>
        <w:tc>
          <w:tcPr>
            <w:tcW w:w="2280" w:type="dxa"/>
          </w:tcPr>
          <w:p w:rsidRPr="004922B7" w:rsidR="00E05BDB" w:rsidP="00E86228" w:rsidRDefault="00E05BDB" w14:paraId="460C39AC" w14:textId="77777777">
            <w:pPr>
              <w:rPr>
                <w:rFonts w:cs="Verdana"/>
                <w:szCs w:val="18"/>
              </w:rPr>
            </w:pPr>
            <w:r w:rsidRPr="004922B7">
              <w:rPr>
                <w:rFonts w:cs="Verdana"/>
                <w:szCs w:val="18"/>
              </w:rPr>
              <w:t>0,62</w:t>
            </w:r>
          </w:p>
        </w:tc>
      </w:tr>
      <w:tr w:rsidRPr="004922B7" w:rsidR="00E05BDB" w:rsidTr="00E86228" w14:paraId="43D15D0B" w14:textId="77777777">
        <w:trPr>
          <w:trHeight w:val="300"/>
        </w:trPr>
        <w:tc>
          <w:tcPr>
            <w:tcW w:w="2550" w:type="dxa"/>
          </w:tcPr>
          <w:p w:rsidRPr="004922B7" w:rsidR="00E05BDB" w:rsidP="00E86228" w:rsidRDefault="00E05BDB" w14:paraId="42440F2B" w14:textId="77777777">
            <w:pPr>
              <w:rPr>
                <w:rFonts w:cs="Verdana"/>
                <w:szCs w:val="18"/>
              </w:rPr>
            </w:pPr>
            <w:r w:rsidRPr="004922B7">
              <w:rPr>
                <w:rFonts w:cs="Verdana"/>
                <w:szCs w:val="18"/>
              </w:rPr>
              <w:t>Verenigd Koninkrijk</w:t>
            </w:r>
          </w:p>
        </w:tc>
        <w:tc>
          <w:tcPr>
            <w:tcW w:w="2280" w:type="dxa"/>
          </w:tcPr>
          <w:p w:rsidRPr="004922B7" w:rsidR="00E05BDB" w:rsidP="00E86228" w:rsidRDefault="00E05BDB" w14:paraId="4806B16C" w14:textId="77777777">
            <w:pPr>
              <w:rPr>
                <w:rFonts w:cs="Verdana"/>
                <w:szCs w:val="18"/>
              </w:rPr>
            </w:pPr>
            <w:r w:rsidRPr="004922B7">
              <w:rPr>
                <w:rFonts w:cs="Verdana"/>
                <w:szCs w:val="18"/>
              </w:rPr>
              <w:t>18,99</w:t>
            </w:r>
          </w:p>
        </w:tc>
      </w:tr>
      <w:tr w:rsidRPr="004922B7" w:rsidR="00E05BDB" w:rsidTr="00E86228" w14:paraId="3CE4E4D4" w14:textId="77777777">
        <w:trPr>
          <w:trHeight w:val="300"/>
        </w:trPr>
        <w:tc>
          <w:tcPr>
            <w:tcW w:w="2550" w:type="dxa"/>
          </w:tcPr>
          <w:p w:rsidRPr="004922B7" w:rsidR="00E05BDB" w:rsidP="00E86228" w:rsidRDefault="00E05BDB" w14:paraId="51EB3C8C" w14:textId="77777777">
            <w:pPr>
              <w:rPr>
                <w:rFonts w:cs="Verdana"/>
                <w:szCs w:val="18"/>
              </w:rPr>
            </w:pPr>
            <w:r w:rsidRPr="004922B7">
              <w:rPr>
                <w:rFonts w:cs="Verdana"/>
                <w:szCs w:val="18"/>
              </w:rPr>
              <w:t>Noorwegen</w:t>
            </w:r>
          </w:p>
        </w:tc>
        <w:tc>
          <w:tcPr>
            <w:tcW w:w="2280" w:type="dxa"/>
          </w:tcPr>
          <w:p w:rsidRPr="004922B7" w:rsidR="00E05BDB" w:rsidP="00E86228" w:rsidRDefault="00E05BDB" w14:paraId="487EA0A0" w14:textId="77777777">
            <w:pPr>
              <w:rPr>
                <w:rFonts w:cs="Verdana"/>
                <w:szCs w:val="18"/>
              </w:rPr>
            </w:pPr>
            <w:r w:rsidRPr="004922B7">
              <w:rPr>
                <w:rFonts w:cs="Verdana"/>
                <w:szCs w:val="18"/>
              </w:rPr>
              <w:t>2,50</w:t>
            </w:r>
          </w:p>
        </w:tc>
      </w:tr>
      <w:tr w:rsidRPr="004922B7" w:rsidR="00E05BDB" w:rsidTr="00E86228" w14:paraId="739CAE76" w14:textId="77777777">
        <w:trPr>
          <w:trHeight w:val="300"/>
        </w:trPr>
        <w:tc>
          <w:tcPr>
            <w:tcW w:w="2550" w:type="dxa"/>
          </w:tcPr>
          <w:p w:rsidRPr="004922B7" w:rsidR="00E05BDB" w:rsidP="00E86228" w:rsidRDefault="00E05BDB" w14:paraId="342B7687" w14:textId="77777777">
            <w:pPr>
              <w:rPr>
                <w:rFonts w:cs="Verdana"/>
                <w:szCs w:val="18"/>
              </w:rPr>
            </w:pPr>
            <w:r w:rsidRPr="004922B7">
              <w:rPr>
                <w:rFonts w:cs="Verdana"/>
                <w:szCs w:val="18"/>
              </w:rPr>
              <w:t>Denemarken</w:t>
            </w:r>
          </w:p>
        </w:tc>
        <w:tc>
          <w:tcPr>
            <w:tcW w:w="2280" w:type="dxa"/>
          </w:tcPr>
          <w:p w:rsidRPr="004922B7" w:rsidR="00E05BDB" w:rsidP="00E86228" w:rsidRDefault="00E05BDB" w14:paraId="026EE6E6" w14:textId="77777777">
            <w:pPr>
              <w:rPr>
                <w:rFonts w:cs="Verdana"/>
                <w:szCs w:val="18"/>
              </w:rPr>
            </w:pPr>
            <w:r w:rsidRPr="004922B7">
              <w:rPr>
                <w:rFonts w:cs="Verdana"/>
                <w:szCs w:val="18"/>
              </w:rPr>
              <w:t>0,55</w:t>
            </w:r>
          </w:p>
        </w:tc>
      </w:tr>
    </w:tbl>
    <w:p w:rsidRPr="004922B7" w:rsidR="00E05BDB" w:rsidP="00E05BDB" w:rsidRDefault="00E05BDB" w14:paraId="5CDDEBD0" w14:textId="77777777">
      <w:pPr>
        <w:rPr>
          <w:rFonts w:cs="Verdana"/>
          <w:szCs w:val="18"/>
        </w:rPr>
      </w:pPr>
    </w:p>
    <w:p w:rsidRPr="004922B7" w:rsidR="00E05BDB" w:rsidP="00E05BDB" w:rsidRDefault="00E05BDB" w14:paraId="48AC8093" w14:textId="77777777">
      <w:pPr>
        <w:rPr>
          <w:rFonts w:cs="Verdana"/>
          <w:szCs w:val="18"/>
        </w:rPr>
      </w:pPr>
      <w:r w:rsidRPr="004922B7">
        <w:rPr>
          <w:rFonts w:cs="Verdana"/>
          <w:szCs w:val="18"/>
        </w:rPr>
        <w:t>Bij deze cijfers wordt het volgende opgemerkt:</w:t>
      </w:r>
    </w:p>
    <w:p w:rsidRPr="004922B7" w:rsidR="00E05BDB" w:rsidP="00E05BDB" w:rsidRDefault="00E05BDB" w14:paraId="1CCD6477" w14:textId="77777777">
      <w:pPr>
        <w:numPr>
          <w:ilvl w:val="0"/>
          <w:numId w:val="1"/>
        </w:numPr>
        <w:spacing w:after="0" w:line="240" w:lineRule="atLeast"/>
        <w:rPr>
          <w:rFonts w:cs="Verdana"/>
          <w:szCs w:val="18"/>
        </w:rPr>
      </w:pPr>
      <w:r w:rsidRPr="004922B7">
        <w:rPr>
          <w:rFonts w:cs="Verdana"/>
          <w:szCs w:val="18"/>
        </w:rPr>
        <w:lastRenderedPageBreak/>
        <w:t xml:space="preserve">De peildatum voor deze cijfers is 2022. Het is dus mogelijk dat de hoogte van de invoedtarieven in deze landen ondertussen is gewijzigd. Dit zou om nader onderzoek vragen. Bekend is niettemin dat in België een invoedingstarief van €1,05/MWh is vastgesteld voor de periode 2024-2027. In Duitsland bestaat (nog) geen invoedingstarief. </w:t>
      </w:r>
    </w:p>
    <w:p w:rsidRPr="004922B7" w:rsidR="00E05BDB" w:rsidP="00E05BDB" w:rsidRDefault="00E05BDB" w14:paraId="0E93F3A3" w14:textId="77777777">
      <w:pPr>
        <w:numPr>
          <w:ilvl w:val="0"/>
          <w:numId w:val="1"/>
        </w:numPr>
        <w:spacing w:after="0" w:line="240" w:lineRule="atLeast"/>
        <w:rPr>
          <w:rFonts w:cs="Verdana"/>
          <w:szCs w:val="18"/>
        </w:rPr>
      </w:pPr>
      <w:r w:rsidRPr="004922B7">
        <w:rPr>
          <w:rFonts w:cs="Verdana"/>
          <w:szCs w:val="18"/>
        </w:rPr>
        <w:t xml:space="preserve">De internationale verschillen in invoedtarieven zijn onder andere </w:t>
      </w:r>
      <w:r>
        <w:rPr>
          <w:rFonts w:cs="Verdana"/>
          <w:szCs w:val="18"/>
        </w:rPr>
        <w:t xml:space="preserve">het </w:t>
      </w:r>
      <w:r w:rsidRPr="004922B7">
        <w:rPr>
          <w:rFonts w:cs="Verdana"/>
          <w:szCs w:val="18"/>
        </w:rPr>
        <w:t xml:space="preserve">resultaat van sterk uiteenlopende nationale tariefstructuren en beleidskeuzes. In het Verenigd Koninkrijk bijvoorbeeld zijn andere kostenposten onderdeel van de nettarieven en wordt </w:t>
      </w:r>
      <w:r>
        <w:rPr>
          <w:rFonts w:cs="Verdana"/>
          <w:szCs w:val="18"/>
        </w:rPr>
        <w:t>–</w:t>
      </w:r>
      <w:r w:rsidRPr="004922B7">
        <w:rPr>
          <w:rFonts w:cs="Verdana"/>
          <w:szCs w:val="18"/>
        </w:rPr>
        <w:t xml:space="preserve"> bijvoorbeeld</w:t>
      </w:r>
      <w:r>
        <w:rPr>
          <w:rFonts w:cs="Verdana"/>
          <w:szCs w:val="18"/>
        </w:rPr>
        <w:t xml:space="preserve"> </w:t>
      </w:r>
      <w:r w:rsidRPr="004922B7">
        <w:rPr>
          <w:rFonts w:cs="Verdana"/>
          <w:szCs w:val="18"/>
        </w:rPr>
        <w:t xml:space="preserve">– ook een deel van de balanceringskosten via de nettarieven bij producenten belegd. In België is sprake van uiteenlopende nettariefstructuren bij verschillende, regionale netbeheerders, als gevolg van uiteenlopende regulering van Wallonië, Vlaanderen en Brussel. </w:t>
      </w:r>
    </w:p>
    <w:p w:rsidRPr="004922B7" w:rsidR="00E05BDB" w:rsidP="00E05BDB" w:rsidRDefault="00E05BDB" w14:paraId="5CF675DA" w14:textId="77777777">
      <w:pPr>
        <w:numPr>
          <w:ilvl w:val="0"/>
          <w:numId w:val="1"/>
        </w:numPr>
        <w:spacing w:after="0" w:line="240" w:lineRule="atLeast"/>
        <w:rPr>
          <w:rFonts w:cs="Verdana"/>
          <w:szCs w:val="18"/>
        </w:rPr>
      </w:pPr>
      <w:r w:rsidRPr="004922B7">
        <w:rPr>
          <w:rFonts w:cs="Verdana"/>
          <w:szCs w:val="18"/>
        </w:rPr>
        <w:t xml:space="preserve">In veel lidstaten is ook sprake van ontheffing of verbijzondering van het invoedingstarief voor bepaalde (typen) producenten. Dit maakt één-op-één vergelijkingen ingewikkeld. </w:t>
      </w:r>
    </w:p>
    <w:p w:rsidRPr="004922B7" w:rsidR="00E05BDB" w:rsidP="00E05BDB" w:rsidRDefault="00E05BDB" w14:paraId="76140A87" w14:textId="77777777">
      <w:pPr>
        <w:rPr>
          <w:rFonts w:cs="Verdana"/>
          <w:szCs w:val="18"/>
        </w:rPr>
      </w:pPr>
      <w:r w:rsidRPr="004922B7">
        <w:rPr>
          <w:rFonts w:cs="Verdana"/>
          <w:szCs w:val="18"/>
        </w:rPr>
        <w:t xml:space="preserve">Zoals uitgewerkt in de antwoorden op vraag 8 </w:t>
      </w:r>
      <w:r>
        <w:rPr>
          <w:rFonts w:cs="Verdana"/>
          <w:szCs w:val="18"/>
        </w:rPr>
        <w:t>heeft het kabinet</w:t>
      </w:r>
      <w:r w:rsidRPr="004922B7">
        <w:rPr>
          <w:rFonts w:cs="Verdana"/>
          <w:szCs w:val="18"/>
        </w:rPr>
        <w:t xml:space="preserve"> geen formele rol bij het vormgeven van de tariefregulering. In gesprek met </w:t>
      </w:r>
      <w:r>
        <w:rPr>
          <w:rFonts w:cs="Verdana"/>
          <w:szCs w:val="18"/>
        </w:rPr>
        <w:t xml:space="preserve">de </w:t>
      </w:r>
      <w:r w:rsidRPr="004922B7">
        <w:rPr>
          <w:rFonts w:cs="Verdana"/>
          <w:szCs w:val="18"/>
        </w:rPr>
        <w:t xml:space="preserve">ACM </w:t>
      </w:r>
      <w:r>
        <w:rPr>
          <w:rFonts w:cs="Verdana"/>
          <w:szCs w:val="18"/>
        </w:rPr>
        <w:t>heeft het kabinet de</w:t>
      </w:r>
      <w:r w:rsidRPr="004922B7">
        <w:rPr>
          <w:rFonts w:cs="Verdana"/>
          <w:szCs w:val="18"/>
        </w:rPr>
        <w:t xml:space="preserve"> nadelige gevolgen die een invoedingstarief kan hebben op de energiemarkt benadrukt en haar verzocht daar zo veel mogelijk rekening mee te houden. </w:t>
      </w:r>
    </w:p>
    <w:p w:rsidRPr="004922B7" w:rsidR="00E05BDB" w:rsidP="00E05BDB" w:rsidRDefault="00E05BDB" w14:paraId="79E4D12E" w14:textId="77777777">
      <w:pPr>
        <w:rPr>
          <w:rFonts w:cs="Verdana"/>
          <w:szCs w:val="18"/>
        </w:rPr>
      </w:pPr>
      <w:r w:rsidRPr="004922B7">
        <w:rPr>
          <w:rFonts w:cs="Verdana"/>
          <w:szCs w:val="18"/>
        </w:rPr>
        <w:t xml:space="preserve"> </w:t>
      </w:r>
    </w:p>
    <w:p w:rsidR="00E05BDB" w:rsidP="00E05BDB" w:rsidRDefault="00E05BDB" w14:paraId="5A39C087" w14:textId="77777777">
      <w:pPr>
        <w:rPr>
          <w:rFonts w:cs="Verdana"/>
          <w:szCs w:val="18"/>
        </w:rPr>
      </w:pPr>
      <w:r w:rsidRPr="004922B7">
        <w:rPr>
          <w:rFonts w:cs="Verdana"/>
          <w:szCs w:val="18"/>
        </w:rPr>
        <w:t>13</w:t>
      </w:r>
    </w:p>
    <w:p w:rsidRPr="004922B7" w:rsidR="00E05BDB" w:rsidP="00E05BDB" w:rsidRDefault="00E05BDB" w14:paraId="749BEDC1" w14:textId="77777777">
      <w:pPr>
        <w:rPr>
          <w:rFonts w:cs="Verdana"/>
          <w:b/>
          <w:bCs/>
          <w:szCs w:val="18"/>
        </w:rPr>
      </w:pPr>
      <w:r w:rsidRPr="004922B7">
        <w:rPr>
          <w:rFonts w:cs="Verdana"/>
          <w:szCs w:val="18"/>
        </w:rPr>
        <w:t>Als u erkent dat de maatschappelijke en budgettaire gevolgen groot kunnen zijn, bent u dan bereid het wettelijk kader zo aan te passen dat dit type tariefwijziging niet kan worden doorgezet?</w:t>
      </w:r>
    </w:p>
    <w:p w:rsidRPr="004922B7" w:rsidR="00E05BDB" w:rsidP="00E05BDB" w:rsidRDefault="00E05BDB" w14:paraId="1CFD08D7" w14:textId="77777777">
      <w:pPr>
        <w:rPr>
          <w:rFonts w:cs="Verdana"/>
          <w:szCs w:val="18"/>
        </w:rPr>
      </w:pPr>
    </w:p>
    <w:p w:rsidRPr="004922B7" w:rsidR="00E05BDB" w:rsidP="00E05BDB" w:rsidRDefault="00E05BDB" w14:paraId="3248E02C" w14:textId="77777777">
      <w:pPr>
        <w:rPr>
          <w:rFonts w:cs="Verdana"/>
          <w:b/>
          <w:bCs/>
          <w:szCs w:val="18"/>
        </w:rPr>
      </w:pPr>
      <w:r w:rsidRPr="004922B7">
        <w:rPr>
          <w:rFonts w:cs="Verdana"/>
          <w:szCs w:val="18"/>
        </w:rPr>
        <w:t>Antwoord</w:t>
      </w:r>
    </w:p>
    <w:p w:rsidRPr="009A65DE" w:rsidR="00E05BDB" w:rsidP="00E05BDB" w:rsidRDefault="00E05BDB" w14:paraId="30CCB713" w14:textId="77777777">
      <w:pPr>
        <w:rPr>
          <w:rFonts w:cs="Verdana"/>
          <w:szCs w:val="18"/>
        </w:rPr>
      </w:pPr>
      <w:r w:rsidRPr="004922B7">
        <w:rPr>
          <w:rFonts w:cs="Verdana"/>
          <w:szCs w:val="18"/>
        </w:rPr>
        <w:t>Zoals blijkt uit het antwoord op vragen 8 en 12 staat het nationale wettelijk kader dit niet toe. Het Europese wettelijk kader biedt daar ook geen ruimte voor. De Europese Elektriciteitsrichtlijn schrijft dwingend voor dat de onafhankelijke nationale regulerende instantie, in Nederland de ACM, exclusief bevoegd moet zijn om de tarieven of tariefreguleringsmethode en de tariefstructuren van netbeheerders vast te stellen of goed te keuren. Daarbij mag de onafhankelijke nationale regulerende instantie geen instructies verlangen of ontvangen van regeringen of andere publieke of private partijen, waaronder ook de nationale wetgever. Dat heeft het Europese Hof van Justitie in een aantal uitspraken in 2020 en 2021 nog eens bevestigd.</w:t>
      </w:r>
    </w:p>
    <w:p w:rsidR="002C3023" w:rsidRDefault="002C3023" w14:paraId="38982B7F" w14:textId="77777777"/>
    <w:sectPr w:rsidR="002C3023" w:rsidSect="00E05BD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1675" w14:textId="77777777" w:rsidR="00E05BDB" w:rsidRDefault="00E05BDB" w:rsidP="00E05BDB">
      <w:pPr>
        <w:spacing w:after="0" w:line="240" w:lineRule="auto"/>
      </w:pPr>
      <w:r>
        <w:separator/>
      </w:r>
    </w:p>
  </w:endnote>
  <w:endnote w:type="continuationSeparator" w:id="0">
    <w:p w14:paraId="11B71CAC" w14:textId="77777777" w:rsidR="00E05BDB" w:rsidRDefault="00E05BDB" w:rsidP="00E05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0FB2" w14:textId="77777777" w:rsidR="00E05BDB" w:rsidRPr="00E05BDB" w:rsidRDefault="00E05BDB" w:rsidP="00E05B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B049" w14:textId="77777777" w:rsidR="00E05BDB" w:rsidRPr="00E05BDB" w:rsidRDefault="00E05BDB" w:rsidP="00E05B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6A71" w14:textId="77777777" w:rsidR="00E05BDB" w:rsidRPr="00E05BDB" w:rsidRDefault="00E05BDB" w:rsidP="00E0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2331" w14:textId="77777777" w:rsidR="00E05BDB" w:rsidRDefault="00E05BDB" w:rsidP="00E05BDB">
      <w:pPr>
        <w:spacing w:after="0" w:line="240" w:lineRule="auto"/>
      </w:pPr>
      <w:r>
        <w:separator/>
      </w:r>
    </w:p>
  </w:footnote>
  <w:footnote w:type="continuationSeparator" w:id="0">
    <w:p w14:paraId="7BA29B8C" w14:textId="77777777" w:rsidR="00E05BDB" w:rsidRDefault="00E05BDB" w:rsidP="00E05BDB">
      <w:pPr>
        <w:spacing w:after="0" w:line="240" w:lineRule="auto"/>
      </w:pPr>
      <w:r>
        <w:continuationSeparator/>
      </w:r>
    </w:p>
  </w:footnote>
  <w:footnote w:id="1">
    <w:p w14:paraId="65903F5E" w14:textId="77777777" w:rsidR="00E05BDB" w:rsidRDefault="00E05BDB" w:rsidP="00E05BDB">
      <w:pPr>
        <w:pStyle w:val="Voetnoottekst"/>
      </w:pPr>
      <w:r w:rsidRPr="53BB2384">
        <w:rPr>
          <w:rStyle w:val="Voetnootmarkering"/>
          <w:lang w:val="en-US"/>
        </w:rPr>
        <w:footnoteRef/>
      </w:r>
      <w:r w:rsidRPr="53BB2384">
        <w:rPr>
          <w:lang w:val="en-US"/>
        </w:rPr>
        <w:t xml:space="preserve"> ACER (2025), Getting the price signals right: Electricity network tariff methodologies in Europe, 26 maart 2025. Beschikbaar via: https://www.acer.europa.eu/news/getting-price-signals-right-fair-and-cost-reflective-electricity-network-tariffs; Sia Partners &amp; Elia (2023), Dynamic and injection tariffs benchmark, 14 februari 2023. </w:t>
      </w:r>
      <w:r w:rsidRPr="001832A6">
        <w:t>Beschikbaar via: https://www.elia.be/-/media/project/elia/elia-site/public-consultations/2023/20230214_annexe1_bijlage1-siapartners_elia_dynamic-and-injection-tariffs-benchmark.pdf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62F1" w14:textId="77777777" w:rsidR="00E05BDB" w:rsidRPr="00E05BDB" w:rsidRDefault="00E05BDB" w:rsidP="00E05B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708" w14:textId="77777777" w:rsidR="00E05BDB" w:rsidRPr="00E05BDB" w:rsidRDefault="00E05BDB" w:rsidP="00E05B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24C2" w14:textId="77777777" w:rsidR="00E05BDB" w:rsidRPr="00E05BDB" w:rsidRDefault="00E05BDB" w:rsidP="00E05B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7E03E"/>
    <w:multiLevelType w:val="hybridMultilevel"/>
    <w:tmpl w:val="FFFFFFFF"/>
    <w:lvl w:ilvl="0" w:tplc="F68619D8">
      <w:start w:val="1"/>
      <w:numFmt w:val="bullet"/>
      <w:lvlText w:val=""/>
      <w:lvlJc w:val="left"/>
      <w:pPr>
        <w:ind w:left="360" w:hanging="360"/>
      </w:pPr>
      <w:rPr>
        <w:rFonts w:ascii="Symbol" w:hAnsi="Symbol" w:hint="default"/>
      </w:rPr>
    </w:lvl>
    <w:lvl w:ilvl="1" w:tplc="C714E78C">
      <w:start w:val="1"/>
      <w:numFmt w:val="bullet"/>
      <w:lvlText w:val="o"/>
      <w:lvlJc w:val="left"/>
      <w:pPr>
        <w:ind w:left="1080" w:hanging="360"/>
      </w:pPr>
      <w:rPr>
        <w:rFonts w:ascii="Courier New" w:hAnsi="Courier New" w:hint="default"/>
      </w:rPr>
    </w:lvl>
    <w:lvl w:ilvl="2" w:tplc="9EF00BD4">
      <w:start w:val="1"/>
      <w:numFmt w:val="bullet"/>
      <w:lvlText w:val=""/>
      <w:lvlJc w:val="left"/>
      <w:pPr>
        <w:ind w:left="1800" w:hanging="360"/>
      </w:pPr>
      <w:rPr>
        <w:rFonts w:ascii="Wingdings" w:hAnsi="Wingdings" w:hint="default"/>
      </w:rPr>
    </w:lvl>
    <w:lvl w:ilvl="3" w:tplc="3A90052E">
      <w:start w:val="1"/>
      <w:numFmt w:val="bullet"/>
      <w:lvlText w:val=""/>
      <w:lvlJc w:val="left"/>
      <w:pPr>
        <w:ind w:left="2520" w:hanging="360"/>
      </w:pPr>
      <w:rPr>
        <w:rFonts w:ascii="Symbol" w:hAnsi="Symbol" w:hint="default"/>
      </w:rPr>
    </w:lvl>
    <w:lvl w:ilvl="4" w:tplc="058C183C">
      <w:start w:val="1"/>
      <w:numFmt w:val="bullet"/>
      <w:lvlText w:val="o"/>
      <w:lvlJc w:val="left"/>
      <w:pPr>
        <w:ind w:left="3240" w:hanging="360"/>
      </w:pPr>
      <w:rPr>
        <w:rFonts w:ascii="Courier New" w:hAnsi="Courier New" w:hint="default"/>
      </w:rPr>
    </w:lvl>
    <w:lvl w:ilvl="5" w:tplc="29E6CBD4">
      <w:start w:val="1"/>
      <w:numFmt w:val="bullet"/>
      <w:lvlText w:val=""/>
      <w:lvlJc w:val="left"/>
      <w:pPr>
        <w:ind w:left="3960" w:hanging="360"/>
      </w:pPr>
      <w:rPr>
        <w:rFonts w:ascii="Wingdings" w:hAnsi="Wingdings" w:hint="default"/>
      </w:rPr>
    </w:lvl>
    <w:lvl w:ilvl="6" w:tplc="1234A902">
      <w:start w:val="1"/>
      <w:numFmt w:val="bullet"/>
      <w:lvlText w:val=""/>
      <w:lvlJc w:val="left"/>
      <w:pPr>
        <w:ind w:left="4680" w:hanging="360"/>
      </w:pPr>
      <w:rPr>
        <w:rFonts w:ascii="Symbol" w:hAnsi="Symbol" w:hint="default"/>
      </w:rPr>
    </w:lvl>
    <w:lvl w:ilvl="7" w:tplc="42AADD48">
      <w:start w:val="1"/>
      <w:numFmt w:val="bullet"/>
      <w:lvlText w:val="o"/>
      <w:lvlJc w:val="left"/>
      <w:pPr>
        <w:ind w:left="5400" w:hanging="360"/>
      </w:pPr>
      <w:rPr>
        <w:rFonts w:ascii="Courier New" w:hAnsi="Courier New" w:hint="default"/>
      </w:rPr>
    </w:lvl>
    <w:lvl w:ilvl="8" w:tplc="D3FE42F8">
      <w:start w:val="1"/>
      <w:numFmt w:val="bullet"/>
      <w:lvlText w:val=""/>
      <w:lvlJc w:val="left"/>
      <w:pPr>
        <w:ind w:left="6120" w:hanging="360"/>
      </w:pPr>
      <w:rPr>
        <w:rFonts w:ascii="Wingdings" w:hAnsi="Wingdings" w:hint="default"/>
      </w:rPr>
    </w:lvl>
  </w:abstractNum>
  <w:num w:numId="1" w16cid:durableId="17997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DB"/>
    <w:rsid w:val="002C3023"/>
    <w:rsid w:val="004A009C"/>
    <w:rsid w:val="00DF7A30"/>
    <w:rsid w:val="00E05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14A1"/>
  <w15:chartTrackingRefBased/>
  <w15:docId w15:val="{5CF78905-BC7E-432C-8AD2-CECDF2E0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B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B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B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B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B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B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B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B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B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B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B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B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B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B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B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BDB"/>
    <w:rPr>
      <w:rFonts w:eastAsiaTheme="majorEastAsia" w:cstheme="majorBidi"/>
      <w:color w:val="272727" w:themeColor="text1" w:themeTint="D8"/>
    </w:rPr>
  </w:style>
  <w:style w:type="paragraph" w:styleId="Titel">
    <w:name w:val="Title"/>
    <w:basedOn w:val="Standaard"/>
    <w:next w:val="Standaard"/>
    <w:link w:val="TitelChar"/>
    <w:uiPriority w:val="10"/>
    <w:qFormat/>
    <w:rsid w:val="00E05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B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B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B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B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BDB"/>
    <w:rPr>
      <w:i/>
      <w:iCs/>
      <w:color w:val="404040" w:themeColor="text1" w:themeTint="BF"/>
    </w:rPr>
  </w:style>
  <w:style w:type="paragraph" w:styleId="Lijstalinea">
    <w:name w:val="List Paragraph"/>
    <w:basedOn w:val="Standaard"/>
    <w:uiPriority w:val="34"/>
    <w:qFormat/>
    <w:rsid w:val="00E05BDB"/>
    <w:pPr>
      <w:ind w:left="720"/>
      <w:contextualSpacing/>
    </w:pPr>
  </w:style>
  <w:style w:type="character" w:styleId="Intensievebenadrukking">
    <w:name w:val="Intense Emphasis"/>
    <w:basedOn w:val="Standaardalinea-lettertype"/>
    <w:uiPriority w:val="21"/>
    <w:qFormat/>
    <w:rsid w:val="00E05BDB"/>
    <w:rPr>
      <w:i/>
      <w:iCs/>
      <w:color w:val="0F4761" w:themeColor="accent1" w:themeShade="BF"/>
    </w:rPr>
  </w:style>
  <w:style w:type="paragraph" w:styleId="Duidelijkcitaat">
    <w:name w:val="Intense Quote"/>
    <w:basedOn w:val="Standaard"/>
    <w:next w:val="Standaard"/>
    <w:link w:val="DuidelijkcitaatChar"/>
    <w:uiPriority w:val="30"/>
    <w:qFormat/>
    <w:rsid w:val="00E05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BDB"/>
    <w:rPr>
      <w:i/>
      <w:iCs/>
      <w:color w:val="0F4761" w:themeColor="accent1" w:themeShade="BF"/>
    </w:rPr>
  </w:style>
  <w:style w:type="character" w:styleId="Intensieveverwijzing">
    <w:name w:val="Intense Reference"/>
    <w:basedOn w:val="Standaardalinea-lettertype"/>
    <w:uiPriority w:val="32"/>
    <w:qFormat/>
    <w:rsid w:val="00E05BDB"/>
    <w:rPr>
      <w:b/>
      <w:bCs/>
      <w:smallCaps/>
      <w:color w:val="0F4761" w:themeColor="accent1" w:themeShade="BF"/>
      <w:spacing w:val="5"/>
    </w:rPr>
  </w:style>
  <w:style w:type="paragraph" w:styleId="Koptekst">
    <w:name w:val="header"/>
    <w:basedOn w:val="Standaard"/>
    <w:link w:val="KoptekstChar"/>
    <w:rsid w:val="00E05B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05BD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05B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05BD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05B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05BDB"/>
    <w:rPr>
      <w:rFonts w:ascii="Verdana" w:hAnsi="Verdana"/>
      <w:noProof/>
      <w:sz w:val="13"/>
      <w:szCs w:val="24"/>
      <w:lang w:eastAsia="nl-NL"/>
    </w:rPr>
  </w:style>
  <w:style w:type="paragraph" w:customStyle="1" w:styleId="Huisstijl-Gegeven">
    <w:name w:val="Huisstijl-Gegeven"/>
    <w:basedOn w:val="Standaard"/>
    <w:link w:val="Huisstijl-GegevenCharChar"/>
    <w:rsid w:val="00E05BD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05B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05BD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05BD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05BDB"/>
    <w:pPr>
      <w:spacing w:after="0"/>
    </w:pPr>
    <w:rPr>
      <w:b/>
    </w:rPr>
  </w:style>
  <w:style w:type="paragraph" w:customStyle="1" w:styleId="Huisstijl-Paginanummering">
    <w:name w:val="Huisstijl-Paginanummering"/>
    <w:basedOn w:val="Standaard"/>
    <w:rsid w:val="00E05BD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05BD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05BD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05BDB"/>
    <w:rPr>
      <w:rFonts w:ascii="Verdana" w:eastAsia="Times New Roman" w:hAnsi="Verdana" w:cs="Times New Roman"/>
      <w:kern w:val="0"/>
      <w:sz w:val="13"/>
      <w:szCs w:val="20"/>
      <w:lang w:eastAsia="nl-NL"/>
      <w14:ligatures w14:val="none"/>
    </w:rPr>
  </w:style>
  <w:style w:type="table" w:customStyle="1" w:styleId="Tabelraster1">
    <w:name w:val="Tabelraster1"/>
    <w:basedOn w:val="Standaardtabel"/>
    <w:next w:val="Tabelraster"/>
    <w:uiPriority w:val="59"/>
    <w:rsid w:val="00E05BDB"/>
    <w:pPr>
      <w:spacing w:after="0" w:line="240" w:lineRule="auto"/>
    </w:pPr>
    <w:rPr>
      <w:rFonts w:ascii="Aptos" w:eastAsia="Times New Roman" w:hAnsi="Aptos" w:cs="Times New Roman"/>
      <w:kern w:val="0"/>
      <w:sz w:val="24"/>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semiHidden/>
    <w:unhideWhenUsed/>
    <w:rsid w:val="00E05BDB"/>
    <w:rPr>
      <w:rFonts w:cs="Times New Roman"/>
      <w:vertAlign w:val="superscript"/>
    </w:rPr>
  </w:style>
  <w:style w:type="table" w:styleId="Tabelraster">
    <w:name w:val="Table Grid"/>
    <w:basedOn w:val="Standaardtabel"/>
    <w:uiPriority w:val="39"/>
    <w:rsid w:val="00E0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05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3022</ap:Words>
  <ap:Characters>16624</ap:Characters>
  <ap:DocSecurity>0</ap:DocSecurity>
  <ap:Lines>138</ap:Lines>
  <ap:Paragraphs>39</ap:Paragraphs>
  <ap:ScaleCrop>false</ap:ScaleCrop>
  <ap:LinksUpToDate>false</ap:LinksUpToDate>
  <ap:CharactersWithSpaces>19607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2026-02-16T09:30:00.0000000Z</dcterms:created>
  <dcterms:modified xsi:type="dcterms:W3CDTF">2026-02-16T09:32:00.0000000Z</dcterms:modified>
  <version/>
  <category/>
</coreProperties>
</file>