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2026Z03324</w:t>
        <w:br/>
      </w:r>
      <w:proofErr w:type="spellEnd"/>
    </w:p>
    <w:p>
      <w:pPr>
        <w:pStyle w:val="Normal"/>
        <w:rPr>
          <w:b w:val="1"/>
          <w:bCs w:val="1"/>
        </w:rPr>
      </w:pPr>
      <w:r w:rsidR="250AE766">
        <w:rPr>
          <w:b w:val="0"/>
          <w:bCs w:val="0"/>
        </w:rPr>
        <w:t>(ingezonden 16 februari 2026)</w:t>
        <w:br/>
      </w:r>
    </w:p>
    <w:p>
      <w:r>
        <w:t xml:space="preserve">Vragen van het lid Vermeer (BBB) aan de minister van Financiën over het verbod op contante betalingen boven de 3000 euro, zoals opgenomen in de wet plan van aanpak witwassen en de nadelige effecten van deze wetgeving in het bijzonder voor de exportsector.</w:t>
      </w:r>
      <w:r>
        <w:br/>
      </w:r>
    </w:p>
    <w:p>
      <w:r>
        <w:t xml:space="preserve"> </w:t>
      </w:r>
      <w:r>
        <w:br/>
      </w:r>
    </w:p>
    <w:p>
      <w:pPr>
        <w:pStyle w:val="ListParagraph"/>
        <w:numPr>
          <w:ilvl w:val="0"/>
          <w:numId w:val="100497560"/>
        </w:numPr>
        <w:ind w:left="360"/>
      </w:pPr>
      <w:r>
        <w:t xml:space="preserve">Is er op dit moment sprake van sectorale uitzonderingsposities binnen de goederenhandel?</w:t>
      </w:r>
      <w:r>
        <w:br/>
      </w:r>
    </w:p>
    <w:p>
      <w:pPr>
        <w:pStyle w:val="ListParagraph"/>
        <w:numPr>
          <w:ilvl w:val="0"/>
          <w:numId w:val="100497560"/>
        </w:numPr>
        <w:ind w:left="360"/>
      </w:pPr>
      <w:r>
        <w:t xml:space="preserve">Zijn er wat u betreft sectoren die vanwege het verbod op contante verkopen boven de 3.000 euro een verslechtering van hun concurrentiepositie ondervinden ten opzichte van Europese buurlanden? </w:t>
      </w:r>
      <w:r>
        <w:br/>
      </w:r>
    </w:p>
    <w:p>
      <w:pPr>
        <w:pStyle w:val="ListParagraph"/>
        <w:numPr>
          <w:ilvl w:val="0"/>
          <w:numId w:val="100497560"/>
        </w:numPr>
        <w:ind w:left="360"/>
      </w:pPr>
      <w:r>
        <w:t xml:space="preserve">Kunt u aangeven waarom er niet is gekozen voor uitzonderingsposities voor sectoren die gevoelig zijn voor een verslechtering van hun concurrentiepositie bij een verbod op contante betalingen boven de 3.000 euro?</w:t>
      </w:r>
      <w:r>
        <w:br/>
      </w:r>
    </w:p>
    <w:p>
      <w:pPr>
        <w:pStyle w:val="ListParagraph"/>
        <w:numPr>
          <w:ilvl w:val="0"/>
          <w:numId w:val="100497560"/>
        </w:numPr>
        <w:ind w:left="360"/>
      </w:pPr>
      <w:r>
        <w:t xml:space="preserve">Wat heeft u gedaan om de nadelige effecten voor Nederlandse sectoren die te maken hebben met contante betalingen bij verkoop zoveel mogelijk te minimaliseren?</w:t>
      </w:r>
      <w:r>
        <w:br/>
      </w:r>
    </w:p>
    <w:p>
      <w:pPr>
        <w:pStyle w:val="ListParagraph"/>
        <w:numPr>
          <w:ilvl w:val="0"/>
          <w:numId w:val="100497560"/>
        </w:numPr>
        <w:ind w:left="360"/>
      </w:pPr>
      <w:r>
        <w:t xml:space="preserve">Sinds de inwerkingtreding op 1 januari 2026 ervaren exportbedrijven volgens hun eigen signalen "gigantische problemen". Kunt u zich deze dreiging voor de bedrijfsvoering voorstellen en was u hiervan op de hoogte?</w:t>
      </w:r>
      <w:r>
        <w:br/>
      </w:r>
    </w:p>
    <w:p>
      <w:pPr>
        <w:pStyle w:val="ListParagraph"/>
        <w:numPr>
          <w:ilvl w:val="0"/>
          <w:numId w:val="100497560"/>
        </w:numPr>
        <w:ind w:left="360"/>
      </w:pPr>
      <w:r>
        <w:t xml:space="preserve">Hoe rechtvaardigt u dat de wet is ingevoerd zonder dat er voor de exportverkopen een werkbaar alternatief of uitzondering is gecreëerd?</w:t>
      </w:r>
      <w:r>
        <w:br/>
      </w:r>
    </w:p>
    <w:p>
      <w:pPr>
        <w:pStyle w:val="ListParagraph"/>
        <w:numPr>
          <w:ilvl w:val="0"/>
          <w:numId w:val="100497560"/>
        </w:numPr>
        <w:ind w:left="360"/>
      </w:pPr>
      <w:r>
        <w:t xml:space="preserve">Volgens de sector is er in uw reactie van 19 december 2025 voor gekozen om enkel een handreiking te doen op het gebied van aankopen buiten de EU, is deze lezing correct?</w:t>
      </w:r>
      <w:r>
        <w:br/>
      </w:r>
    </w:p>
    <w:p>
      <w:pPr>
        <w:pStyle w:val="ListParagraph"/>
        <w:numPr>
          <w:ilvl w:val="0"/>
          <w:numId w:val="100497560"/>
        </w:numPr>
        <w:ind w:left="360"/>
      </w:pPr>
      <w:r>
        <w:t xml:space="preserve">Bent u ervan op de hoogte dat het kernprobleem voor de exportsector in Nederland niet ligt bij de aankoop van goederen, maar juist bij de verkoop aan handelaren uit landen waar een digitale betaalinfrastructuur simpelweg niet bestaat of onbetrouwbaar is?</w:t>
      </w:r>
      <w:r>
        <w:br/>
      </w:r>
    </w:p>
    <w:p>
      <w:pPr>
        <w:pStyle w:val="ListParagraph"/>
        <w:numPr>
          <w:ilvl w:val="0"/>
          <w:numId w:val="100497560"/>
        </w:numPr>
        <w:ind w:left="360"/>
      </w:pPr>
      <w:r>
        <w:t xml:space="preserve">Bent u bereid verder met de exportsector (en andere kwetsbare sectoren) in gesprek te gaan over maatregelen om de nadelige effecten van het verbod op contante betalingen boven de 3.000 euro te beperken?</w:t>
      </w:r>
      <w:r>
        <w:br/>
      </w:r>
    </w:p>
    <w:p>
      <w:pPr>
        <w:pStyle w:val="ListParagraph"/>
        <w:numPr>
          <w:ilvl w:val="0"/>
          <w:numId w:val="100497560"/>
        </w:numPr>
        <w:ind w:left="360"/>
      </w:pPr>
      <w:r>
        <w:t xml:space="preserve">Wilt u deze vragen afzonderlijk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