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3735" w:rsidR="00773735" w:rsidP="00773735" w:rsidRDefault="00C15452" w14:paraId="6BBD368F" w14:textId="4FB58A52">
      <w:pPr>
        <w:spacing w:after="160" w:line="240" w:lineRule="auto"/>
        <w:ind w:left="11" w:hanging="11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26</w:t>
      </w:r>
      <w:r w:rsidR="00773735">
        <w:rPr>
          <w:rFonts w:ascii="Calibri" w:hAnsi="Calibri" w:cs="Calibri"/>
          <w:sz w:val="22"/>
          <w:szCs w:val="22"/>
        </w:rPr>
        <w:t xml:space="preserve"> </w:t>
      </w:r>
      <w:r w:rsidRPr="00773735">
        <w:rPr>
          <w:rFonts w:ascii="Calibri" w:hAnsi="Calibri" w:cs="Calibri"/>
          <w:sz w:val="22"/>
          <w:szCs w:val="22"/>
        </w:rPr>
        <w:t>643</w:t>
      </w:r>
      <w:r w:rsidRPr="00773735" w:rsidR="00773735">
        <w:rPr>
          <w:rFonts w:ascii="Calibri" w:hAnsi="Calibri" w:cs="Calibri"/>
          <w:sz w:val="22"/>
          <w:szCs w:val="22"/>
        </w:rPr>
        <w:tab/>
      </w:r>
      <w:r w:rsidRPr="00773735" w:rsidR="00773735">
        <w:rPr>
          <w:rFonts w:ascii="Calibri" w:hAnsi="Calibri" w:cs="Calibri"/>
          <w:sz w:val="22"/>
          <w:szCs w:val="22"/>
        </w:rPr>
        <w:tab/>
        <w:t>Informatie- en communicatietechnologie (ICT)</w:t>
      </w:r>
    </w:p>
    <w:p w:rsidRPr="00773735" w:rsidR="00773735" w:rsidP="00773735" w:rsidRDefault="00773735" w14:paraId="532C2E9D" w14:textId="77777777">
      <w:pPr>
        <w:spacing w:after="160" w:line="240" w:lineRule="auto"/>
        <w:ind w:left="1410" w:hanging="1410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 xml:space="preserve">Nr. </w:t>
      </w:r>
      <w:r w:rsidRPr="00773735" w:rsidR="00C15452">
        <w:rPr>
          <w:rFonts w:ascii="Calibri" w:hAnsi="Calibri" w:cs="Calibri"/>
          <w:sz w:val="22"/>
          <w:szCs w:val="22"/>
        </w:rPr>
        <w:t>1491</w:t>
      </w:r>
      <w:r w:rsidRPr="00773735">
        <w:rPr>
          <w:rFonts w:ascii="Calibri" w:hAnsi="Calibri" w:cs="Calibri"/>
          <w:sz w:val="22"/>
          <w:szCs w:val="22"/>
        </w:rPr>
        <w:tab/>
        <w:t>Brief van de staatssecretaris van Binnenlandse Zaken en Koninkrijksrelaties</w:t>
      </w:r>
    </w:p>
    <w:p w:rsidRPr="00773735" w:rsidR="00773735" w:rsidP="00773735" w:rsidRDefault="00773735" w14:paraId="145B2B49" w14:textId="77777777">
      <w:pPr>
        <w:spacing w:after="160" w:line="240" w:lineRule="auto"/>
        <w:ind w:left="11" w:firstLine="0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773735" w:rsidR="00C15452" w:rsidP="00773735" w:rsidRDefault="00773735" w14:paraId="2612CCC4" w14:textId="46BCC330">
      <w:pPr>
        <w:spacing w:after="160" w:line="240" w:lineRule="auto"/>
        <w:ind w:left="11" w:hanging="11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Den Haag, 16 februari 2026</w:t>
      </w:r>
      <w:r w:rsidRPr="00773735" w:rsidR="00C15452">
        <w:rPr>
          <w:rFonts w:ascii="Calibri" w:hAnsi="Calibri" w:cs="Calibri"/>
          <w:sz w:val="22"/>
          <w:szCs w:val="22"/>
        </w:rPr>
        <w:br/>
      </w:r>
      <w:r w:rsidRPr="00773735" w:rsidR="00C15452">
        <w:rPr>
          <w:rFonts w:ascii="Calibri" w:hAnsi="Calibri" w:cs="Calibri"/>
          <w:sz w:val="22"/>
          <w:szCs w:val="22"/>
        </w:rPr>
        <w:br/>
        <w:t>Hierbij bied ik u ter informatie aan de Meting Informatieveiligheidsstandaarden</w:t>
      </w:r>
      <w:r>
        <w:rPr>
          <w:rFonts w:ascii="Calibri" w:hAnsi="Calibri" w:cs="Calibri"/>
          <w:sz w:val="22"/>
          <w:szCs w:val="22"/>
        </w:rPr>
        <w:t xml:space="preserve"> </w:t>
      </w:r>
      <w:r w:rsidRPr="00773735" w:rsidR="00C15452">
        <w:rPr>
          <w:rFonts w:ascii="Calibri" w:hAnsi="Calibri" w:cs="Calibri"/>
          <w:sz w:val="22"/>
          <w:szCs w:val="22"/>
        </w:rPr>
        <w:t>(begin 2025)</w:t>
      </w:r>
      <w:r w:rsidRPr="00773735" w:rsidR="00C15452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773735" w:rsidR="00C15452">
        <w:rPr>
          <w:rFonts w:ascii="Calibri" w:hAnsi="Calibri" w:cs="Calibri"/>
          <w:sz w:val="22"/>
          <w:szCs w:val="22"/>
        </w:rPr>
        <w:t xml:space="preserve"> en Monitor Open Standaarden 2025</w:t>
      </w:r>
      <w:r w:rsidRPr="00773735" w:rsidR="00C15452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773735" w:rsidR="00C15452">
        <w:rPr>
          <w:rFonts w:ascii="Calibri" w:hAnsi="Calibri" w:cs="Calibri"/>
          <w:sz w:val="22"/>
          <w:szCs w:val="22"/>
        </w:rPr>
        <w:t xml:space="preserve"> van het Forum Standaardisatie.</w:t>
      </w:r>
    </w:p>
    <w:p w:rsidRPr="00773735" w:rsidR="00C15452" w:rsidP="00773735" w:rsidRDefault="00C15452" w14:paraId="3A4631E7" w14:textId="1D8393A3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31F53553" w14:textId="65E15838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Forum Standaardisatie onderzoekt jaarlijks het gebruik van de standaarden van de 'Pas toe of leg uit'-lijst en voert ieder halfjaar een meting uit op de implementatie van informatieveiligheidstandaarden bij overheidsorganisaties.</w:t>
      </w:r>
    </w:p>
    <w:p w:rsidRPr="00773735" w:rsidR="00C15452" w:rsidP="00773735" w:rsidRDefault="00C15452" w14:paraId="270B72CB" w14:textId="11023A4F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773735" w:rsidP="00773735" w:rsidRDefault="00C15452" w14:paraId="54C2DAB9" w14:textId="524DC771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eastAsia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1C2531CC" wp14:anchorId="709EFE03">
                <wp:simplePos x="0" y="0"/>
                <wp:positionH relativeFrom="page">
                  <wp:posOffset>1007364</wp:posOffset>
                </wp:positionH>
                <wp:positionV relativeFrom="page">
                  <wp:posOffset>-79779</wp:posOffset>
                </wp:positionV>
                <wp:extent cx="40234" cy="111398"/>
                <wp:effectExtent l="0" t="0" r="0" b="0"/>
                <wp:wrapTopAndBottom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34" cy="111398"/>
                          <a:chOff x="0" y="0"/>
                          <a:chExt cx="40234" cy="1113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5452" w:rsidP="00C15452" w:rsidRDefault="00C15452" w14:paraId="5EDDC0A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7" style="position:absolute;left:0;text-align:left;margin-left:79.3pt;margin-top:-6.3pt;width:3.15pt;height:8.75pt;z-index:251660288;mso-position-horizontal-relative:page;mso-position-vertical-relative:page" coordsize="40234,1113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/m8gEAAFIEAAAOAAAAZHJzL2Uyb0RvYy54bWykVNtu2zAMfR+wfxD0vjjODakRpxjWNRgw&#10;rEW7foAiS7YBWRQkJXb29aPkS7cWGIruhaZEmjznmPTuumsUOQvratA5TWdzSoTmUNS6zOnTz9tP&#10;W0qcZ7pgCrTI6UU4er3/+GHXmkwsoAJVCEuwiHZZa3JaeW+yJHG8Eg1zMzBCY1CCbZjHoy2TwrIW&#10;qzcqWcznm6QFWxgLXDiHtzd9kO5jfSkF93dSOuGJyili89HaaI/BJvsdy0rLTFXzAQZ7B4qG1Rqb&#10;TqVumGfkZOtXpZqaW3Ag/YxDk4CUNReRA7JJ5y/YHCycTORSZm1pJplQ2hc6vbss/3E+WPNo7i0q&#10;0ZoStYinwKWTtglPREm6KNllkkx0nnC8XM0XyxUlHCNpmi6vtr2ivELZX73Eq6//ei0ZWyZ/AWkN&#10;joZ7Zu/+j/1jxYyIoroM2d9bUhc53VCiWYMD+oAjw3SpBNkEKqE5Zk0CucyhVm9VZ71cp+mgzmqb&#10;rq9CyYkmy4x1/iCgIcHJqcXecYrY+bvzfeqYEloqHayG21qpPhpuUK0RVfB8d+wG4EcoLsivAvvr&#10;DndUKmhzCoNHw9pi0xClRH3TqGvYkNGxo3McHevVF4h71MP4fPIg64gzNO67DXjwg0UvDm7kPCxZ&#10;2Iw/zzHr+Vew/w0AAP//AwBQSwMEFAAGAAgAAAAhAOryxhHfAAAACQEAAA8AAABkcnMvZG93bnJl&#10;di54bWxMj0FrwkAQhe+F/odlCr3pJrYGjdmISNuTFKqF0tuaHZNgdjZk1yT++46nepp5vMebb7L1&#10;aBvRY+drRwriaQQCqXCmplLB9+F9sgDhgyajG0eo4Ioe1vnjQ6ZT4wb6wn4fSsEl5FOtoAqhTaX0&#10;RYVW+6lrkdg7uc7qwLIrpen0wOW2kbMoSqTVNfGFSre4rbA47y9Wwcegh81L/Nbvzqft9fcw//zZ&#10;xajU89O4WYEIOIb/MNzwGR1yZjq6CxkvGtbzRcJRBZN4xsstkbwuQRwV8JB5Ju8/yP8AAAD//wMA&#10;UEsBAi0AFAAGAAgAAAAhALaDOJL+AAAA4QEAABMAAAAAAAAAAAAAAAAAAAAAAFtDb250ZW50X1R5&#10;cGVzXS54bWxQSwECLQAUAAYACAAAACEAOP0h/9YAAACUAQAACwAAAAAAAAAAAAAAAAAvAQAAX3Jl&#10;bHMvLnJlbHNQSwECLQAUAAYACAAAACEAZdBv5vIBAABSBAAADgAAAAAAAAAAAAAAAAAuAgAAZHJz&#10;L2Uyb0RvYy54bWxQSwECLQAUAAYACAAAACEA6vLGEd8AAAAJAQAADwAAAAAAAAAAAAAAAABMBAAA&#10;ZHJzL2Rvd25yZXYueG1sUEsFBgAAAAAEAAQA8wAAAFgFAAAAAA==&#10;" w14:anchorId="709EFE03">
                <v:rect id="Rectangle 6" style="position:absolute;width:53511;height:148159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C15452" w:rsidP="00C15452" w:rsidRDefault="00C15452" w14:paraId="5EDDC0A9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73735">
        <w:rPr>
          <w:rFonts w:ascii="Calibri" w:hAnsi="Calibri" w:cs="Calibri"/>
          <w:sz w:val="22"/>
          <w:szCs w:val="22"/>
        </w:rPr>
        <w:t>In zowel de Meting Informatieveligheidstandaarden als de Monitor Open Standaarden kunt u zien dat de gemaakte afspraken niet worden behaald.</w:t>
      </w:r>
    </w:p>
    <w:p w:rsidRPr="00773735" w:rsidR="00C15452" w:rsidP="00773735" w:rsidRDefault="00C15452" w14:paraId="0A2C999F" w14:textId="7E59C40B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Zoals in één van de onderzoeken wordt geconcludeerd: “de groei is er uit”.</w:t>
      </w:r>
    </w:p>
    <w:p w:rsidRPr="00773735" w:rsidR="00C15452" w:rsidP="00773735" w:rsidRDefault="00C15452" w14:paraId="6C0E3137" w14:textId="1B9608EE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7782FD9E" w14:textId="4A0A7584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Juist daarom zet ik vanuit de Nederlandse Digitaliseringsstrategie (NDS) in op een versterkte aanpak op het afspreken, invoeren en handhaven van (digitale) standaarden</w:t>
      </w:r>
      <w:r w:rsidRPr="00773735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773735">
        <w:rPr>
          <w:rFonts w:ascii="Calibri" w:hAnsi="Calibri" w:cs="Calibri"/>
          <w:sz w:val="22"/>
          <w:szCs w:val="22"/>
        </w:rPr>
        <w:t>, inclusief ondersteuning bij het invoeren daarvan.</w:t>
      </w:r>
    </w:p>
    <w:p w:rsidRPr="00773735" w:rsidR="00C15452" w:rsidP="00773735" w:rsidRDefault="00C15452" w14:paraId="7748934D" w14:textId="5A1F12A2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De concrete invulling van deze ondersteuning wordt momenteel uitgewerkt binnen het NDS-uitvoeringsprogramma. Een aantal aspecten binnen deze NDS interventie krijgt al een steeds duidelijker vorm, zoals de implementatieondersteuning.</w:t>
      </w:r>
    </w:p>
    <w:p w:rsidRPr="00773735" w:rsidR="00C15452" w:rsidP="00773735" w:rsidRDefault="00C15452" w14:paraId="3647E962" w14:textId="751AC86F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7FD12A8A" w14:textId="34E517A4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Bestaande implementatieteams worden opgeschaald om de huidige scope rondom standaarden voor data-uitwisseling te verbreden naar ook informatieveiligheidstandaarden en de andere standaarden uit de Wet digitale overheid en de ‘Pas toe of leg uit’-lijst van het Forum Standaardisatie. We stellen implementatiehandleidingen en codevoorbeelden ter beschikking op developer.overheid.nl.</w:t>
      </w:r>
    </w:p>
    <w:p w:rsidRPr="00773735" w:rsidR="00C15452" w:rsidP="00773735" w:rsidRDefault="00C15452" w14:paraId="1659FD73" w14:textId="0F7C76C5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155CEE6F" w14:textId="77777777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 xml:space="preserve">Ik onderzoek ook hoe we IT-projecten en aanbestedingen bij overheidsorganisaties vooraf kunnen toetsen en een zwaarwegend advies mee kunnen geven over de uit te vragen relevante verplichte standaarden van de ‘Pas toe of leg uit’-lijst. </w:t>
      </w:r>
    </w:p>
    <w:p w:rsidRPr="00773735" w:rsidR="00C15452" w:rsidP="00773735" w:rsidRDefault="00C15452" w14:paraId="14E9EAFB" w14:textId="282EE1EC">
      <w:pPr>
        <w:tabs>
          <w:tab w:val="center" w:pos="8030"/>
        </w:tabs>
        <w:spacing w:after="0" w:line="240" w:lineRule="auto"/>
        <w:ind w:left="-15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71F49A76" w14:textId="0905320F">
      <w:pPr>
        <w:tabs>
          <w:tab w:val="center" w:pos="8306"/>
        </w:tabs>
        <w:spacing w:after="0" w:line="240" w:lineRule="auto"/>
        <w:ind w:left="-15" w:firstLine="0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 xml:space="preserve">Daarnaast blijf ik inzetten op het meten en monitoren van de voortgang middels de Monitor Open Standaarden en de Meting Informatieveiligheidsstandaarden en zal ik deze blijven delen met uw kamer. </w:t>
      </w:r>
    </w:p>
    <w:p w:rsidRPr="00773735" w:rsidR="00C15452" w:rsidP="00773735" w:rsidRDefault="00C15452" w14:paraId="776127B2" w14:textId="28A70F3A">
      <w:pPr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Pr="00773735" w:rsidR="00C15452" w:rsidP="00773735" w:rsidRDefault="00C15452" w14:paraId="653CC91B" w14:textId="25857CC7">
      <w:pPr>
        <w:spacing w:after="0" w:line="240" w:lineRule="auto"/>
        <w:ind w:left="-5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 xml:space="preserve">De </w:t>
      </w:r>
      <w:r w:rsidRPr="00773735" w:rsidR="00773735">
        <w:rPr>
          <w:rFonts w:ascii="Calibri" w:hAnsi="Calibri" w:cs="Calibri"/>
          <w:sz w:val="22"/>
          <w:szCs w:val="22"/>
        </w:rPr>
        <w:t>s</w:t>
      </w:r>
      <w:r w:rsidRPr="00773735">
        <w:rPr>
          <w:rFonts w:ascii="Calibri" w:hAnsi="Calibri" w:cs="Calibri"/>
          <w:sz w:val="22"/>
          <w:szCs w:val="22"/>
        </w:rPr>
        <w:t>taatssecretaris van Binnenlandse Zaken en Koninkrijksrelaties</w:t>
      </w:r>
      <w:r w:rsidRPr="00773735">
        <w:rPr>
          <w:rFonts w:ascii="Calibri" w:hAnsi="Calibri" w:cs="Calibri"/>
          <w:i/>
          <w:sz w:val="22"/>
          <w:szCs w:val="22"/>
        </w:rPr>
        <w:t>,</w:t>
      </w:r>
      <w:r w:rsidRPr="00773735">
        <w:rPr>
          <w:rFonts w:ascii="Calibri" w:hAnsi="Calibri" w:cs="Calibri"/>
          <w:sz w:val="22"/>
          <w:szCs w:val="22"/>
        </w:rPr>
        <w:t xml:space="preserve"> </w:t>
      </w:r>
    </w:p>
    <w:p w:rsidRPr="00773735" w:rsidR="00F80165" w:rsidP="00773735" w:rsidRDefault="00C15452" w14:paraId="111BA8B1" w14:textId="36B10AB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73735">
        <w:rPr>
          <w:rFonts w:ascii="Calibri" w:hAnsi="Calibri" w:cs="Calibri"/>
          <w:sz w:val="22"/>
          <w:szCs w:val="22"/>
        </w:rPr>
        <w:t>E</w:t>
      </w:r>
      <w:r w:rsidR="00773735">
        <w:rPr>
          <w:rFonts w:ascii="Calibri" w:hAnsi="Calibri" w:cs="Calibri"/>
          <w:sz w:val="22"/>
          <w:szCs w:val="22"/>
        </w:rPr>
        <w:t>.</w:t>
      </w:r>
      <w:r w:rsidRPr="00773735">
        <w:rPr>
          <w:rFonts w:ascii="Calibri" w:hAnsi="Calibri" w:cs="Calibri"/>
          <w:sz w:val="22"/>
          <w:szCs w:val="22"/>
        </w:rPr>
        <w:t xml:space="preserve"> van Marum</w:t>
      </w:r>
    </w:p>
    <w:p w:rsidRPr="00773735" w:rsidR="00773735" w:rsidP="00773735" w:rsidRDefault="00773735" w14:paraId="516710B6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Pr="00773735" w:rsidR="00773735" w:rsidSect="00AE3403">
      <w:pgSz w:w="11906" w:h="16838"/>
      <w:pgMar w:top="1417" w:right="2550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1FFA" w14:textId="77777777" w:rsidR="00C15452" w:rsidRDefault="00C15452" w:rsidP="00C15452">
      <w:pPr>
        <w:spacing w:after="0" w:line="240" w:lineRule="auto"/>
      </w:pPr>
      <w:r>
        <w:separator/>
      </w:r>
    </w:p>
  </w:endnote>
  <w:endnote w:type="continuationSeparator" w:id="0">
    <w:p w14:paraId="1771E1D9" w14:textId="77777777" w:rsidR="00C15452" w:rsidRDefault="00C15452" w:rsidP="00C1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5251" w14:textId="77777777" w:rsidR="00C15452" w:rsidRDefault="00C15452" w:rsidP="00C15452">
      <w:pPr>
        <w:spacing w:after="0" w:line="240" w:lineRule="auto"/>
      </w:pPr>
      <w:r>
        <w:separator/>
      </w:r>
    </w:p>
  </w:footnote>
  <w:footnote w:type="continuationSeparator" w:id="0">
    <w:p w14:paraId="43FD89CB" w14:textId="77777777" w:rsidR="00C15452" w:rsidRDefault="00C15452" w:rsidP="00C15452">
      <w:pPr>
        <w:spacing w:after="0" w:line="240" w:lineRule="auto"/>
      </w:pPr>
      <w:r>
        <w:continuationSeparator/>
      </w:r>
    </w:p>
  </w:footnote>
  <w:footnote w:id="1">
    <w:p w14:paraId="3F92CB78" w14:textId="77777777" w:rsidR="00C15452" w:rsidRPr="00773735" w:rsidRDefault="00C15452" w:rsidP="00773735">
      <w:pPr>
        <w:pStyle w:val="footnotedescription"/>
        <w:spacing w:after="0" w:line="240" w:lineRule="auto"/>
        <w:rPr>
          <w:rFonts w:ascii="Calibri" w:hAnsi="Calibri" w:cs="Calibri"/>
          <w:sz w:val="20"/>
          <w:szCs w:val="20"/>
        </w:rPr>
      </w:pPr>
      <w:r w:rsidRPr="00773735">
        <w:rPr>
          <w:rStyle w:val="footnotemark"/>
          <w:rFonts w:ascii="Calibri" w:hAnsi="Calibri" w:cs="Calibri"/>
          <w:sz w:val="20"/>
          <w:szCs w:val="20"/>
        </w:rPr>
        <w:footnoteRef/>
      </w:r>
      <w:r w:rsidRPr="00773735">
        <w:rPr>
          <w:rFonts w:ascii="Calibri" w:hAnsi="Calibri" w:cs="Calibri"/>
          <w:sz w:val="20"/>
          <w:szCs w:val="20"/>
        </w:rPr>
        <w:t xml:space="preserve"> </w:t>
      </w:r>
      <w:hyperlink r:id="rId1">
        <w:r w:rsidRPr="00773735">
          <w:rPr>
            <w:rFonts w:ascii="Calibri" w:hAnsi="Calibri" w:cs="Calibri"/>
            <w:sz w:val="20"/>
            <w:szCs w:val="20"/>
          </w:rPr>
          <w:t>Meting Informatieveiligheidstandaarden overheid begin 2025</w:t>
        </w:r>
      </w:hyperlink>
      <w:hyperlink r:id="rId2">
        <w:r w:rsidRPr="00773735">
          <w:rPr>
            <w:rFonts w:ascii="Calibri" w:hAnsi="Calibri" w:cs="Calibri"/>
            <w:color w:val="000000"/>
            <w:sz w:val="20"/>
            <w:szCs w:val="20"/>
            <w:u w:val="none" w:color="000000"/>
          </w:rPr>
          <w:t xml:space="preserve"> </w:t>
        </w:r>
      </w:hyperlink>
    </w:p>
  </w:footnote>
  <w:footnote w:id="2">
    <w:p w14:paraId="7D948E36" w14:textId="77777777" w:rsidR="00C15452" w:rsidRPr="00773735" w:rsidRDefault="00C15452" w:rsidP="00773735">
      <w:pPr>
        <w:pStyle w:val="footnotedescription"/>
        <w:spacing w:after="0" w:line="240" w:lineRule="auto"/>
        <w:rPr>
          <w:rFonts w:ascii="Calibri" w:hAnsi="Calibri" w:cs="Calibri"/>
          <w:sz w:val="20"/>
          <w:szCs w:val="20"/>
        </w:rPr>
      </w:pPr>
      <w:r w:rsidRPr="00773735">
        <w:rPr>
          <w:rStyle w:val="footnotemark"/>
          <w:rFonts w:ascii="Calibri" w:hAnsi="Calibri" w:cs="Calibri"/>
          <w:sz w:val="20"/>
          <w:szCs w:val="20"/>
        </w:rPr>
        <w:footnoteRef/>
      </w:r>
      <w:r w:rsidRPr="00773735">
        <w:rPr>
          <w:rFonts w:ascii="Calibri" w:hAnsi="Calibri" w:cs="Calibri"/>
          <w:sz w:val="20"/>
          <w:szCs w:val="20"/>
        </w:rPr>
        <w:t xml:space="preserve"> </w:t>
      </w:r>
      <w:hyperlink r:id="rId3">
        <w:r w:rsidRPr="00773735">
          <w:rPr>
            <w:rFonts w:ascii="Calibri" w:hAnsi="Calibri" w:cs="Calibri"/>
            <w:sz w:val="20"/>
            <w:szCs w:val="20"/>
          </w:rPr>
          <w:t>Monitor Open Standaarden 2025</w:t>
        </w:r>
      </w:hyperlink>
      <w:hyperlink r:id="rId4">
        <w:r w:rsidRPr="00773735">
          <w:rPr>
            <w:rFonts w:ascii="Calibri" w:hAnsi="Calibri" w:cs="Calibri"/>
            <w:color w:val="000000"/>
            <w:sz w:val="20"/>
            <w:szCs w:val="20"/>
            <w:u w:val="none" w:color="000000"/>
          </w:rPr>
          <w:t xml:space="preserve"> </w:t>
        </w:r>
      </w:hyperlink>
    </w:p>
  </w:footnote>
  <w:footnote w:id="3">
    <w:p w14:paraId="4720A2BB" w14:textId="77777777" w:rsidR="00C15452" w:rsidRPr="00773735" w:rsidRDefault="00C15452" w:rsidP="00773735">
      <w:pPr>
        <w:pStyle w:val="footnotedescription"/>
        <w:spacing w:after="0" w:line="240" w:lineRule="auto"/>
        <w:rPr>
          <w:rFonts w:ascii="Calibri" w:hAnsi="Calibri" w:cs="Calibri"/>
          <w:sz w:val="20"/>
          <w:szCs w:val="20"/>
        </w:rPr>
      </w:pPr>
      <w:r w:rsidRPr="00773735">
        <w:rPr>
          <w:rStyle w:val="footnotemark"/>
          <w:rFonts w:ascii="Calibri" w:hAnsi="Calibri" w:cs="Calibri"/>
          <w:sz w:val="20"/>
          <w:szCs w:val="20"/>
        </w:rPr>
        <w:footnoteRef/>
      </w:r>
      <w:r w:rsidRPr="00773735">
        <w:rPr>
          <w:rFonts w:ascii="Calibri" w:hAnsi="Calibri" w:cs="Calibri"/>
          <w:sz w:val="20"/>
          <w:szCs w:val="20"/>
        </w:rPr>
        <w:t xml:space="preserve"> </w:t>
      </w:r>
      <w:hyperlink r:id="rId5">
        <w:r w:rsidRPr="00773735">
          <w:rPr>
            <w:rFonts w:ascii="Calibri" w:hAnsi="Calibri" w:cs="Calibri"/>
            <w:sz w:val="20"/>
            <w:szCs w:val="20"/>
          </w:rPr>
          <w:t>(NDS) 4 interventies - Digitale Overheid</w:t>
        </w:r>
      </w:hyperlink>
      <w:hyperlink r:id="rId6">
        <w:r w:rsidRPr="00773735">
          <w:rPr>
            <w:rFonts w:ascii="Calibri" w:hAnsi="Calibri" w:cs="Calibri"/>
            <w:color w:val="000000"/>
            <w:sz w:val="20"/>
            <w:szCs w:val="20"/>
            <w:u w:val="none" w:color="000000"/>
          </w:rPr>
          <w:t xml:space="preserve"> </w:t>
        </w:r>
      </w:hyperlink>
    </w:p>
    <w:p w14:paraId="4A0FB62D" w14:textId="6DF9EB20" w:rsidR="00C15452" w:rsidRPr="00773735" w:rsidRDefault="00C15452" w:rsidP="00773735">
      <w:pPr>
        <w:pStyle w:val="footnotedescription"/>
        <w:tabs>
          <w:tab w:val="center" w:pos="8224"/>
        </w:tabs>
        <w:spacing w:after="0" w:line="240" w:lineRule="auto"/>
        <w:rPr>
          <w:rFonts w:ascii="Calibri" w:hAnsi="Calibri" w:cs="Calibri"/>
          <w:color w:val="auto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2"/>
    <w:rsid w:val="0013289C"/>
    <w:rsid w:val="003562D9"/>
    <w:rsid w:val="00525C81"/>
    <w:rsid w:val="00773735"/>
    <w:rsid w:val="009B1157"/>
    <w:rsid w:val="00AE3403"/>
    <w:rsid w:val="00B75198"/>
    <w:rsid w:val="00C15452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13D4"/>
  <w15:chartTrackingRefBased/>
  <w15:docId w15:val="{43C98DFC-E030-41F5-A7FE-13497941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452"/>
    <w:pPr>
      <w:spacing w:after="4" w:line="261" w:lineRule="auto"/>
      <w:ind w:left="10" w:hanging="10"/>
    </w:pPr>
    <w:rPr>
      <w:rFonts w:ascii="Verdana" w:eastAsia="Verdana" w:hAnsi="Verdana" w:cs="Verdana"/>
      <w:color w:val="000000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15452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452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452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452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452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45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45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45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45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4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4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4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4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4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4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45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1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45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45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C154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452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C154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4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45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Standaard"/>
    <w:link w:val="footnotedescriptionChar"/>
    <w:hidden/>
    <w:rsid w:val="00C15452"/>
    <w:pPr>
      <w:spacing w:after="8"/>
    </w:pPr>
    <w:rPr>
      <w:rFonts w:ascii="Verdana" w:eastAsia="Verdana" w:hAnsi="Verdana" w:cs="Verdana"/>
      <w:color w:val="467885"/>
      <w:sz w:val="16"/>
      <w:szCs w:val="24"/>
      <w:u w:val="single" w:color="467885"/>
      <w:lang w:eastAsia="nl-NL"/>
    </w:rPr>
  </w:style>
  <w:style w:type="character" w:customStyle="1" w:styleId="footnotedescriptionChar">
    <w:name w:val="footnote description Char"/>
    <w:link w:val="footnotedescription"/>
    <w:rsid w:val="00C15452"/>
    <w:rPr>
      <w:rFonts w:ascii="Verdana" w:eastAsia="Verdana" w:hAnsi="Verdana" w:cs="Verdana"/>
      <w:color w:val="467885"/>
      <w:sz w:val="16"/>
      <w:szCs w:val="24"/>
      <w:u w:val="single" w:color="467885"/>
      <w:lang w:eastAsia="nl-NL"/>
    </w:rPr>
  </w:style>
  <w:style w:type="character" w:customStyle="1" w:styleId="footnotemark">
    <w:name w:val="footnote mark"/>
    <w:hidden/>
    <w:rsid w:val="00C15452"/>
    <w:rPr>
      <w:rFonts w:ascii="Verdana" w:eastAsia="Verdana" w:hAnsi="Verdana" w:cs="Verdana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rumstandaardisatie.nl/sites/default/files/bestanden/website/Monitor%20Open%20Standaarden%202025%20-%20Hoofdlijnen%20en%20conclusies.pdf" TargetMode="External"/><Relationship Id="rId2" Type="http://schemas.openxmlformats.org/officeDocument/2006/relationships/hyperlink" Target="https://www.forumstandaardisatie.nl/sites/default/files/FS/2025/0624/20250624-4b-rapport-meting-informatieveiligheidstandaarden-begin-2025-FS.html" TargetMode="External"/><Relationship Id="rId1" Type="http://schemas.openxmlformats.org/officeDocument/2006/relationships/hyperlink" Target="https://www.forumstandaardisatie.nl/sites/default/files/FS/2025/0624/20250624-4b-rapport-meting-informatieveiligheidstandaarden-begin-2025-FS.html" TargetMode="External"/><Relationship Id="rId6" Type="http://schemas.openxmlformats.org/officeDocument/2006/relationships/hyperlink" Target="https://www.digitaleoverheid.nl/nederlandse-digitaliseringsstrategie-nds/de-vrijblijvendheid-voorbij/" TargetMode="External"/><Relationship Id="rId5" Type="http://schemas.openxmlformats.org/officeDocument/2006/relationships/hyperlink" Target="https://www.digitaleoverheid.nl/nederlandse-digitaliseringsstrategie-nds/de-vrijblijvendheid-voorbij/" TargetMode="External"/><Relationship Id="rId4" Type="http://schemas.openxmlformats.org/officeDocument/2006/relationships/hyperlink" Target="https://www.forumstandaardisatie.nl/sites/default/files/bestanden/website/Monitor%20Open%20Standaarden%202025%20-%20Hoofdlijnen%20en%20conclusies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336</ap:Words>
  <ap:Characters>1851</ap:Characters>
  <ap:DocSecurity>0</ap:DocSecurity>
  <ap:Lines>15</ap:Lines>
  <ap:Paragraphs>4</ap:Paragraphs>
  <ap:ScaleCrop>false</ap:ScaleCrop>
  <ap:LinksUpToDate>false</ap:LinksUpToDate>
  <ap:CharactersWithSpaces>2183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2026-02-18T17:05:00.0000000Z</dcterms:created>
  <dcterms:modified xsi:type="dcterms:W3CDTF">2026-02-18T17:05:00.0000000Z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