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226046" w:rsidP="00517069" w14:paraId="75C26890" w14:textId="77777777">
      <w:pPr>
        <w:spacing w:line="276" w:lineRule="auto"/>
      </w:pPr>
      <w:r w:rsidRPr="0078536E">
        <w:t xml:space="preserve">Politieke partijen zijn van groot belang voor het functioneren van de Nederlandse democratie. Zij </w:t>
      </w:r>
      <w:r w:rsidR="00863DDA">
        <w:t xml:space="preserve">vormen de brug tussen de politiek en de </w:t>
      </w:r>
      <w:r w:rsidR="00A829E0">
        <w:t>samenleving</w:t>
      </w:r>
      <w:r w:rsidRPr="0078536E">
        <w:t xml:space="preserve">. </w:t>
      </w:r>
      <w:r w:rsidRPr="00585B9C" w:rsidR="00BA18AA">
        <w:t xml:space="preserve">Voor het vertrouwen van kiezers in de politiek is het essentieel dat er transparantie bestaat over de financiën van politieke partijen. </w:t>
      </w:r>
      <w:r w:rsidR="00863DDA">
        <w:t xml:space="preserve">Dit waarborgt immers de integriteit van het partijstelsel en </w:t>
      </w:r>
      <w:r w:rsidR="00962E6E">
        <w:t>onze democratie</w:t>
      </w:r>
      <w:r w:rsidR="00863DDA">
        <w:t xml:space="preserve"> als geheel</w:t>
      </w:r>
      <w:r w:rsidR="00962E6E">
        <w:t xml:space="preserve">. </w:t>
      </w:r>
    </w:p>
    <w:p w:rsidR="00226046" w:rsidP="00517069" w14:paraId="3E3248BC" w14:textId="77777777">
      <w:pPr>
        <w:spacing w:line="276" w:lineRule="auto"/>
      </w:pPr>
    </w:p>
    <w:p w:rsidR="00585B9C" w:rsidP="00517069" w14:paraId="2A1D3362" w14:textId="77777777">
      <w:pPr>
        <w:spacing w:line="276" w:lineRule="auto"/>
      </w:pPr>
      <w:r>
        <w:t xml:space="preserve">Als </w:t>
      </w:r>
      <w:r w:rsidRPr="00585B9C">
        <w:t>Minister van Binnenlandse Zaken en Koninkrijksrelaties (BZK)</w:t>
      </w:r>
      <w:r>
        <w:t xml:space="preserve"> ben ik verantwoordelijk voor</w:t>
      </w:r>
      <w:r w:rsidRPr="00585B9C">
        <w:t xml:space="preserve"> de toepassing van en het toezicht op de naleving van de</w:t>
      </w:r>
      <w:r w:rsidR="006151F5">
        <w:t xml:space="preserve"> </w:t>
      </w:r>
      <w:r w:rsidRPr="0078536E" w:rsidR="006151F5">
        <w:t>Wet financiering politieke partijen (</w:t>
      </w:r>
      <w:r w:rsidRPr="0078536E" w:rsidR="006151F5">
        <w:t>Wfpp</w:t>
      </w:r>
      <w:r w:rsidRPr="0078536E" w:rsidR="006151F5">
        <w:t xml:space="preserve">). </w:t>
      </w:r>
      <w:r w:rsidRPr="00585B9C">
        <w:t>De Commissie toezicht financiën politieke partijen (</w:t>
      </w:r>
      <w:r w:rsidRPr="00585B9C">
        <w:t>Ctfpp</w:t>
      </w:r>
      <w:r w:rsidRPr="00585B9C">
        <w:t xml:space="preserve">) </w:t>
      </w:r>
      <w:r>
        <w:t>heeft de wettelijke taak mij daarover te adviseren.</w:t>
      </w:r>
      <w:r w:rsidRPr="00585B9C">
        <w:t xml:space="preserve"> </w:t>
      </w:r>
      <w:r w:rsidR="006151F5">
        <w:t>In deze brief informeer ik u over</w:t>
      </w:r>
      <w:r w:rsidR="00D564E4">
        <w:t xml:space="preserve"> </w:t>
      </w:r>
      <w:r w:rsidR="00950FBB">
        <w:t xml:space="preserve">de </w:t>
      </w:r>
      <w:r w:rsidRPr="00585B9C">
        <w:t xml:space="preserve">drie adviezen </w:t>
      </w:r>
      <w:r w:rsidR="006151F5">
        <w:t xml:space="preserve">die de </w:t>
      </w:r>
      <w:r w:rsidR="00950FBB">
        <w:t>commissie</w:t>
      </w:r>
      <w:r w:rsidR="006151F5">
        <w:t xml:space="preserve"> recent heeft </w:t>
      </w:r>
      <w:r w:rsidR="00950FBB">
        <w:t>uitgebracht</w:t>
      </w:r>
      <w:r>
        <w:t xml:space="preserve"> </w:t>
      </w:r>
      <w:r w:rsidR="00950FBB">
        <w:t>en reageer ik inhoudelijk op de door de commissie naar voren gebrachte punten</w:t>
      </w:r>
      <w:r w:rsidRPr="00585B9C">
        <w:t>.</w:t>
      </w:r>
      <w:r>
        <w:rPr>
          <w:rStyle w:val="FootnoteReference"/>
        </w:rPr>
        <w:footnoteReference w:id="2"/>
      </w:r>
      <w:r w:rsidRPr="00585B9C">
        <w:t xml:space="preserve"> </w:t>
      </w:r>
      <w:r>
        <w:t>De o</w:t>
      </w:r>
      <w:r w:rsidRPr="00585B9C">
        <w:t xml:space="preserve">nafhankelijke adviesrol </w:t>
      </w:r>
      <w:r>
        <w:t xml:space="preserve">van de commissie is van essentieel belang </w:t>
      </w:r>
      <w:r w:rsidR="00950FBB">
        <w:t>voor het vervullen van</w:t>
      </w:r>
      <w:r w:rsidRPr="00585B9C">
        <w:t xml:space="preserve"> mijn toezichthoudende rol</w:t>
      </w:r>
      <w:r w:rsidR="00584024">
        <w:t xml:space="preserve"> ten aanzien van de </w:t>
      </w:r>
      <w:r w:rsidR="00950FBB">
        <w:t>financiering</w:t>
      </w:r>
      <w:r w:rsidR="00584024">
        <w:t xml:space="preserve"> van politieke partijen</w:t>
      </w:r>
      <w:r w:rsidRPr="00585B9C">
        <w:t>.</w:t>
      </w:r>
      <w:r w:rsidRPr="00226046">
        <w:t xml:space="preserve"> </w:t>
      </w:r>
      <w:r w:rsidRPr="00585B9C">
        <w:t>Ik ben de commissie erkentelijk voor het uitbrengen van deze adviezen.</w:t>
      </w:r>
    </w:p>
    <w:p w:rsidR="001407BE" w:rsidP="00517069" w14:paraId="3D48FD56" w14:textId="77777777">
      <w:pPr>
        <w:spacing w:line="276" w:lineRule="auto"/>
      </w:pPr>
    </w:p>
    <w:p w:rsidR="001407BE" w:rsidP="00517069" w14:paraId="342B91B4" w14:textId="77777777">
      <w:pPr>
        <w:spacing w:line="276" w:lineRule="auto"/>
      </w:pPr>
      <w:r w:rsidRPr="001407BE">
        <w:t xml:space="preserve">De commissie </w:t>
      </w:r>
      <w:r w:rsidR="008428F8">
        <w:t>constateert</w:t>
      </w:r>
      <w:r w:rsidR="00226046">
        <w:t xml:space="preserve"> in het meest recente advies</w:t>
      </w:r>
      <w:r>
        <w:t xml:space="preserve"> </w:t>
      </w:r>
      <w:r w:rsidRPr="001407BE">
        <w:t xml:space="preserve">dat </w:t>
      </w:r>
      <w:r w:rsidR="00180260">
        <w:t>aanscherpingen van de</w:t>
      </w:r>
      <w:r w:rsidRPr="001407BE">
        <w:t xml:space="preserve"> regelgeving</w:t>
      </w:r>
      <w:r w:rsidR="00950FBB">
        <w:t xml:space="preserve"> </w:t>
      </w:r>
      <w:r w:rsidR="00180260">
        <w:t>effectief is gebleken</w:t>
      </w:r>
      <w:r w:rsidRPr="001407BE">
        <w:t xml:space="preserve"> </w:t>
      </w:r>
      <w:r w:rsidR="005215BF">
        <w:t>en</w:t>
      </w:r>
      <w:r w:rsidRPr="001407BE">
        <w:t xml:space="preserve"> donaties aan </w:t>
      </w:r>
      <w:r w:rsidR="00950FBB">
        <w:t xml:space="preserve">politieke </w:t>
      </w:r>
      <w:r w:rsidRPr="001407BE">
        <w:t>partijen transparanter en beter controleerbaar zijn geworden. Ik ben blij met deze constatering van de commissie en beaam dit. Ik verwacht dat met</w:t>
      </w:r>
      <w:r w:rsidR="008428F8">
        <w:t xml:space="preserve"> </w:t>
      </w:r>
      <w:r w:rsidR="00510B2D">
        <w:t>het</w:t>
      </w:r>
      <w:r w:rsidR="00B82D71">
        <w:t xml:space="preserve"> bij uw Kamer aanhangige</w:t>
      </w:r>
      <w:r w:rsidR="00510B2D">
        <w:t xml:space="preserve"> </w:t>
      </w:r>
      <w:r w:rsidR="00B82D71">
        <w:t>wetsvoorstel</w:t>
      </w:r>
      <w:r w:rsidR="00510B2D">
        <w:t xml:space="preserve"> houdende </w:t>
      </w:r>
      <w:r w:rsidR="008428F8">
        <w:t>de Wet op de politieke partijen (</w:t>
      </w:r>
      <w:r w:rsidRPr="001407BE">
        <w:t>Wpp</w:t>
      </w:r>
      <w:r w:rsidR="008428F8">
        <w:t>)</w:t>
      </w:r>
      <w:r w:rsidR="00510B2D">
        <w:t xml:space="preserve"> </w:t>
      </w:r>
      <w:r w:rsidR="00950FBB">
        <w:t xml:space="preserve">een volgende belangrijke stap </w:t>
      </w:r>
      <w:r w:rsidR="00B82D71">
        <w:t>kan worden</w:t>
      </w:r>
      <w:r w:rsidR="00950FBB">
        <w:t xml:space="preserve"> </w:t>
      </w:r>
      <w:r w:rsidR="00B82D71">
        <w:t>gezet</w:t>
      </w:r>
      <w:r w:rsidRPr="001407BE">
        <w:t xml:space="preserve"> in </w:t>
      </w:r>
      <w:r w:rsidR="00487764">
        <w:t xml:space="preserve">de effectiviteit van de regelgeving in </w:t>
      </w:r>
      <w:r w:rsidRPr="001407BE">
        <w:t xml:space="preserve">het belang van een transparant en </w:t>
      </w:r>
      <w:r w:rsidR="00510B2D">
        <w:t>integer partijstelsel</w:t>
      </w:r>
      <w:r w:rsidRPr="001407BE">
        <w:t>.</w:t>
      </w:r>
    </w:p>
    <w:p w:rsidR="00C225F5" w:rsidP="00517069" w14:paraId="0681687B" w14:textId="77777777">
      <w:pPr>
        <w:spacing w:line="276" w:lineRule="auto"/>
      </w:pPr>
    </w:p>
    <w:p w:rsidR="007D4E2E" w:rsidP="00517069" w14:paraId="2D91F21A" w14:textId="77777777">
      <w:pPr>
        <w:spacing w:line="276" w:lineRule="auto"/>
      </w:pPr>
      <w:r w:rsidRPr="00891217">
        <w:t xml:space="preserve">Alle politieke partijen met ten minste één zetel in de Staten-Generaal moeten voor 1 juli van elk kalenderjaar verantwoording afleggen aan de Minister van BZK over het voorgaande kalenderjaar. Deze verantwoording moet een beeld geven van de ontvangen giften en overige inkomsten, de vermogenspositie en de schulden van een partij. Indien een partij dat jaar subsidie heeft ontvangen, moet daarnaast de </w:t>
      </w:r>
      <w:r w:rsidRPr="00891217">
        <w:t xml:space="preserve">subsidiebesteding worden verantwoord. </w:t>
      </w:r>
      <w:r w:rsidR="00781966">
        <w:t>In een verkiezingsjaar gelden</w:t>
      </w:r>
      <w:r>
        <w:t xml:space="preserve"> bovendien aanvullende transparantieverplichtingen</w:t>
      </w:r>
      <w:r w:rsidR="00950FBB">
        <w:t xml:space="preserve"> </w:t>
      </w:r>
      <w:r w:rsidR="005215BF">
        <w:t xml:space="preserve">waardoor </w:t>
      </w:r>
      <w:r w:rsidR="00950FBB">
        <w:t xml:space="preserve">politieke </w:t>
      </w:r>
      <w:r w:rsidR="005215BF">
        <w:t xml:space="preserve">partijen </w:t>
      </w:r>
      <w:r w:rsidR="00510B2D">
        <w:t xml:space="preserve">twee </w:t>
      </w:r>
      <w:r w:rsidR="007543F0">
        <w:t xml:space="preserve">keer </w:t>
      </w:r>
      <w:r w:rsidR="005215BF">
        <w:t>aanvullende overzichten van giften en schulden moeten aanleveren</w:t>
      </w:r>
      <w:r>
        <w:t>.</w:t>
      </w:r>
      <w:r w:rsidRPr="005215BF" w:rsidR="005215BF">
        <w:t xml:space="preserve"> </w:t>
      </w:r>
      <w:r w:rsidRPr="0078536E" w:rsidR="005215BF">
        <w:t xml:space="preserve">De </w:t>
      </w:r>
      <w:r w:rsidR="00950FBB">
        <w:t>financiële verslagen</w:t>
      </w:r>
      <w:r w:rsidRPr="0078536E" w:rsidR="005215BF">
        <w:t xml:space="preserve"> en overzichten </w:t>
      </w:r>
      <w:r w:rsidR="00781966">
        <w:t>worden</w:t>
      </w:r>
      <w:r w:rsidRPr="0078536E" w:rsidR="005215BF">
        <w:t xml:space="preserve"> openbaar gemaakt.</w:t>
      </w:r>
      <w:r>
        <w:rPr>
          <w:rStyle w:val="FootnoteReference"/>
        </w:rPr>
        <w:footnoteReference w:id="3"/>
      </w:r>
    </w:p>
    <w:p w:rsidR="00C225F5" w:rsidP="00517069" w14:paraId="5301AADB" w14:textId="77777777">
      <w:pPr>
        <w:spacing w:line="276" w:lineRule="auto"/>
      </w:pPr>
    </w:p>
    <w:p w:rsidRPr="007D4E2E" w:rsidR="007D4E2E" w:rsidP="00517069" w14:paraId="0204847B" w14:textId="77777777">
      <w:pPr>
        <w:spacing w:line="276" w:lineRule="auto"/>
        <w:rPr>
          <w:i/>
          <w:iCs/>
        </w:rPr>
      </w:pPr>
      <w:r w:rsidRPr="007D4E2E">
        <w:rPr>
          <w:i/>
          <w:iCs/>
        </w:rPr>
        <w:t>Opbouw Kamerbrief</w:t>
      </w:r>
    </w:p>
    <w:p w:rsidR="007D4E2E" w:rsidP="007D4E2E" w14:paraId="025B0BE6" w14:textId="77777777">
      <w:pPr>
        <w:spacing w:line="276" w:lineRule="auto"/>
      </w:pPr>
      <w:r>
        <w:t xml:space="preserve">Ik reageer hieronder op een aantal algemene constateringen van de </w:t>
      </w:r>
      <w:r>
        <w:t>Ctfpp</w:t>
      </w:r>
      <w:r w:rsidR="00226046">
        <w:t xml:space="preserve"> ten aanzien van de verantwoordingsstukken</w:t>
      </w:r>
      <w:r>
        <w:t xml:space="preserve">, </w:t>
      </w:r>
      <w:r w:rsidR="00FD4F30">
        <w:t>daarna ga</w:t>
      </w:r>
      <w:r>
        <w:t xml:space="preserve"> ik </w:t>
      </w:r>
      <w:r w:rsidR="00226046">
        <w:t>in</w:t>
      </w:r>
      <w:r w:rsidR="00FD4F30">
        <w:t xml:space="preserve"> </w:t>
      </w:r>
      <w:r w:rsidR="00226046">
        <w:t xml:space="preserve">op enkele specifieke punten die naar voren zijn gekomen bij de </w:t>
      </w:r>
      <w:r w:rsidR="003E2A6F">
        <w:t xml:space="preserve">jaarlijkse </w:t>
      </w:r>
      <w:r w:rsidR="006A7329">
        <w:t xml:space="preserve">verantwoording </w:t>
      </w:r>
      <w:r w:rsidR="003E2A6F">
        <w:t xml:space="preserve">over 2024 </w:t>
      </w:r>
      <w:r w:rsidR="006A7329">
        <w:t xml:space="preserve">en de </w:t>
      </w:r>
      <w:r w:rsidR="003E2A6F">
        <w:t>overzichten</w:t>
      </w:r>
      <w:r w:rsidR="006A7329">
        <w:t xml:space="preserve"> in het kader van de Tweede Kamerverkiezing</w:t>
      </w:r>
      <w:r w:rsidR="003E2A6F">
        <w:t xml:space="preserve"> van 29 oktober 2025</w:t>
      </w:r>
      <w:r w:rsidR="006A7329">
        <w:t>.</w:t>
      </w:r>
      <w:r>
        <w:t xml:space="preserve"> </w:t>
      </w:r>
      <w:r w:rsidR="00FD4F30">
        <w:t xml:space="preserve">Tot slot </w:t>
      </w:r>
      <w:r w:rsidR="006A7329">
        <w:t xml:space="preserve">ga ik </w:t>
      </w:r>
      <w:r w:rsidR="00226046">
        <w:t xml:space="preserve">in </w:t>
      </w:r>
      <w:r w:rsidR="006A7329">
        <w:t xml:space="preserve">op enkele adviezen van de </w:t>
      </w:r>
      <w:r w:rsidR="006A7329">
        <w:t>Ctf</w:t>
      </w:r>
      <w:r w:rsidR="003E2A6F">
        <w:t>p</w:t>
      </w:r>
      <w:r w:rsidR="006A7329">
        <w:t>p</w:t>
      </w:r>
      <w:r w:rsidR="006A7329">
        <w:t xml:space="preserve"> die van belang zijn voor de verdere beleidsontwikkeling ten aanzien van de partijfinanciering. </w:t>
      </w:r>
    </w:p>
    <w:p w:rsidRPr="007C718E" w:rsidR="006151F5" w:rsidP="00517069" w14:paraId="79E42648" w14:textId="77777777">
      <w:pPr>
        <w:pStyle w:val="ListParagraph"/>
        <w:spacing w:line="276" w:lineRule="auto"/>
        <w:ind w:left="360"/>
        <w:rPr>
          <w:rFonts w:ascii="Verdana" w:hAnsi="Verdana"/>
          <w:sz w:val="18"/>
          <w:szCs w:val="18"/>
        </w:rPr>
      </w:pPr>
    </w:p>
    <w:p w:rsidR="0078536E" w:rsidP="00517069" w14:paraId="409DA40B" w14:textId="77777777">
      <w:pPr>
        <w:pStyle w:val="ListParagraph"/>
        <w:numPr>
          <w:ilvl w:val="0"/>
          <w:numId w:val="10"/>
        </w:numPr>
        <w:spacing w:line="276" w:lineRule="auto"/>
        <w:rPr>
          <w:rFonts w:ascii="Verdana" w:hAnsi="Verdana"/>
          <w:b/>
          <w:bCs/>
          <w:sz w:val="18"/>
          <w:szCs w:val="18"/>
        </w:rPr>
      </w:pPr>
      <w:r>
        <w:rPr>
          <w:rFonts w:ascii="Verdana" w:hAnsi="Verdana"/>
          <w:b/>
          <w:bCs/>
          <w:sz w:val="18"/>
          <w:szCs w:val="18"/>
        </w:rPr>
        <w:t xml:space="preserve">Toepassing van en toezicht op naleving </w:t>
      </w:r>
      <w:r>
        <w:rPr>
          <w:rFonts w:ascii="Verdana" w:hAnsi="Verdana"/>
          <w:b/>
          <w:bCs/>
          <w:sz w:val="18"/>
          <w:szCs w:val="18"/>
        </w:rPr>
        <w:t>Wfpp</w:t>
      </w:r>
    </w:p>
    <w:p w:rsidRPr="00E27C1B" w:rsidR="00E27C1B" w:rsidP="00517069" w14:paraId="7AAB10FC" w14:textId="77777777">
      <w:pPr>
        <w:spacing w:line="276" w:lineRule="auto"/>
        <w:rPr>
          <w:i/>
          <w:iCs/>
        </w:rPr>
      </w:pPr>
      <w:r w:rsidRPr="00E27C1B">
        <w:rPr>
          <w:i/>
          <w:iCs/>
        </w:rPr>
        <w:t>Tijdige en correcte aanlevering van verantwoordingsstukken</w:t>
      </w:r>
    </w:p>
    <w:p w:rsidR="00781966" w:rsidP="00517069" w14:paraId="0FB78F55" w14:textId="77777777">
      <w:pPr>
        <w:spacing w:line="276" w:lineRule="auto"/>
      </w:pPr>
      <w:r>
        <w:t>De commissie wijst meerdere malen op het belang van een tijdige en correcte aanlevering van de verantwoordingsstukken door politieke partijen</w:t>
      </w:r>
      <w:r w:rsidR="00026565">
        <w:t>.</w:t>
      </w:r>
      <w:r w:rsidR="004E48BF">
        <w:t xml:space="preserve"> </w:t>
      </w:r>
      <w:r w:rsidR="00026565">
        <w:t>A</w:t>
      </w:r>
      <w:r w:rsidR="004E48BF">
        <w:t>ls dat niet gebeurt</w:t>
      </w:r>
      <w:r w:rsidR="000D7DDA">
        <w:t>,</w:t>
      </w:r>
      <w:r w:rsidR="004E48BF">
        <w:t xml:space="preserve"> adviseert de commissie </w:t>
      </w:r>
      <w:r w:rsidR="000D7DDA">
        <w:t xml:space="preserve">de desbetreffende </w:t>
      </w:r>
      <w:r w:rsidR="004E48BF">
        <w:t>partijen te sanctioneren</w:t>
      </w:r>
      <w:r>
        <w:t>.</w:t>
      </w:r>
      <w:r w:rsidR="000D7DDA">
        <w:t xml:space="preserve"> Het kan voorkomen dat ik een politieke partij, mits goed beargumenteerd, uitstel verleen voor het aanleveren van de verantwoordingsstukken. Ook geef ik </w:t>
      </w:r>
      <w:r w:rsidR="00B82D71">
        <w:t xml:space="preserve">politieke </w:t>
      </w:r>
      <w:r w:rsidR="000D7DDA">
        <w:t>partijen altijd</w:t>
      </w:r>
      <w:r w:rsidR="00283DA0">
        <w:t xml:space="preserve"> de gelegenheid </w:t>
      </w:r>
      <w:r w:rsidR="000D7DDA">
        <w:t>om</w:t>
      </w:r>
      <w:r w:rsidR="00283DA0">
        <w:t xml:space="preserve"> omissies of gebreken te herstellen</w:t>
      </w:r>
      <w:r w:rsidR="00026565">
        <w:t xml:space="preserve"> </w:t>
      </w:r>
      <w:r w:rsidR="000D7DDA">
        <w:t>binnen een nader gesteld termijn</w:t>
      </w:r>
      <w:r w:rsidR="00283DA0">
        <w:t>.</w:t>
      </w:r>
      <w:r w:rsidR="008428F8">
        <w:t xml:space="preserve"> Dit komt </w:t>
      </w:r>
      <w:r w:rsidR="000D7DDA">
        <w:t xml:space="preserve">geregeld </w:t>
      </w:r>
      <w:r w:rsidR="008428F8">
        <w:t>voor</w:t>
      </w:r>
      <w:r w:rsidR="00026565">
        <w:t>.</w:t>
      </w:r>
      <w:r w:rsidR="001A65B6">
        <w:t xml:space="preserve"> </w:t>
      </w:r>
      <w:r w:rsidRPr="00E27C1B">
        <w:t xml:space="preserve">Ik blijf met de </w:t>
      </w:r>
      <w:r>
        <w:t>politieke</w:t>
      </w:r>
      <w:r w:rsidR="005215BF">
        <w:t xml:space="preserve"> partijen</w:t>
      </w:r>
      <w:r w:rsidRPr="00E27C1B">
        <w:t xml:space="preserve"> in gesprek </w:t>
      </w:r>
      <w:r>
        <w:t>om</w:t>
      </w:r>
      <w:r w:rsidR="00563DE1">
        <w:t xml:space="preserve"> </w:t>
      </w:r>
      <w:r w:rsidRPr="00E27C1B">
        <w:t>de correcte en tijdige aanlevering van de benodigde informatie</w:t>
      </w:r>
      <w:r>
        <w:t xml:space="preserve"> te bevorderen</w:t>
      </w:r>
      <w:r w:rsidR="00C03538">
        <w:t>. B</w:t>
      </w:r>
      <w:r w:rsidR="00B00858">
        <w:t xml:space="preserve">ij herhaaldelijk overtreden van de termijnen </w:t>
      </w:r>
      <w:r w:rsidR="00B82D71">
        <w:t xml:space="preserve">kan ik besluiten tot het opleggen van </w:t>
      </w:r>
      <w:r w:rsidR="00B00858">
        <w:t xml:space="preserve">een sanctie. </w:t>
      </w:r>
    </w:p>
    <w:p w:rsidR="001407BE" w:rsidP="00517069" w14:paraId="1002660E" w14:textId="77777777">
      <w:pPr>
        <w:spacing w:line="276" w:lineRule="auto"/>
      </w:pPr>
    </w:p>
    <w:p w:rsidRPr="00283DA0" w:rsidR="00283DA0" w:rsidP="00517069" w14:paraId="4711E713" w14:textId="77777777">
      <w:pPr>
        <w:spacing w:line="276" w:lineRule="auto"/>
        <w:rPr>
          <w:i/>
          <w:iCs/>
        </w:rPr>
      </w:pPr>
      <w:r>
        <w:rPr>
          <w:i/>
          <w:iCs/>
        </w:rPr>
        <w:t>Duidelijke c</w:t>
      </w:r>
      <w:r w:rsidRPr="00283DA0">
        <w:rPr>
          <w:i/>
          <w:iCs/>
        </w:rPr>
        <w:t>ommunicatie richting politieke partijen</w:t>
      </w:r>
    </w:p>
    <w:p w:rsidR="00E27C1B" w:rsidP="00517069" w14:paraId="14DAA264" w14:textId="77777777">
      <w:pPr>
        <w:spacing w:line="276" w:lineRule="auto"/>
      </w:pPr>
      <w:r>
        <w:t xml:space="preserve">Mijn ministerie ondersteunt politieke partijen bij het aanleveren van de benodigde informatie. De commissie </w:t>
      </w:r>
      <w:r w:rsidR="00781966">
        <w:t>adviseert</w:t>
      </w:r>
      <w:r w:rsidR="00CB0C50">
        <w:t xml:space="preserve"> hoe ik mijn communicatie richting partijen </w:t>
      </w:r>
      <w:r w:rsidR="00781966">
        <w:t xml:space="preserve">op een aantal punten </w:t>
      </w:r>
      <w:r w:rsidR="00CB0C50">
        <w:t>kan verbeteren</w:t>
      </w:r>
      <w:r w:rsidR="00FB5ED2">
        <w:t>.</w:t>
      </w:r>
      <w:r w:rsidR="00BA7741">
        <w:t xml:space="preserve"> </w:t>
      </w:r>
      <w:r>
        <w:t>Deze adviezen neem ik ter harte.</w:t>
      </w:r>
      <w:r w:rsidR="00527ABF">
        <w:t xml:space="preserve"> Zo adviseert de commissie duidelijk</w:t>
      </w:r>
      <w:r w:rsidR="00781966">
        <w:t>er</w:t>
      </w:r>
      <w:r w:rsidR="00527ABF">
        <w:t xml:space="preserve"> te zijn over welke informatie over schulden moet worden aangeleverd.</w:t>
      </w:r>
      <w:r w:rsidR="007543F0">
        <w:t xml:space="preserve"> </w:t>
      </w:r>
      <w:r w:rsidR="00781966">
        <w:t>Ik benadruk dat het gaat om</w:t>
      </w:r>
      <w:r w:rsidRPr="007543F0" w:rsidR="007543F0">
        <w:t xml:space="preserve"> alle niet-bestuursrechtelijke schulden die in een kalenderjaar of periode zijn aangegaan en niet binnen twee weken zijn betaald. Het gaat niet om alle openstaande schulden op een bepaalde peildatum.</w:t>
      </w:r>
      <w:r>
        <w:rPr>
          <w:rStyle w:val="FootnoteReference"/>
        </w:rPr>
        <w:footnoteReference w:id="4"/>
      </w:r>
    </w:p>
    <w:p w:rsidR="00566987" w:rsidP="00517069" w14:paraId="22948BAE" w14:textId="77777777">
      <w:pPr>
        <w:spacing w:line="276" w:lineRule="auto"/>
      </w:pPr>
    </w:p>
    <w:p w:rsidR="005E5AA6" w:rsidP="00517069" w14:paraId="37BF5247" w14:textId="77777777">
      <w:pPr>
        <w:spacing w:line="276" w:lineRule="auto"/>
      </w:pPr>
    </w:p>
    <w:p w:rsidR="005E5AA6" w:rsidP="00517069" w14:paraId="41C42CE2" w14:textId="77777777">
      <w:pPr>
        <w:spacing w:line="276" w:lineRule="auto"/>
      </w:pPr>
    </w:p>
    <w:p w:rsidR="005E5AA6" w:rsidP="00517069" w14:paraId="1DFAB1B2" w14:textId="77777777">
      <w:pPr>
        <w:spacing w:line="276" w:lineRule="auto"/>
      </w:pPr>
    </w:p>
    <w:p w:rsidRPr="00AC012B" w:rsidR="007729D4" w:rsidP="007729D4" w14:paraId="357FBA1A" w14:textId="77777777">
      <w:pPr>
        <w:spacing w:line="276" w:lineRule="auto"/>
        <w:rPr>
          <w:i/>
          <w:iCs/>
        </w:rPr>
      </w:pPr>
      <w:r>
        <w:rPr>
          <w:i/>
          <w:iCs/>
        </w:rPr>
        <w:t>Registratie van giften</w:t>
      </w:r>
    </w:p>
    <w:p w:rsidR="007729D4" w:rsidP="007729D4" w14:paraId="00135961" w14:textId="77777777">
      <w:pPr>
        <w:spacing w:line="276" w:lineRule="auto"/>
      </w:pPr>
      <w:r w:rsidRPr="00891217">
        <w:t xml:space="preserve">De commissie constateert </w:t>
      </w:r>
      <w:r w:rsidR="00781966">
        <w:t xml:space="preserve">meermaals </w:t>
      </w:r>
      <w:r w:rsidRPr="00891217">
        <w:t xml:space="preserve">dat </w:t>
      </w:r>
      <w:r w:rsidR="00781966">
        <w:t xml:space="preserve">politieke </w:t>
      </w:r>
      <w:r w:rsidRPr="00891217">
        <w:t>partijen</w:t>
      </w:r>
      <w:r>
        <w:t xml:space="preserve"> verschillend</w:t>
      </w:r>
      <w:r w:rsidRPr="00891217">
        <w:t xml:space="preserve"> omgaan met de kwalificatie en verwerking van giften</w:t>
      </w:r>
      <w:r w:rsidR="00B82D71">
        <w:t xml:space="preserve"> en giften</w:t>
      </w:r>
      <w:r w:rsidRPr="00891217">
        <w:t xml:space="preserve"> in natura. BZK besteedt in de informatievoorziening aan politieke partijen veel aandacht aan dit onderwerp. De commissie doet enkele voorstellen voor een uitgebreidere registratie van giften</w:t>
      </w:r>
      <w:r w:rsidR="00B82D71">
        <w:t xml:space="preserve"> in natura</w:t>
      </w:r>
      <w:r w:rsidRPr="00891217">
        <w:t xml:space="preserve">. De commissie stelt voor om bij </w:t>
      </w:r>
      <w:r w:rsidR="003D7FF8">
        <w:t xml:space="preserve">deze giften tevens </w:t>
      </w:r>
      <w:r w:rsidRPr="00891217">
        <w:t xml:space="preserve">de aard van de dienst </w:t>
      </w:r>
      <w:r w:rsidR="00250EF7">
        <w:t>te registeren</w:t>
      </w:r>
      <w:r w:rsidRPr="00891217">
        <w:t>.</w:t>
      </w:r>
      <w:r w:rsidRPr="00026565" w:rsidR="00026565">
        <w:t xml:space="preserve"> Dit advies neemt BZK niet over, </w:t>
      </w:r>
      <w:r w:rsidR="00781966">
        <w:t>aangezien</w:t>
      </w:r>
      <w:r w:rsidRPr="00026565" w:rsidR="00026565">
        <w:t xml:space="preserve"> </w:t>
      </w:r>
      <w:r w:rsidR="00781966">
        <w:t xml:space="preserve">de wet hiervoor geen grondslag </w:t>
      </w:r>
      <w:r w:rsidR="003D7FF8">
        <w:t>biedt</w:t>
      </w:r>
      <w:r w:rsidRPr="00026565" w:rsidR="00026565">
        <w:t>.</w:t>
      </w:r>
      <w:r w:rsidRPr="00891217">
        <w:t xml:space="preserve"> Er wordt </w:t>
      </w:r>
      <w:r w:rsidR="00250EF7">
        <w:t>immers</w:t>
      </w:r>
      <w:r>
        <w:t xml:space="preserve"> </w:t>
      </w:r>
      <w:r w:rsidRPr="00891217">
        <w:t xml:space="preserve">geen onderscheid gemaakt tussen geldelijke giften en giften in natura wat betreft de mate van transparantie. Voorts adviseert de </w:t>
      </w:r>
      <w:r w:rsidR="00250EF7">
        <w:t>Ctfpp</w:t>
      </w:r>
      <w:r w:rsidR="00250EF7">
        <w:t xml:space="preserve"> </w:t>
      </w:r>
      <w:r w:rsidRPr="00891217">
        <w:t>onderscheid te maken</w:t>
      </w:r>
      <w:r w:rsidR="00250EF7">
        <w:t xml:space="preserve"> tussen</w:t>
      </w:r>
      <w:r w:rsidRPr="00891217">
        <w:t xml:space="preserve"> </w:t>
      </w:r>
      <w:r w:rsidR="0011407B">
        <w:t>afdrachten</w:t>
      </w:r>
      <w:r w:rsidR="00C177FE">
        <w:t xml:space="preserve"> </w:t>
      </w:r>
      <w:r w:rsidRPr="00891217">
        <w:t xml:space="preserve">van </w:t>
      </w:r>
      <w:r w:rsidR="00D36BBC">
        <w:t xml:space="preserve">volksvertegenwoordigers </w:t>
      </w:r>
      <w:r w:rsidR="00250EF7">
        <w:t>en</w:t>
      </w:r>
      <w:r w:rsidR="00D36BBC">
        <w:t xml:space="preserve"> bestuurders</w:t>
      </w:r>
      <w:r w:rsidRPr="00891217">
        <w:t xml:space="preserve"> en giften</w:t>
      </w:r>
      <w:r w:rsidR="00C177FE">
        <w:t xml:space="preserve"> van anderen</w:t>
      </w:r>
      <w:r w:rsidRPr="00891217">
        <w:t>. Ook daar biedt de wet geen grondslag voor</w:t>
      </w:r>
      <w:r w:rsidR="0011407B">
        <w:t>. Ik begrijp de wens van de commissie vanuit het</w:t>
      </w:r>
      <w:r w:rsidR="003D7FF8">
        <w:t xml:space="preserve"> oogpunt van toegankelijkheid</w:t>
      </w:r>
      <w:r w:rsidR="0011407B">
        <w:t xml:space="preserve">. Ik zie wegens het ontbreken van een wettelijke grondslag echter geen mogelijkheid om een afdracht van een politieke ambtsdrager anders te behandelen dan een andere vorm van bijdrage aan een politieke partij. </w:t>
      </w:r>
    </w:p>
    <w:p w:rsidR="00566987" w:rsidP="007729D4" w14:paraId="0158A13A" w14:textId="77777777">
      <w:pPr>
        <w:spacing w:line="276" w:lineRule="auto"/>
      </w:pPr>
    </w:p>
    <w:p w:rsidR="00566987" w:rsidP="00566987" w14:paraId="402DF062" w14:textId="77777777">
      <w:pPr>
        <w:spacing w:line="276" w:lineRule="auto"/>
        <w:rPr>
          <w:i/>
          <w:iCs/>
        </w:rPr>
      </w:pPr>
      <w:r>
        <w:rPr>
          <w:i/>
          <w:iCs/>
        </w:rPr>
        <w:t>G</w:t>
      </w:r>
      <w:r w:rsidRPr="00283DA0">
        <w:rPr>
          <w:i/>
          <w:iCs/>
        </w:rPr>
        <w:t>iften</w:t>
      </w:r>
      <w:r>
        <w:rPr>
          <w:i/>
          <w:iCs/>
        </w:rPr>
        <w:t xml:space="preserve"> van niet-Nederlanders</w:t>
      </w:r>
      <w:r w:rsidRPr="00283DA0">
        <w:rPr>
          <w:i/>
          <w:iCs/>
        </w:rPr>
        <w:t xml:space="preserve"> </w:t>
      </w:r>
    </w:p>
    <w:p w:rsidR="00754DB4" w:rsidP="00566987" w14:paraId="3D6BBD94" w14:textId="77777777">
      <w:pPr>
        <w:spacing w:line="276" w:lineRule="auto"/>
      </w:pPr>
      <w:r>
        <w:t>De commissie constateert bovendien dat bij enkele politieke partijen sprake is geweest van giften afkomstig van niet-Nederlandse gevers.</w:t>
      </w:r>
      <w:r w:rsidR="0076642D">
        <w:t xml:space="preserve"> In deze gevallen is de gift conform standaardwerkwijze teruggegeven aan de gever of gevorderd door mijn ministerie. </w:t>
      </w:r>
      <w:r>
        <w:t xml:space="preserve">Het verzoek van de commissie om de controlevereisten op dit punt nader uit te werken neem ik ter harte. Wanneer </w:t>
      </w:r>
      <w:r w:rsidR="006E4912">
        <w:t>het ministerie</w:t>
      </w:r>
      <w:r>
        <w:t xml:space="preserve"> constate</w:t>
      </w:r>
      <w:r w:rsidR="006E4912">
        <w:t>ert</w:t>
      </w:r>
      <w:r>
        <w:t xml:space="preserve"> dat een partij een gift van een persoon woonachtig in het buitenland heeft ontvangen, doen zij navraag bij de partij op welke wijze is gecontroleerd of de persoon onder de definitie van een Nederlandse gever valt. </w:t>
      </w:r>
    </w:p>
    <w:p w:rsidR="007729D4" w:rsidP="007729D4" w14:paraId="6954BB18" w14:textId="77777777">
      <w:pPr>
        <w:spacing w:line="276" w:lineRule="auto"/>
      </w:pPr>
    </w:p>
    <w:p w:rsidRPr="00AD63F3" w:rsidR="00CD3485" w:rsidP="00CD3485" w14:paraId="729A69DF" w14:textId="77777777">
      <w:pPr>
        <w:spacing w:line="276" w:lineRule="auto"/>
        <w:rPr>
          <w:i/>
          <w:iCs/>
        </w:rPr>
      </w:pPr>
      <w:r w:rsidRPr="00AD63F3">
        <w:rPr>
          <w:i/>
          <w:iCs/>
        </w:rPr>
        <w:t xml:space="preserve">Substantiële giften </w:t>
      </w:r>
    </w:p>
    <w:p w:rsidR="00CD3485" w:rsidP="00CD3485" w14:paraId="28DC8E45" w14:textId="77777777">
      <w:pPr>
        <w:spacing w:line="276" w:lineRule="auto"/>
      </w:pPr>
      <w:r>
        <w:t xml:space="preserve">Substantiële giften van in totaal € 10.000,- of meer moeten op grond van de </w:t>
      </w:r>
      <w:r>
        <w:t>Wfpp</w:t>
      </w:r>
      <w:r>
        <w:t xml:space="preserve"> binnen drie werkdagen worden gemeld bij het ministerie van BZK.</w:t>
      </w:r>
      <w:r>
        <w:rPr>
          <w:rStyle w:val="FootnoteReference"/>
        </w:rPr>
        <w:footnoteReference w:id="5"/>
      </w:r>
      <w:r w:rsidR="007501AB">
        <w:t xml:space="preserve"> </w:t>
      </w:r>
      <w:r>
        <w:t xml:space="preserve">Recent hebben verschillende politieke partijen een substantiële gift niet binnen de termijn gemeld. </w:t>
      </w:r>
      <w:r w:rsidR="00754DB4">
        <w:t xml:space="preserve">In het geval van een </w:t>
      </w:r>
      <w:r>
        <w:t>overtreding kan ik een bestuurlijke boete van ten hoogste € 25.000,- opleggen.</w:t>
      </w:r>
      <w:r>
        <w:rPr>
          <w:rStyle w:val="FootnoteReference"/>
        </w:rPr>
        <w:footnoteReference w:id="6"/>
      </w:r>
      <w:r>
        <w:t xml:space="preserve"> Bij een eerste overtreding ontvangt een partij een waarschuwingsbrief. Indien een partij zich meermaals niet aan de meldplicht houdt, ben ik voornemens een proportionele boete op te leggen. Ik acht dit gerechtvaardigd gelet op de maatschappelijke waarde van transparantie over grote giften. Daarbij houd ik uiteraard rekening met de omstandigheden en weeg ik de belangen af. Ook ben ik mij bewust van de gevolgen van de</w:t>
      </w:r>
      <w:r w:rsidR="00754DB4">
        <w:t xml:space="preserve"> meldplicht </w:t>
      </w:r>
      <w:r>
        <w:t xml:space="preserve">voor de uitvoeringslasten van politieke partijen. In de </w:t>
      </w:r>
      <w:r>
        <w:t>Wpp</w:t>
      </w:r>
      <w:r>
        <w:t xml:space="preserve"> stel ik daarom voor de termijn te verlengen naar tien werkdagen. Dit neem ik ook mee in de beoordeling van een overtreding. </w:t>
      </w:r>
    </w:p>
    <w:p w:rsidRPr="00891217" w:rsidR="00CD3485" w:rsidP="007729D4" w14:paraId="304AA317" w14:textId="77777777">
      <w:pPr>
        <w:spacing w:line="276" w:lineRule="auto"/>
      </w:pPr>
    </w:p>
    <w:p w:rsidRPr="001407BE" w:rsidR="001407BE" w:rsidP="00517069" w14:paraId="3A5F81C6" w14:textId="77777777">
      <w:pPr>
        <w:spacing w:line="276" w:lineRule="auto"/>
        <w:rPr>
          <w:i/>
          <w:iCs/>
        </w:rPr>
      </w:pPr>
      <w:r w:rsidRPr="001407BE">
        <w:rPr>
          <w:i/>
          <w:iCs/>
        </w:rPr>
        <w:t>UBO-verplichting</w:t>
      </w:r>
    </w:p>
    <w:p w:rsidR="00327371" w:rsidP="00517069" w14:paraId="7D02494A" w14:textId="77777777">
      <w:pPr>
        <w:spacing w:line="276" w:lineRule="auto"/>
      </w:pPr>
      <w:r>
        <w:t xml:space="preserve">Sinds 2024 bestaat de verplichting </w:t>
      </w:r>
      <w:r w:rsidR="00CB0C50">
        <w:t xml:space="preserve">voor politieke partijen </w:t>
      </w:r>
      <w:r>
        <w:t xml:space="preserve">om de </w:t>
      </w:r>
      <w:r w:rsidR="00BF028B">
        <w:t xml:space="preserve">naam en het adres van de </w:t>
      </w:r>
      <w:r w:rsidR="00CB0C50">
        <w:t xml:space="preserve">uiteindelijk belanghebbende (UBO) van giften van rechtspersonen te registreren. </w:t>
      </w:r>
      <w:r w:rsidRPr="00891217" w:rsidR="000728A1">
        <w:t xml:space="preserve">Meerdere </w:t>
      </w:r>
      <w:r w:rsidR="00754DB4">
        <w:t xml:space="preserve">politieke </w:t>
      </w:r>
      <w:r w:rsidRPr="00891217" w:rsidR="000728A1">
        <w:t>partijen hebben</w:t>
      </w:r>
      <w:r w:rsidR="00CB0C50">
        <w:t xml:space="preserve"> deze </w:t>
      </w:r>
      <w:r w:rsidRPr="00891217" w:rsidR="00482B9B">
        <w:t>v</w:t>
      </w:r>
      <w:r w:rsidRPr="00891217" w:rsidR="000728A1">
        <w:t xml:space="preserve">erplichting in eerste </w:t>
      </w:r>
      <w:r w:rsidRPr="00891217" w:rsidR="000728A1">
        <w:t xml:space="preserve">instantie niet nageleefd. In het geval van de VVD </w:t>
      </w:r>
      <w:r w:rsidR="00250EF7">
        <w:t>heeft</w:t>
      </w:r>
      <w:r w:rsidRPr="00891217" w:rsidR="000728A1">
        <w:t xml:space="preserve"> het tot na de verzending van de stukken aan de </w:t>
      </w:r>
      <w:r w:rsidR="00754DB4">
        <w:t>commissie</w:t>
      </w:r>
      <w:r w:rsidRPr="00891217" w:rsidR="000728A1">
        <w:t xml:space="preserve"> </w:t>
      </w:r>
      <w:r w:rsidR="00250EF7">
        <w:t xml:space="preserve">geduurd </w:t>
      </w:r>
      <w:r w:rsidRPr="00891217" w:rsidR="000728A1">
        <w:t xml:space="preserve">voordat de partij alle gegevens had verzameld. Omdat de UBO-verplichting sinds dit verantwoordingsjaar van toepassing is, ben ik coulant geweest richting de betreffende partijen. Op </w:t>
      </w:r>
      <w:r w:rsidR="00250EF7">
        <w:t>één</w:t>
      </w:r>
      <w:r w:rsidRPr="00891217" w:rsidR="000728A1">
        <w:t xml:space="preserve"> uitzondering na, namelijk BIJ1, hebben </w:t>
      </w:r>
      <w:r w:rsidR="00250EF7">
        <w:t>alle politieke</w:t>
      </w:r>
      <w:r w:rsidRPr="00891217" w:rsidR="000728A1">
        <w:t xml:space="preserve"> partijen </w:t>
      </w:r>
      <w:r w:rsidR="00250EF7">
        <w:t>de ontbrekende UBO-gegevens</w:t>
      </w:r>
      <w:r w:rsidRPr="00891217" w:rsidR="000728A1">
        <w:t xml:space="preserve"> </w:t>
      </w:r>
      <w:r w:rsidR="00250EF7">
        <w:t>verstrekt</w:t>
      </w:r>
      <w:r w:rsidRPr="00891217" w:rsidR="000728A1">
        <w:t>.</w:t>
      </w:r>
      <w:r w:rsidRPr="00891217" w:rsidR="002C1138">
        <w:t xml:space="preserve"> </w:t>
      </w:r>
    </w:p>
    <w:p w:rsidR="00563DE1" w:rsidP="00517069" w14:paraId="5BC29D35" w14:textId="77777777">
      <w:pPr>
        <w:spacing w:line="276" w:lineRule="auto"/>
      </w:pPr>
    </w:p>
    <w:p w:rsidRPr="006A7329" w:rsidR="0078536E" w:rsidP="00C225F5" w14:paraId="5415E7E0" w14:textId="77777777">
      <w:pPr>
        <w:pStyle w:val="ListParagraph"/>
        <w:numPr>
          <w:ilvl w:val="1"/>
          <w:numId w:val="10"/>
        </w:numPr>
        <w:spacing w:after="0" w:line="276" w:lineRule="auto"/>
        <w:rPr>
          <w:rFonts w:ascii="Verdana" w:hAnsi="Verdana"/>
          <w:b/>
          <w:bCs/>
          <w:sz w:val="18"/>
          <w:szCs w:val="18"/>
        </w:rPr>
      </w:pPr>
      <w:r w:rsidRPr="006A7329">
        <w:rPr>
          <w:rFonts w:ascii="Verdana" w:hAnsi="Verdana"/>
          <w:b/>
          <w:bCs/>
          <w:sz w:val="18"/>
          <w:szCs w:val="18"/>
        </w:rPr>
        <w:t>Bevindingen</w:t>
      </w:r>
      <w:r w:rsidRPr="006A7329" w:rsidR="007E0BC6">
        <w:rPr>
          <w:rFonts w:ascii="Verdana" w:hAnsi="Verdana"/>
          <w:b/>
          <w:bCs/>
          <w:sz w:val="18"/>
          <w:szCs w:val="18"/>
        </w:rPr>
        <w:t xml:space="preserve"> ten aanzien van subsidieverantwoording 2024</w:t>
      </w:r>
    </w:p>
    <w:p w:rsidR="00754DB4" w:rsidP="00C225F5" w14:paraId="676D4C3F" w14:textId="77777777">
      <w:pPr>
        <w:spacing w:line="276" w:lineRule="auto"/>
      </w:pPr>
    </w:p>
    <w:p w:rsidRPr="00891217" w:rsidR="00D14522" w:rsidP="00C225F5" w14:paraId="6712FEDA" w14:textId="77777777">
      <w:pPr>
        <w:spacing w:line="276" w:lineRule="auto"/>
      </w:pPr>
      <w:r w:rsidRPr="00891217">
        <w:t>19 van de 20 partijen hebben</w:t>
      </w:r>
      <w:r w:rsidRPr="00891217" w:rsidR="000728A1">
        <w:t xml:space="preserve"> </w:t>
      </w:r>
      <w:r w:rsidR="00C225F5">
        <w:t xml:space="preserve">tijdig </w:t>
      </w:r>
      <w:r w:rsidRPr="00891217" w:rsidR="000728A1">
        <w:t>een</w:t>
      </w:r>
      <w:r w:rsidRPr="00891217">
        <w:t xml:space="preserve"> </w:t>
      </w:r>
      <w:r w:rsidR="00250EF7">
        <w:t xml:space="preserve">volledige </w:t>
      </w:r>
      <w:r w:rsidRPr="00891217">
        <w:t>verantwoording</w:t>
      </w:r>
      <w:r w:rsidR="00634227">
        <w:t xml:space="preserve"> over het jaar 2024</w:t>
      </w:r>
      <w:r w:rsidRPr="00891217">
        <w:t xml:space="preserve"> ingediend. Met</w:t>
      </w:r>
      <w:r w:rsidRPr="00891217">
        <w:t xml:space="preserve"> uitzondering van BIJ1</w:t>
      </w:r>
      <w:r w:rsidRPr="00891217">
        <w:t xml:space="preserve"> hebben uiteindelijk alle politieke partijen aan de wettelijke vereisten voldaan. </w:t>
      </w:r>
      <w:r w:rsidRPr="00891217">
        <w:t xml:space="preserve">Wel </w:t>
      </w:r>
      <w:r w:rsidR="00250EF7">
        <w:t>moest het merendeel van de politieke partijen</w:t>
      </w:r>
      <w:r w:rsidRPr="00891217">
        <w:t xml:space="preserve"> herstelwerkzaamheden uitvoeren. </w:t>
      </w:r>
    </w:p>
    <w:p w:rsidRPr="001720C0" w:rsidR="00CC2A9F" w:rsidP="00517069" w14:paraId="5EC7D599" w14:textId="77777777">
      <w:pPr>
        <w:spacing w:line="276" w:lineRule="auto"/>
        <w:rPr>
          <w:i/>
          <w:iCs/>
        </w:rPr>
      </w:pPr>
    </w:p>
    <w:p w:rsidRPr="001720C0" w:rsidR="001720C0" w:rsidP="00517069" w14:paraId="335A37B5" w14:textId="77777777">
      <w:pPr>
        <w:spacing w:line="276" w:lineRule="auto"/>
        <w:rPr>
          <w:i/>
          <w:iCs/>
        </w:rPr>
      </w:pPr>
      <w:bookmarkStart w:name="_Hlk220917081" w:id="0"/>
      <w:r w:rsidRPr="001720C0">
        <w:rPr>
          <w:i/>
          <w:iCs/>
        </w:rPr>
        <w:t>Terugvordering subsidie aan BIJ1</w:t>
      </w:r>
    </w:p>
    <w:p w:rsidRPr="00891217" w:rsidR="00CC2A9F" w:rsidP="00517069" w14:paraId="2717EE87" w14:textId="77777777">
      <w:pPr>
        <w:spacing w:line="276" w:lineRule="auto"/>
      </w:pPr>
      <w:r w:rsidRPr="00891217">
        <w:t xml:space="preserve">Aan BIJ1 is voor 2024 subsidie verleend op grond van </w:t>
      </w:r>
      <w:r w:rsidR="00250EF7">
        <w:t xml:space="preserve">de afbouwregeling in </w:t>
      </w:r>
      <w:r w:rsidRPr="00891217">
        <w:t xml:space="preserve">de </w:t>
      </w:r>
      <w:r w:rsidR="008428F8">
        <w:t>Wfpp</w:t>
      </w:r>
      <w:r w:rsidRPr="00891217">
        <w:t>.</w:t>
      </w:r>
      <w:r>
        <w:rPr>
          <w:rStyle w:val="FootnoteReference"/>
        </w:rPr>
        <w:footnoteReference w:id="7"/>
      </w:r>
      <w:r w:rsidRPr="00891217">
        <w:t xml:space="preserve"> BIJ1 was verplicht vóór 1 juli 2025 een aanvraag tot vaststelling van de subsidie in te dienen bij het ministerie van BZK. Wegens het overschrijden van de wettelijke aanlevertermijn, het herhaaldelijk niet</w:t>
      </w:r>
      <w:r w:rsidR="008428F8">
        <w:t>-</w:t>
      </w:r>
      <w:r w:rsidRPr="00891217">
        <w:t xml:space="preserve">naleven van de daarop volgende hersteltermijnen en het feit dat de – na de laatst gestelde </w:t>
      </w:r>
      <w:r w:rsidR="00634227">
        <w:t>termijn</w:t>
      </w:r>
      <w:r w:rsidRPr="00891217" w:rsidR="00634227">
        <w:t xml:space="preserve"> </w:t>
      </w:r>
      <w:r w:rsidRPr="00891217">
        <w:t>– ingediende aanvraag gebreken bevat, wordt de subsidie</w:t>
      </w:r>
      <w:r w:rsidRPr="00891217" w:rsidR="00327371">
        <w:t xml:space="preserve"> conform het advies van de </w:t>
      </w:r>
      <w:r w:rsidRPr="00891217" w:rsidR="00327371">
        <w:t>Ctfpp</w:t>
      </w:r>
      <w:r w:rsidRPr="00891217">
        <w:t xml:space="preserve"> </w:t>
      </w:r>
      <w:r w:rsidR="00250EF7">
        <w:t xml:space="preserve">vastgesteld op nihil en wordt het volledige voorschotbedrag </w:t>
      </w:r>
      <w:r w:rsidRPr="00891217" w:rsidR="00E94F69">
        <w:t>teruggevorderd</w:t>
      </w:r>
      <w:r w:rsidRPr="00891217">
        <w:t>.</w:t>
      </w:r>
      <w:r w:rsidR="003C77C6">
        <w:t xml:space="preserve"> BIJ1 heeft nog de gelegenheid om tegen het besluit in bezwaar te gaan. </w:t>
      </w:r>
    </w:p>
    <w:p w:rsidR="00CC2A9F" w:rsidP="00517069" w14:paraId="5C26675D" w14:textId="77777777">
      <w:pPr>
        <w:spacing w:line="276" w:lineRule="auto"/>
      </w:pPr>
    </w:p>
    <w:bookmarkEnd w:id="0"/>
    <w:p w:rsidRPr="008A073F" w:rsidR="001720C0" w:rsidP="00517069" w14:paraId="48584F13" w14:textId="77777777">
      <w:pPr>
        <w:spacing w:line="276" w:lineRule="auto"/>
        <w:rPr>
          <w:i/>
          <w:iCs/>
        </w:rPr>
      </w:pPr>
      <w:r w:rsidRPr="008A073F">
        <w:rPr>
          <w:i/>
          <w:iCs/>
        </w:rPr>
        <w:t>Subsidiebesteding BBB</w:t>
      </w:r>
      <w:r w:rsidRPr="008A073F" w:rsidR="00265C69">
        <w:rPr>
          <w:i/>
          <w:iCs/>
        </w:rPr>
        <w:t xml:space="preserve"> aan </w:t>
      </w:r>
      <w:r w:rsidRPr="008A073F" w:rsidR="00265C69">
        <w:rPr>
          <w:i/>
          <w:iCs/>
        </w:rPr>
        <w:t>ReMarkAble</w:t>
      </w:r>
      <w:r w:rsidRPr="008A073F" w:rsidR="00265C69">
        <w:rPr>
          <w:i/>
          <w:iCs/>
        </w:rPr>
        <w:t xml:space="preserve"> </w:t>
      </w:r>
    </w:p>
    <w:p w:rsidRPr="00566987" w:rsidR="00265C69" w:rsidP="00265C69" w14:paraId="7EDE6224" w14:textId="77777777">
      <w:pPr>
        <w:spacing w:line="276" w:lineRule="auto"/>
      </w:pPr>
      <w:r>
        <w:t xml:space="preserve">Naar aanleiding van de aandacht die is geweest voor de transacties tussen BBB en </w:t>
      </w:r>
      <w:r>
        <w:t>ReMarkAble</w:t>
      </w:r>
      <w:r>
        <w:t xml:space="preserve"> adviseert de commissie om richtlijnen voor </w:t>
      </w:r>
      <w:r>
        <w:t>good</w:t>
      </w:r>
      <w:r>
        <w:t xml:space="preserve"> </w:t>
      </w:r>
      <w:r>
        <w:t>governance</w:t>
      </w:r>
      <w:r>
        <w:t xml:space="preserve"> </w:t>
      </w:r>
      <w:r>
        <w:t xml:space="preserve">te delen met politieke partijen zodat zij situaties kunnen voorkomen die de schijn van belangenverstrengeling oproepen. Ik </w:t>
      </w:r>
      <w:r w:rsidR="0076642D">
        <w:t xml:space="preserve">neem dit advies over en zal </w:t>
      </w:r>
      <w:r>
        <w:t xml:space="preserve">de kaders en richtlijnen voor </w:t>
      </w:r>
      <w:r w:rsidR="005E5AA6">
        <w:t>R</w:t>
      </w:r>
      <w:r>
        <w:t xml:space="preserve">ijksinkoop </w:t>
      </w:r>
      <w:r w:rsidR="0076642D">
        <w:t>delen</w:t>
      </w:r>
      <w:r>
        <w:t xml:space="preserve"> met politieke partijen. Daarnaast verzoekt de commissie om nader onderzoek te verrichten naar de transacties tussen BBB en </w:t>
      </w:r>
      <w:r>
        <w:t>ReMarkAble</w:t>
      </w:r>
      <w:r>
        <w:t>. Dit acht ik niet noodzakelijk. Het is de taak van de accountant om de verantwoording van een politieke partij te controleren. Wanneer de accountant op materiële afwijkingen stuit, vermeldt de accountant dit in de controleverklaring. Gelet op de goedkeurende verklaring van de accountant van de BBB ziet BZK geen aanleiding tot nader onderzoek. Ik heb de BBB evenwel voor een review van de Auditdienst Rijk (ADR) geselecteerd voor de jaren 2022 en 2023.</w:t>
      </w:r>
    </w:p>
    <w:p w:rsidRPr="00382B76" w:rsidR="001720C0" w:rsidP="00517069" w14:paraId="346801E7" w14:textId="77777777">
      <w:pPr>
        <w:spacing w:line="276" w:lineRule="auto"/>
      </w:pPr>
    </w:p>
    <w:p w:rsidRPr="006A7329" w:rsidR="0078536E" w:rsidP="006A7329" w14:paraId="151DDA74" w14:textId="77777777">
      <w:pPr>
        <w:pStyle w:val="ListParagraph"/>
        <w:numPr>
          <w:ilvl w:val="1"/>
          <w:numId w:val="10"/>
        </w:numPr>
        <w:spacing w:line="276" w:lineRule="auto"/>
        <w:rPr>
          <w:rFonts w:ascii="Verdana" w:hAnsi="Verdana"/>
          <w:b/>
          <w:bCs/>
          <w:sz w:val="18"/>
          <w:szCs w:val="18"/>
        </w:rPr>
      </w:pPr>
      <w:r w:rsidRPr="006A7329">
        <w:rPr>
          <w:rFonts w:ascii="Verdana" w:hAnsi="Verdana"/>
          <w:b/>
          <w:bCs/>
          <w:sz w:val="18"/>
          <w:szCs w:val="18"/>
        </w:rPr>
        <w:t>Verantwoording</w:t>
      </w:r>
      <w:r w:rsidRPr="006A7329" w:rsidR="00D14522">
        <w:rPr>
          <w:rFonts w:ascii="Verdana" w:hAnsi="Verdana"/>
          <w:b/>
          <w:bCs/>
          <w:sz w:val="18"/>
          <w:szCs w:val="18"/>
        </w:rPr>
        <w:t xml:space="preserve"> over </w:t>
      </w:r>
      <w:r w:rsidRPr="006A7329">
        <w:rPr>
          <w:rFonts w:ascii="Verdana" w:hAnsi="Verdana"/>
          <w:b/>
          <w:bCs/>
          <w:sz w:val="18"/>
          <w:szCs w:val="18"/>
        </w:rPr>
        <w:t>aanvullende transparantieverplichtingen</w:t>
      </w:r>
      <w:r w:rsidRPr="006A7329" w:rsidR="007D4E2E">
        <w:rPr>
          <w:rFonts w:ascii="Verdana" w:hAnsi="Verdana"/>
          <w:b/>
          <w:bCs/>
          <w:sz w:val="18"/>
          <w:szCs w:val="18"/>
        </w:rPr>
        <w:t xml:space="preserve"> TK-verkiezingen</w:t>
      </w:r>
    </w:p>
    <w:p w:rsidR="00754DB4" w:rsidP="00517069" w14:paraId="35525E52" w14:textId="77777777">
      <w:pPr>
        <w:spacing w:line="276" w:lineRule="auto"/>
      </w:pPr>
      <w:r w:rsidRPr="00891217">
        <w:t>Voor politieke partijen die deelnemen aan een Tweede Kamerverkiezing gelden aanvullende transparantieverplichtingen</w:t>
      </w:r>
      <w:r w:rsidR="00E16B58">
        <w:t xml:space="preserve"> op grond van de </w:t>
      </w:r>
      <w:r w:rsidR="00E16B58">
        <w:t>Wfpp</w:t>
      </w:r>
      <w:r w:rsidRPr="00891217">
        <w:t>.</w:t>
      </w:r>
      <w:r>
        <w:rPr>
          <w:rStyle w:val="FootnoteReference"/>
        </w:rPr>
        <w:footnoteReference w:id="8"/>
      </w:r>
      <w:r w:rsidRPr="00891217">
        <w:t xml:space="preserve"> Voor</w:t>
      </w:r>
      <w:r w:rsidR="00E16B58">
        <w:t>afgaand aan</w:t>
      </w:r>
      <w:r w:rsidRPr="00891217">
        <w:t xml:space="preserve"> de verkiezing moeten alle deelnemende politieke partijen een overzicht van giften</w:t>
      </w:r>
      <w:r w:rsidR="00E16B58">
        <w:t xml:space="preserve"> aan</w:t>
      </w:r>
      <w:r w:rsidRPr="00891217">
        <w:t xml:space="preserve"> en schulden</w:t>
      </w:r>
      <w:r w:rsidR="00E16B58">
        <w:t xml:space="preserve"> van de partij</w:t>
      </w:r>
      <w:r w:rsidRPr="00891217">
        <w:t xml:space="preserve"> en een overzicht van giften aan </w:t>
      </w:r>
      <w:r w:rsidR="00E16B58">
        <w:t xml:space="preserve">de </w:t>
      </w:r>
      <w:r w:rsidRPr="00891217">
        <w:t xml:space="preserve">kandidaten </w:t>
      </w:r>
      <w:r w:rsidRPr="00891217">
        <w:t>aanleveren</w:t>
      </w:r>
      <w:r w:rsidR="00E16B58">
        <w:t xml:space="preserve"> bij het ministerie van BZK</w:t>
      </w:r>
      <w:r w:rsidRPr="00891217">
        <w:t xml:space="preserve">. Na </w:t>
      </w:r>
      <w:r w:rsidR="00E16B58">
        <w:t xml:space="preserve">afloop van </w:t>
      </w:r>
      <w:r w:rsidRPr="00891217">
        <w:t xml:space="preserve">de verkiezing moeten </w:t>
      </w:r>
      <w:r w:rsidRPr="0078536E">
        <w:t>politieke partijen die hebben deelgenomen aan de verkiezing én minimaal één zetel hebben</w:t>
      </w:r>
      <w:r w:rsidR="00E16B58">
        <w:t xml:space="preserve"> </w:t>
      </w:r>
      <w:r w:rsidRPr="0078536E">
        <w:t xml:space="preserve">in de Tweede of Eerste Kamer een overzicht van giften </w:t>
      </w:r>
      <w:r w:rsidR="00E16B58">
        <w:t xml:space="preserve">aan </w:t>
      </w:r>
      <w:r w:rsidRPr="0078536E">
        <w:t xml:space="preserve">en schulden </w:t>
      </w:r>
      <w:r w:rsidR="00E16B58">
        <w:t xml:space="preserve">van de partij aanleveren </w:t>
      </w:r>
      <w:r w:rsidRPr="0078536E">
        <w:t>over de laatste drie weken voor de verkiezing.</w:t>
      </w:r>
      <w:r>
        <w:t xml:space="preserve"> </w:t>
      </w:r>
      <w:r w:rsidR="00F13EED">
        <w:t xml:space="preserve">Uiteindelijk hebben alle partijen </w:t>
      </w:r>
      <w:r>
        <w:t>de overzichten aangeleverd</w:t>
      </w:r>
      <w:r w:rsidR="00F13EED">
        <w:t>.</w:t>
      </w:r>
      <w:r>
        <w:t xml:space="preserve"> Ook de in het advies van de </w:t>
      </w:r>
      <w:r>
        <w:t>Ctfpp</w:t>
      </w:r>
      <w:r>
        <w:t xml:space="preserve"> aangehaalde politieke partijen hebben, weliswaar na </w:t>
      </w:r>
      <w:r w:rsidR="0076642D">
        <w:t>indiening van de stukken bij</w:t>
      </w:r>
      <w:r>
        <w:t xml:space="preserve"> de </w:t>
      </w:r>
      <w:r>
        <w:t>Ctfpp</w:t>
      </w:r>
      <w:r>
        <w:t xml:space="preserve">, de overzichten aangeleverd. Het ging hierbij om De Linie en 50PLUS. </w:t>
      </w:r>
    </w:p>
    <w:p w:rsidR="00283DA0" w:rsidP="00517069" w14:paraId="33F942E3" w14:textId="77777777">
      <w:pPr>
        <w:spacing w:line="276" w:lineRule="auto"/>
      </w:pPr>
    </w:p>
    <w:p w:rsidRPr="000E38C1" w:rsidR="000E38C1" w:rsidP="00517069" w14:paraId="7C87C2CC" w14:textId="77777777">
      <w:pPr>
        <w:spacing w:line="276" w:lineRule="auto"/>
        <w:rPr>
          <w:i/>
          <w:iCs/>
        </w:rPr>
      </w:pPr>
      <w:r w:rsidRPr="000E38C1">
        <w:rPr>
          <w:i/>
          <w:iCs/>
        </w:rPr>
        <w:t xml:space="preserve">Neveninstellingen </w:t>
      </w:r>
    </w:p>
    <w:p w:rsidR="000E38C1" w:rsidP="00517069" w14:paraId="7F48FF1F" w14:textId="77777777">
      <w:pPr>
        <w:spacing w:line="276" w:lineRule="auto"/>
      </w:pPr>
      <w:r>
        <w:t xml:space="preserve">Neveninstellingen zijn </w:t>
      </w:r>
      <w:r w:rsidR="00E16B58">
        <w:t xml:space="preserve">al geruime tijd </w:t>
      </w:r>
      <w:r>
        <w:t>verplicht informatie aan te leveren voor de jaarlijkse verantwoording</w:t>
      </w:r>
      <w:r w:rsidR="00E16B58">
        <w:t>. S</w:t>
      </w:r>
      <w:r>
        <w:t>inds</w:t>
      </w:r>
      <w:r w:rsidRPr="006151F5">
        <w:t xml:space="preserve"> 1 januari 2024 </w:t>
      </w:r>
      <w:r>
        <w:t xml:space="preserve">geldt deze verplichting </w:t>
      </w:r>
      <w:r w:rsidR="00E16B58">
        <w:t xml:space="preserve">echter </w:t>
      </w:r>
      <w:r>
        <w:t xml:space="preserve">ook </w:t>
      </w:r>
      <w:r w:rsidR="00E16B58">
        <w:t>voor de overzichten in het kader van een Tweede Kamerverkiezing</w:t>
      </w:r>
      <w:r w:rsidRPr="006151F5">
        <w:t xml:space="preserve">. </w:t>
      </w:r>
      <w:r>
        <w:t>I</w:t>
      </w:r>
      <w:r w:rsidRPr="006151F5" w:rsidR="00585B9C">
        <w:t xml:space="preserve">n een aantal gevallen </w:t>
      </w:r>
      <w:r>
        <w:t xml:space="preserve">ontbrak </w:t>
      </w:r>
      <w:r w:rsidRPr="006151F5" w:rsidR="00585B9C">
        <w:t>het overzicht van giften en schulden van de neveninstellingen</w:t>
      </w:r>
      <w:r>
        <w:t>.</w:t>
      </w:r>
      <w:r w:rsidR="00754DB4">
        <w:t xml:space="preserve"> Dit is uiteindelijk door alle politieke partijen hersteld.</w:t>
      </w:r>
    </w:p>
    <w:p w:rsidRPr="007C718E" w:rsidR="0078536E" w:rsidP="00517069" w14:paraId="2E704192" w14:textId="77777777">
      <w:pPr>
        <w:spacing w:line="276" w:lineRule="auto"/>
        <w:rPr>
          <w:i/>
          <w:iCs/>
        </w:rPr>
      </w:pPr>
    </w:p>
    <w:p w:rsidRPr="00091405" w:rsidR="0078536E" w:rsidP="00517069" w14:paraId="23905AE1" w14:textId="77777777">
      <w:pPr>
        <w:pStyle w:val="ListParagraph"/>
        <w:numPr>
          <w:ilvl w:val="0"/>
          <w:numId w:val="10"/>
        </w:numPr>
        <w:spacing w:line="276" w:lineRule="auto"/>
        <w:rPr>
          <w:rFonts w:ascii="Verdana" w:hAnsi="Verdana"/>
          <w:b/>
          <w:bCs/>
          <w:sz w:val="18"/>
          <w:szCs w:val="18"/>
        </w:rPr>
      </w:pPr>
      <w:r>
        <w:rPr>
          <w:rFonts w:ascii="Verdana" w:hAnsi="Verdana"/>
          <w:b/>
          <w:bCs/>
          <w:sz w:val="18"/>
          <w:szCs w:val="18"/>
        </w:rPr>
        <w:t>Verduidelijkingen</w:t>
      </w:r>
      <w:r w:rsidRPr="00091405">
        <w:rPr>
          <w:rFonts w:ascii="Verdana" w:hAnsi="Verdana"/>
          <w:b/>
          <w:bCs/>
          <w:sz w:val="18"/>
          <w:szCs w:val="18"/>
        </w:rPr>
        <w:t xml:space="preserve"> wet- en regelgeving</w:t>
      </w:r>
      <w:r>
        <w:rPr>
          <w:rFonts w:ascii="Verdana" w:hAnsi="Verdana"/>
          <w:b/>
          <w:bCs/>
          <w:sz w:val="18"/>
          <w:szCs w:val="18"/>
        </w:rPr>
        <w:t xml:space="preserve"> partijfinanciering</w:t>
      </w:r>
    </w:p>
    <w:p w:rsidRPr="00C225F5" w:rsidR="0078536E" w:rsidP="00517069" w14:paraId="73FB1F3C" w14:textId="77777777">
      <w:pPr>
        <w:spacing w:line="276" w:lineRule="auto"/>
        <w:rPr>
          <w:i/>
          <w:iCs/>
        </w:rPr>
      </w:pPr>
      <w:r w:rsidRPr="00C225F5">
        <w:rPr>
          <w:i/>
          <w:iCs/>
        </w:rPr>
        <w:t>Sanctieregime</w:t>
      </w:r>
    </w:p>
    <w:p w:rsidR="0078536E" w:rsidP="00517069" w14:paraId="03EA352A" w14:textId="77777777">
      <w:pPr>
        <w:spacing w:line="276" w:lineRule="auto"/>
      </w:pPr>
      <w:r>
        <w:t xml:space="preserve">Eerder </w:t>
      </w:r>
      <w:r w:rsidR="003C4A34">
        <w:t>he</w:t>
      </w:r>
      <w:r w:rsidR="00487764">
        <w:t>eft mijn ambtsvoorganger</w:t>
      </w:r>
      <w:r>
        <w:t>– op verzoek van de commissie – toegezegd dat</w:t>
      </w:r>
      <w:r w:rsidRPr="007C718E">
        <w:t xml:space="preserve"> een sanctieregime </w:t>
      </w:r>
      <w:r>
        <w:t>wordt uitgewerkt</w:t>
      </w:r>
      <w:r w:rsidRPr="007C718E">
        <w:t xml:space="preserve"> zodat het voor politieke partijen en voor de toezichthouder duidelijk is welke sancties volgen wanneer een partij niet aan de wettelijke voorschriften heeft voldaan.</w:t>
      </w:r>
      <w:r>
        <w:t xml:space="preserve"> Gelet op de beoogde totstandkoming van de Wet op de politieke partijen (</w:t>
      </w:r>
      <w:r>
        <w:t>Wpp</w:t>
      </w:r>
      <w:r>
        <w:t>),</w:t>
      </w:r>
      <w:r w:rsidR="00487764">
        <w:t xml:space="preserve"> gaf mijn ambtsvoorganger aan </w:t>
      </w:r>
      <w:r>
        <w:t xml:space="preserve">te willen wachten met de uitwerking van het sanctieregime tot de parlementaire behandeling van de </w:t>
      </w:r>
      <w:r>
        <w:t>Wpp</w:t>
      </w:r>
      <w:r w:rsidRPr="007C718E">
        <w:t xml:space="preserve">. </w:t>
      </w:r>
      <w:r w:rsidR="00E16B58">
        <w:t>Met een</w:t>
      </w:r>
      <w:r>
        <w:t xml:space="preserve"> oog op de herhaaldelijke niet-naleving van bepaalde voorschriften</w:t>
      </w:r>
      <w:r w:rsidR="00E16B58">
        <w:t xml:space="preserve"> adviseert de commissie</w:t>
      </w:r>
      <w:r>
        <w:t xml:space="preserve"> </w:t>
      </w:r>
      <w:r w:rsidRPr="007C718E">
        <w:t xml:space="preserve">dit sanctieregime al eerder te implementeren. </w:t>
      </w:r>
      <w:r w:rsidR="001720C0">
        <w:t>Ik beaam dit</w:t>
      </w:r>
      <w:r>
        <w:t xml:space="preserve"> </w:t>
      </w:r>
      <w:r w:rsidR="00AC012B">
        <w:t>en zal daarom</w:t>
      </w:r>
      <w:r>
        <w:t xml:space="preserve"> </w:t>
      </w:r>
      <w:r w:rsidR="008252EC">
        <w:t xml:space="preserve">een </w:t>
      </w:r>
      <w:r w:rsidRPr="007C718E">
        <w:t xml:space="preserve">beleidsregel </w:t>
      </w:r>
      <w:r>
        <w:t xml:space="preserve">uitwerken op grond van de huidige </w:t>
      </w:r>
      <w:r>
        <w:t>Wfpp</w:t>
      </w:r>
      <w:r>
        <w:t xml:space="preserve">. Deze beleidsregel kan als voorzet worden benut voor het sanctieregime op grond van de </w:t>
      </w:r>
      <w:r>
        <w:t>Wpp</w:t>
      </w:r>
      <w:r>
        <w:t xml:space="preserve">, aangezien de financieringsregels </w:t>
      </w:r>
      <w:r w:rsidR="008252EC">
        <w:t xml:space="preserve">vrijwel volledig </w:t>
      </w:r>
      <w:r w:rsidR="00E16B58">
        <w:t>zijn</w:t>
      </w:r>
      <w:r>
        <w:t xml:space="preserve"> overgenomen</w:t>
      </w:r>
      <w:r w:rsidR="00E16B58">
        <w:t xml:space="preserve"> in het wetsvoorstel</w:t>
      </w:r>
      <w:r>
        <w:t>. Het sanctieregime wordt</w:t>
      </w:r>
      <w:r w:rsidRPr="007C718E">
        <w:t xml:space="preserve"> ter advisering aan de </w:t>
      </w:r>
      <w:r w:rsidRPr="007C718E">
        <w:t>Ctfpp</w:t>
      </w:r>
      <w:r w:rsidRPr="007C718E">
        <w:t xml:space="preserve"> aangeboden. </w:t>
      </w:r>
      <w:r w:rsidR="00F87BCE">
        <w:t xml:space="preserve">Ik streef ernaar </w:t>
      </w:r>
      <w:r w:rsidRPr="007C718E">
        <w:t>dat het sanctieregime voor 1 juli 2026 in werking is getreden.</w:t>
      </w:r>
    </w:p>
    <w:p w:rsidRPr="003C4A34" w:rsidR="003C4A34" w:rsidP="00517069" w14:paraId="4B06432E" w14:textId="77777777">
      <w:pPr>
        <w:spacing w:line="276" w:lineRule="auto"/>
        <w:rPr>
          <w:u w:val="single"/>
        </w:rPr>
      </w:pPr>
    </w:p>
    <w:p w:rsidRPr="00C225F5" w:rsidR="0078536E" w:rsidP="00517069" w14:paraId="4A4C1B05" w14:textId="77777777">
      <w:pPr>
        <w:spacing w:line="276" w:lineRule="auto"/>
        <w:rPr>
          <w:i/>
          <w:iCs/>
        </w:rPr>
      </w:pPr>
      <w:r w:rsidRPr="00C225F5">
        <w:rPr>
          <w:i/>
          <w:iCs/>
        </w:rPr>
        <w:t>Accountantsprotocol</w:t>
      </w:r>
    </w:p>
    <w:p w:rsidRPr="007C718E" w:rsidR="0078536E" w:rsidP="00517069" w14:paraId="64B56A74" w14:textId="77777777">
      <w:pPr>
        <w:spacing w:line="276" w:lineRule="auto"/>
      </w:pPr>
      <w:r w:rsidRPr="007C718E">
        <w:t xml:space="preserve">Op 19 maart jl. heeft mijn ministerie een accountantsprotocol gepubliceerd, dat is afgestemd met de betrokken beroepsorganisatie. De </w:t>
      </w:r>
      <w:r w:rsidRPr="007C718E">
        <w:t>Ctfpp</w:t>
      </w:r>
      <w:r w:rsidRPr="007C718E">
        <w:t xml:space="preserve"> adviseert om het controleprotocol te herzien en drie onderwerpen </w:t>
      </w:r>
      <w:r w:rsidR="00E16B58">
        <w:t>daarin</w:t>
      </w:r>
      <w:r w:rsidRPr="007C718E">
        <w:t xml:space="preserve"> op te nemen: </w:t>
      </w:r>
    </w:p>
    <w:p w:rsidRPr="007C718E" w:rsidR="0078536E" w:rsidP="00517069" w14:paraId="1EC1C39A" w14:textId="77777777">
      <w:pPr>
        <w:pStyle w:val="ListParagraph"/>
        <w:numPr>
          <w:ilvl w:val="0"/>
          <w:numId w:val="9"/>
        </w:numPr>
        <w:spacing w:line="276" w:lineRule="auto"/>
        <w:rPr>
          <w:rFonts w:ascii="Verdana" w:hAnsi="Verdana"/>
          <w:sz w:val="18"/>
          <w:szCs w:val="18"/>
        </w:rPr>
      </w:pPr>
      <w:r w:rsidRPr="007C718E">
        <w:rPr>
          <w:rFonts w:ascii="Verdana" w:hAnsi="Verdana"/>
          <w:sz w:val="18"/>
          <w:szCs w:val="18"/>
        </w:rPr>
        <w:t>Het is gewenst om verduidelijking te geven wat kwalificeert als gift in natura;</w:t>
      </w:r>
    </w:p>
    <w:p w:rsidRPr="007C718E" w:rsidR="0078536E" w:rsidP="00517069" w14:paraId="0A79AE29" w14:textId="77777777">
      <w:pPr>
        <w:pStyle w:val="ListParagraph"/>
        <w:numPr>
          <w:ilvl w:val="0"/>
          <w:numId w:val="9"/>
        </w:numPr>
        <w:spacing w:line="276" w:lineRule="auto"/>
        <w:rPr>
          <w:rFonts w:ascii="Verdana" w:hAnsi="Verdana"/>
          <w:sz w:val="18"/>
          <w:szCs w:val="18"/>
        </w:rPr>
      </w:pPr>
      <w:r w:rsidRPr="007C718E">
        <w:rPr>
          <w:rFonts w:ascii="Verdana" w:hAnsi="Verdana"/>
          <w:sz w:val="18"/>
          <w:szCs w:val="18"/>
        </w:rPr>
        <w:t>Separaat toetsingskader voor neveninstellingen;</w:t>
      </w:r>
    </w:p>
    <w:p w:rsidRPr="007C718E" w:rsidR="0078536E" w:rsidP="00517069" w14:paraId="791B0BBF" w14:textId="77777777">
      <w:pPr>
        <w:pStyle w:val="ListParagraph"/>
        <w:numPr>
          <w:ilvl w:val="0"/>
          <w:numId w:val="9"/>
        </w:numPr>
        <w:spacing w:line="276" w:lineRule="auto"/>
        <w:rPr>
          <w:rFonts w:ascii="Verdana" w:hAnsi="Verdana"/>
          <w:sz w:val="18"/>
          <w:szCs w:val="18"/>
        </w:rPr>
      </w:pPr>
      <w:r>
        <w:rPr>
          <w:rFonts w:ascii="Verdana" w:hAnsi="Verdana"/>
          <w:sz w:val="18"/>
          <w:szCs w:val="18"/>
        </w:rPr>
        <w:t>E</w:t>
      </w:r>
      <w:r w:rsidRPr="007C718E">
        <w:rPr>
          <w:rFonts w:ascii="Verdana" w:hAnsi="Verdana"/>
          <w:sz w:val="18"/>
          <w:szCs w:val="18"/>
        </w:rPr>
        <w:t xml:space="preserve">en geactualiseerde uitleg over subsidiabele en niet-subsidiabele uitgaven per categorie. </w:t>
      </w:r>
    </w:p>
    <w:p w:rsidR="0078536E" w:rsidP="00517069" w14:paraId="1D9E88B6" w14:textId="77777777">
      <w:pPr>
        <w:spacing w:line="276" w:lineRule="auto"/>
      </w:pPr>
      <w:r w:rsidRPr="007C718E">
        <w:t xml:space="preserve">Omdat het protocol pas na afloop van het verantwoordingsjaar 2024 in werking is getreden, is aan </w:t>
      </w:r>
      <w:r w:rsidR="0050432A">
        <w:t xml:space="preserve">politieke </w:t>
      </w:r>
      <w:r w:rsidRPr="007C718E">
        <w:t>partijen</w:t>
      </w:r>
      <w:r w:rsidR="0050432A">
        <w:t xml:space="preserve"> en accountants</w:t>
      </w:r>
      <w:r w:rsidRPr="007C718E">
        <w:t xml:space="preserve"> de mogelijkheid geboden om de financiële verantwoording op te stellen conform de oude werkwijze. Veel partijen hebben om deze reden geen gebruik gemaakt van het controleprotocol. Voor een </w:t>
      </w:r>
      <w:r w:rsidRPr="007C718E">
        <w:t xml:space="preserve">gedegen evaluatie acht </w:t>
      </w:r>
      <w:r w:rsidR="0050432A">
        <w:t>ik</w:t>
      </w:r>
      <w:r w:rsidRPr="007C718E">
        <w:t xml:space="preserve"> het wenselijk om de volledige implementatie van het protocol per verantwoordingsjaar 2025 af te wachten. De door de commissie aangedragen aandachtspunten worden in de evaluatie meegenomen. Voor de verantwoording over 2025 wordt ingezet op extra informatievoorziening </w:t>
      </w:r>
      <w:r w:rsidR="0050432A">
        <w:t>om de correcte toepassing</w:t>
      </w:r>
      <w:r w:rsidRPr="007C718E">
        <w:t xml:space="preserve"> van het protocol</w:t>
      </w:r>
      <w:r w:rsidR="0050432A">
        <w:t xml:space="preserve"> te bevorderen. </w:t>
      </w:r>
    </w:p>
    <w:p w:rsidRPr="00C225F5" w:rsidR="0078536E" w:rsidP="00517069" w14:paraId="65EF7E5D" w14:textId="77777777">
      <w:pPr>
        <w:spacing w:line="276" w:lineRule="auto"/>
        <w:rPr>
          <w:i/>
          <w:iCs/>
        </w:rPr>
      </w:pPr>
    </w:p>
    <w:p w:rsidRPr="00C225F5" w:rsidR="0078536E" w:rsidP="00517069" w14:paraId="2FCFA43B" w14:textId="77777777">
      <w:pPr>
        <w:spacing w:line="276" w:lineRule="auto"/>
        <w:rPr>
          <w:i/>
          <w:iCs/>
        </w:rPr>
      </w:pPr>
      <w:r w:rsidRPr="00C225F5">
        <w:rPr>
          <w:i/>
          <w:iCs/>
        </w:rPr>
        <w:t xml:space="preserve">Openbaarmaking </w:t>
      </w:r>
      <w:r w:rsidRPr="00C225F5">
        <w:rPr>
          <w:i/>
          <w:iCs/>
        </w:rPr>
        <w:t>UBO’s</w:t>
      </w:r>
    </w:p>
    <w:p w:rsidRPr="00E838C7" w:rsidR="00E838C7" w:rsidP="00E838C7" w14:paraId="4BDC3B3B" w14:textId="77777777">
      <w:pPr>
        <w:spacing w:line="276" w:lineRule="auto"/>
      </w:pPr>
      <w:r>
        <w:t xml:space="preserve">De commissie heeft op mijn verzoek geadviseerd over de werkwijze </w:t>
      </w:r>
      <w:r w:rsidR="00E7476E">
        <w:t>omtrent</w:t>
      </w:r>
      <w:r>
        <w:t xml:space="preserve"> de</w:t>
      </w:r>
      <w:r w:rsidR="0078536E">
        <w:t xml:space="preserve"> openbaarmaking van de </w:t>
      </w:r>
      <w:r w:rsidR="0078536E">
        <w:t>UBO’s</w:t>
      </w:r>
      <w:r w:rsidR="0078536E">
        <w:t>.</w:t>
      </w:r>
      <w:r w:rsidR="00E7476E">
        <w:t xml:space="preserve"> Bij een gift van een rechtspersoon openbaart het ministerie het volledige vestigingsadres. Van de UBO wordt uitsluitend de naam en de woonplaats openbaar gemaakt. Dit betekent dat, wanneer de adressen van de rechtspersoon en de UBO gelijk zijn,</w:t>
      </w:r>
      <w:r w:rsidRPr="007C718E" w:rsidR="0078536E">
        <w:t xml:space="preserve"> </w:t>
      </w:r>
      <w:r w:rsidR="00E7476E">
        <w:t xml:space="preserve">het volledige woonadres van een natuurlijk persoon indirect openbaar wordt gemaakt. </w:t>
      </w:r>
      <w:r w:rsidRPr="00B72564" w:rsidR="00B72564">
        <w:t xml:space="preserve">De </w:t>
      </w:r>
      <w:r w:rsidR="0050432A">
        <w:t>commissie</w:t>
      </w:r>
      <w:r w:rsidRPr="00B72564" w:rsidR="00B72564">
        <w:t xml:space="preserve"> heeft begrip voor het veiligheidsrisico dat ontstaat bij het publiceren van het volledige adres van een rechtspersoon </w:t>
      </w:r>
      <w:r w:rsidR="00E7476E">
        <w:t>indien deze</w:t>
      </w:r>
      <w:r w:rsidRPr="00B72564" w:rsidR="00E7476E">
        <w:t xml:space="preserve"> </w:t>
      </w:r>
      <w:r w:rsidRPr="00B72564" w:rsidR="00B72564">
        <w:t>gelijk is aan het woonadres van de UBO</w:t>
      </w:r>
      <w:r w:rsidR="00E7476E">
        <w:t>. De commissie hecht evenwel</w:t>
      </w:r>
      <w:r w:rsidRPr="00B72564" w:rsidR="00B72564">
        <w:t xml:space="preserve"> </w:t>
      </w:r>
      <w:r w:rsidR="00E7476E">
        <w:t>een</w:t>
      </w:r>
      <w:r w:rsidRPr="00B72564" w:rsidR="00B72564">
        <w:t xml:space="preserve"> groot belang aan transparantie. De </w:t>
      </w:r>
      <w:r w:rsidRPr="00B72564" w:rsidR="00B72564">
        <w:t>Ctfpp</w:t>
      </w:r>
      <w:r w:rsidRPr="00B72564" w:rsidR="00B72564">
        <w:t xml:space="preserve"> adviseert daarom in voorkomende gevallen </w:t>
      </w:r>
      <w:r w:rsidR="00E7476E">
        <w:t xml:space="preserve">uitsluitend </w:t>
      </w:r>
      <w:r w:rsidRPr="00B72564" w:rsidR="00B72564">
        <w:t>de naam en woon</w:t>
      </w:r>
      <w:r w:rsidR="00E7476E">
        <w:t>-</w:t>
      </w:r>
      <w:r w:rsidRPr="00B72564" w:rsidR="00B72564">
        <w:t xml:space="preserve">/vestigingsplaats </w:t>
      </w:r>
      <w:r w:rsidR="0050432A">
        <w:t xml:space="preserve">van een rechtspersoon en UBO </w:t>
      </w:r>
      <w:r w:rsidRPr="00B72564" w:rsidR="00B72564">
        <w:t xml:space="preserve">te </w:t>
      </w:r>
      <w:r w:rsidR="0050432A">
        <w:t>openbaren</w:t>
      </w:r>
      <w:r w:rsidRPr="00B72564" w:rsidR="00B72564">
        <w:t xml:space="preserve">. </w:t>
      </w:r>
      <w:r w:rsidR="0050432A">
        <w:t>Ik hecht evenals de commissie veel waarde aan transparantie, maar ben ook bereid passende maatregelen te treffen om de privacy en veiligheid van donateurs te beschermen</w:t>
      </w:r>
      <w:r w:rsidRPr="00584024" w:rsidR="00584024">
        <w:t xml:space="preserve">. </w:t>
      </w:r>
      <w:r w:rsidR="008252EC">
        <w:t>Voor het uitsluitend publiceren van de naam en de woon</w:t>
      </w:r>
      <w:r w:rsidR="00E7476E">
        <w:t>-</w:t>
      </w:r>
      <w:r w:rsidR="008252EC">
        <w:t xml:space="preserve">/vestigingsplaats van de donateur bestaat </w:t>
      </w:r>
      <w:r w:rsidR="00E7476E">
        <w:t xml:space="preserve">op grond van de </w:t>
      </w:r>
      <w:r w:rsidR="00E7476E">
        <w:t>Wfpp</w:t>
      </w:r>
      <w:r w:rsidR="00E7476E">
        <w:t xml:space="preserve"> </w:t>
      </w:r>
      <w:r w:rsidR="008252EC">
        <w:t>geen grondslag</w:t>
      </w:r>
      <w:r w:rsidR="007501AB">
        <w:t>. Ik</w:t>
      </w:r>
      <w:r w:rsidR="00265C69">
        <w:t xml:space="preserve"> kan uitsluitend besluiten om gelet op het belang van de veiligheid van die persoon of belanghebbende alle gegevens af te schermen. </w:t>
      </w:r>
      <w:r w:rsidR="007501AB">
        <w:t xml:space="preserve">Deze maatregel zet ik alleen in wanneer er sprake is van een concrete dreiging. </w:t>
      </w:r>
      <w:r w:rsidRPr="00E838C7">
        <w:t>Ik bekijk op dit moment de mogelijkheden om in een nota van wijziging het advies van de</w:t>
      </w:r>
      <w:r>
        <w:t xml:space="preserve"> commissie </w:t>
      </w:r>
      <w:r w:rsidRPr="00E838C7">
        <w:t xml:space="preserve">te verwerken in </w:t>
      </w:r>
      <w:r w:rsidR="00265C69">
        <w:t xml:space="preserve">bij uw Kamer aanhangige wetsvoorstel houdende de </w:t>
      </w:r>
      <w:r w:rsidR="00265C69">
        <w:t>Wpp</w:t>
      </w:r>
      <w:r w:rsidRPr="00E838C7">
        <w:t xml:space="preserve">. </w:t>
      </w:r>
    </w:p>
    <w:p w:rsidRPr="004572D8" w:rsidR="004572D8" w:rsidP="00517069" w14:paraId="5AD9316E" w14:textId="77777777">
      <w:pPr>
        <w:spacing w:line="276" w:lineRule="auto"/>
      </w:pPr>
    </w:p>
    <w:p w:rsidRPr="004572D8" w:rsidR="004572D8" w:rsidP="004572D8" w14:paraId="594A317C" w14:textId="77777777">
      <w:pPr>
        <w:pStyle w:val="ListParagraph"/>
        <w:numPr>
          <w:ilvl w:val="0"/>
          <w:numId w:val="10"/>
        </w:numPr>
        <w:spacing w:line="276" w:lineRule="auto"/>
        <w:rPr>
          <w:rFonts w:ascii="Verdana" w:hAnsi="Verdana"/>
          <w:b/>
          <w:bCs/>
          <w:sz w:val="18"/>
          <w:szCs w:val="18"/>
        </w:rPr>
      </w:pPr>
      <w:r w:rsidRPr="004572D8">
        <w:rPr>
          <w:rFonts w:ascii="Verdana" w:hAnsi="Verdana"/>
          <w:b/>
          <w:bCs/>
          <w:sz w:val="18"/>
          <w:szCs w:val="18"/>
        </w:rPr>
        <w:t xml:space="preserve">Slot </w:t>
      </w:r>
    </w:p>
    <w:p w:rsidRPr="004572D8" w:rsidR="004572D8" w:rsidP="004572D8" w14:paraId="0E594ACD" w14:textId="77777777">
      <w:pPr>
        <w:spacing w:line="276" w:lineRule="auto"/>
      </w:pPr>
      <w:r w:rsidRPr="004572D8">
        <w:t xml:space="preserve">Toezicht op </w:t>
      </w:r>
      <w:r>
        <w:t>de financiering</w:t>
      </w:r>
      <w:r w:rsidRPr="004572D8">
        <w:t xml:space="preserve"> van politieke partijen is van </w:t>
      </w:r>
      <w:r>
        <w:t>cruciaal</w:t>
      </w:r>
      <w:r w:rsidRPr="004572D8">
        <w:t xml:space="preserve"> belang voor</w:t>
      </w:r>
      <w:r>
        <w:t xml:space="preserve"> een gezonde democratie. Ik beschouw het dan ook als </w:t>
      </w:r>
      <w:r w:rsidR="003342B3">
        <w:t>een</w:t>
      </w:r>
      <w:r>
        <w:t xml:space="preserve"> belangrijke taak om </w:t>
      </w:r>
      <w:r w:rsidR="003342B3">
        <w:t xml:space="preserve">het toezicht op de in de </w:t>
      </w:r>
      <w:r w:rsidR="003342B3">
        <w:t>Wfpp</w:t>
      </w:r>
      <w:r w:rsidR="003342B3">
        <w:t xml:space="preserve"> gestelde voorschriften uit te voeren en zodoende de</w:t>
      </w:r>
      <w:r>
        <w:t xml:space="preserve"> integriteit en betrouwbaarheid van het Nederlandse partijstelsel te waarborgen.</w:t>
      </w:r>
      <w:r w:rsidR="003342B3">
        <w:t xml:space="preserve">  </w:t>
      </w:r>
    </w:p>
    <w:p w:rsidR="004572D8" w:rsidP="00517069" w14:paraId="12974B67" w14:textId="77777777">
      <w:pPr>
        <w:spacing w:line="276" w:lineRule="auto"/>
      </w:pPr>
    </w:p>
    <w:p w:rsidR="00AC012B" w:rsidP="00517069" w14:paraId="51347958" w14:textId="77777777">
      <w:pPr>
        <w:spacing w:line="276" w:lineRule="auto"/>
      </w:pPr>
      <w:r>
        <w:t>De minister van Binnenlandse Zaken en Koninkrijksrelaties,</w:t>
      </w:r>
    </w:p>
    <w:p w:rsidR="00AC012B" w:rsidP="00517069" w14:paraId="65201762" w14:textId="77777777">
      <w:pPr>
        <w:spacing w:line="276" w:lineRule="auto"/>
      </w:pPr>
    </w:p>
    <w:p w:rsidR="00AC012B" w:rsidP="00517069" w14:paraId="1B2DF274" w14:textId="77777777">
      <w:pPr>
        <w:spacing w:line="276" w:lineRule="auto"/>
      </w:pPr>
    </w:p>
    <w:p w:rsidR="00AC012B" w:rsidP="00517069" w14:paraId="4CBB1C8A" w14:textId="77777777">
      <w:pPr>
        <w:spacing w:line="276" w:lineRule="auto"/>
      </w:pPr>
    </w:p>
    <w:p w:rsidR="00AC012B" w:rsidP="00517069" w14:paraId="4142B027" w14:textId="77777777">
      <w:pPr>
        <w:spacing w:line="276" w:lineRule="auto"/>
      </w:pPr>
    </w:p>
    <w:p w:rsidR="00AC012B" w:rsidP="00517069" w14:paraId="366C8FBA" w14:textId="77777777">
      <w:pPr>
        <w:spacing w:line="276" w:lineRule="auto"/>
      </w:pPr>
    </w:p>
    <w:p w:rsidRPr="00AD63F3" w:rsidR="0078536E" w:rsidP="00517069" w14:paraId="7DD297F3" w14:textId="77777777">
      <w:pPr>
        <w:spacing w:line="276" w:lineRule="auto"/>
      </w:pPr>
      <w:r>
        <w:t>F. Rijkaart</w:t>
      </w:r>
      <w:r w:rsidR="00AD63F3">
        <w:t xml:space="preserve"> </w:t>
      </w:r>
    </w:p>
    <w:p w:rsidR="006B18EE" w:rsidP="00517069" w14:paraId="131C4D20" w14:textId="77777777">
      <w:pPr>
        <w:spacing w:line="276" w:lineRule="auto"/>
      </w:pPr>
    </w:p>
    <w:p w:rsidR="006B18EE" w:rsidP="00517069" w14:paraId="3FC7843D" w14:textId="77777777">
      <w:pPr>
        <w:spacing w:line="276" w:lineRule="auto"/>
      </w:pPr>
    </w:p>
    <w:sectPr>
      <w:headerReference w:type="even" r:id="rId7"/>
      <w:headerReference w:type="default" r:id="rId8"/>
      <w:footerReference w:type="even" r:id="rId9"/>
      <w:footerReference w:type="default" r:id="rId10"/>
      <w:headerReference w:type="first" r:id="rId11"/>
      <w:footerReference w:type="first" r:id="rId12"/>
      <w:pgSz w:w="11905" w:h="16837"/>
      <w:pgMar w:top="3764"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E4912" w14:paraId="130CFD0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B18EE" w14:paraId="3F5B8026" w14:textId="77777777">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E4912" w14:paraId="1A45E45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14696F" w14:paraId="21200707" w14:textId="77777777">
      <w:pPr>
        <w:spacing w:line="240" w:lineRule="auto"/>
      </w:pPr>
      <w:r>
        <w:separator/>
      </w:r>
    </w:p>
  </w:footnote>
  <w:footnote w:type="continuationSeparator" w:id="1">
    <w:p w:rsidR="0014696F" w14:paraId="5A330C9B" w14:textId="77777777">
      <w:pPr>
        <w:spacing w:line="240" w:lineRule="auto"/>
      </w:pPr>
      <w:r>
        <w:continuationSeparator/>
      </w:r>
    </w:p>
  </w:footnote>
  <w:footnote w:id="2">
    <w:p w:rsidR="00B5131D" w14:paraId="3477907D" w14:textId="77777777">
      <w:pPr>
        <w:pStyle w:val="FootnoteText"/>
      </w:pPr>
      <w:r w:rsidRPr="00B5131D">
        <w:rPr>
          <w:rStyle w:val="FootnoteReference"/>
          <w:sz w:val="16"/>
          <w:szCs w:val="16"/>
        </w:rPr>
        <w:footnoteRef/>
      </w:r>
      <w:r w:rsidRPr="00B5131D">
        <w:rPr>
          <w:sz w:val="16"/>
          <w:szCs w:val="16"/>
        </w:rPr>
        <w:t xml:space="preserve"> Advies van 23 september 2025 over de subsidieverantwoording van politieke partijen over het verantwoordingsjaar 2024; advies van 21 oktober 2025 over de overzichten van giften en schulden van politieke partijen (1 januari 2024 tot en met 8 oktober 2025) en het overzicht van giften aan kandidaten (1 januari 2023 tot en met 8 oktober 2025) voorafgaand aan de TK-verkiezingen; advies van 8 januari jl. over de aanvullende overzichten van giften en schulden (9 tot en met 29 oktober 2025) van politieke partijen voorafgaand aan de TK-verkiezingen.</w:t>
      </w:r>
    </w:p>
  </w:footnote>
  <w:footnote w:id="3">
    <w:p w:rsidR="005215BF" w:rsidRPr="00BC01E5" w:rsidP="005215BF" w14:paraId="69EEDBF5" w14:textId="77777777">
      <w:pPr>
        <w:pStyle w:val="FootnoteText"/>
        <w:rPr>
          <w:sz w:val="16"/>
          <w:szCs w:val="16"/>
        </w:rPr>
      </w:pPr>
      <w:r w:rsidRPr="00BC01E5">
        <w:rPr>
          <w:rStyle w:val="FootnoteReference"/>
          <w:sz w:val="16"/>
          <w:szCs w:val="16"/>
        </w:rPr>
        <w:footnoteRef/>
      </w:r>
      <w:r w:rsidRPr="00BC01E5">
        <w:rPr>
          <w:sz w:val="16"/>
          <w:szCs w:val="16"/>
        </w:rPr>
        <w:t xml:space="preserve"> </w:t>
      </w:r>
      <w:r w:rsidR="001A65B6">
        <w:rPr>
          <w:sz w:val="16"/>
          <w:szCs w:val="16"/>
        </w:rPr>
        <w:t xml:space="preserve">Overzichten financiering politieke partijen 2024 (22 oktober 2025) van </w:t>
      </w:r>
      <w:hyperlink r:id="rId1" w:history="1">
        <w:r w:rsidRPr="002E0B24" w:rsidR="001A65B6">
          <w:rPr>
            <w:rStyle w:val="Hyperlink"/>
            <w:sz w:val="16"/>
            <w:szCs w:val="16"/>
          </w:rPr>
          <w:t>https://www.rijksoverheid.nl/documenten/jaarverslagen/2025/10/22/overzichten-financiering-politieke-partijen-2024</w:t>
        </w:r>
      </w:hyperlink>
      <w:r w:rsidR="001A65B6">
        <w:rPr>
          <w:sz w:val="16"/>
          <w:szCs w:val="16"/>
        </w:rPr>
        <w:t xml:space="preserve">; Giften en schulden van politieke partijen en kandidaten voor de Tweede Kamerverkiezing 2025 (22 oktober 2025) van </w:t>
      </w:r>
      <w:hyperlink r:id="rId2" w:history="1">
        <w:r w:rsidRPr="002E0B24" w:rsidR="001A65B6">
          <w:rPr>
            <w:rStyle w:val="Hyperlink"/>
            <w:sz w:val="16"/>
            <w:szCs w:val="16"/>
          </w:rPr>
          <w:t>https://www.rijksoverheid.nl/documenten/rapporten/2025/10/22/giften-en-schulden-van-partijen-en-kandidaten-voor-de-tweede-kamerverkiezing-2025</w:t>
        </w:r>
      </w:hyperlink>
      <w:r w:rsidR="001A65B6">
        <w:rPr>
          <w:sz w:val="16"/>
          <w:szCs w:val="16"/>
        </w:rPr>
        <w:t xml:space="preserve">; Aanvullend overzicht giften en schulden politieke partijen 2025 (19 december 2025) van </w:t>
      </w:r>
      <w:hyperlink r:id="rId3" w:history="1">
        <w:r w:rsidRPr="002E0B24" w:rsidR="001A65B6">
          <w:rPr>
            <w:rStyle w:val="Hyperlink"/>
            <w:sz w:val="16"/>
            <w:szCs w:val="16"/>
          </w:rPr>
          <w:t>https://www.rijksoverheid.nl/actueel/nieuws/2025/12/19/aanvullend-overzicht-giften-en-schulden-politieke-partijen-tweede-kamerverkiezing-2025</w:t>
        </w:r>
      </w:hyperlink>
      <w:r w:rsidR="001A65B6">
        <w:rPr>
          <w:sz w:val="16"/>
          <w:szCs w:val="16"/>
        </w:rPr>
        <w:t xml:space="preserve">. </w:t>
      </w:r>
    </w:p>
  </w:footnote>
  <w:footnote w:id="4">
    <w:p w:rsidR="00527ABF" w:rsidRPr="00781966" w14:paraId="0B7929F6" w14:textId="77777777">
      <w:pPr>
        <w:pStyle w:val="FootnoteText"/>
        <w:rPr>
          <w:sz w:val="16"/>
          <w:szCs w:val="16"/>
        </w:rPr>
      </w:pPr>
      <w:r w:rsidRPr="00781966">
        <w:rPr>
          <w:rStyle w:val="FootnoteReference"/>
          <w:sz w:val="16"/>
          <w:szCs w:val="16"/>
        </w:rPr>
        <w:footnoteRef/>
      </w:r>
      <w:r w:rsidRPr="00781966">
        <w:rPr>
          <w:sz w:val="16"/>
          <w:szCs w:val="16"/>
        </w:rPr>
        <w:t xml:space="preserve"> </w:t>
      </w:r>
      <w:r w:rsidR="00CD3485">
        <w:rPr>
          <w:sz w:val="16"/>
          <w:szCs w:val="16"/>
        </w:rPr>
        <w:t>Kamerstukken II 2023-24,</w:t>
      </w:r>
      <w:r w:rsidRPr="00781966">
        <w:rPr>
          <w:sz w:val="16"/>
          <w:szCs w:val="16"/>
        </w:rPr>
        <w:t>-3674</w:t>
      </w:r>
      <w:r w:rsidR="00CD3485">
        <w:rPr>
          <w:sz w:val="16"/>
          <w:szCs w:val="16"/>
        </w:rPr>
        <w:t xml:space="preserve">2, nr. </w:t>
      </w:r>
      <w:r w:rsidRPr="00781966">
        <w:rPr>
          <w:sz w:val="16"/>
          <w:szCs w:val="16"/>
        </w:rPr>
        <w:t>3</w:t>
      </w:r>
      <w:r w:rsidRPr="00781966" w:rsidR="00337477">
        <w:rPr>
          <w:sz w:val="16"/>
          <w:szCs w:val="16"/>
        </w:rPr>
        <w:t>.</w:t>
      </w:r>
    </w:p>
  </w:footnote>
  <w:footnote w:id="5">
    <w:p w:rsidR="007501AB" w:rsidRPr="007501AB" w14:paraId="424B81AF" w14:textId="77777777">
      <w:pPr>
        <w:pStyle w:val="FootnoteText"/>
        <w:rPr>
          <w:sz w:val="16"/>
          <w:szCs w:val="16"/>
        </w:rPr>
      </w:pPr>
      <w:r w:rsidRPr="007501AB">
        <w:rPr>
          <w:rStyle w:val="FootnoteReference"/>
          <w:sz w:val="16"/>
          <w:szCs w:val="16"/>
        </w:rPr>
        <w:footnoteRef/>
      </w:r>
      <w:r w:rsidRPr="007501AB">
        <w:rPr>
          <w:sz w:val="16"/>
          <w:szCs w:val="16"/>
        </w:rPr>
        <w:t xml:space="preserve"> Artikel 25a </w:t>
      </w:r>
      <w:r w:rsidRPr="007501AB">
        <w:rPr>
          <w:sz w:val="16"/>
          <w:szCs w:val="16"/>
        </w:rPr>
        <w:t>Wfpp</w:t>
      </w:r>
      <w:r w:rsidRPr="007501AB">
        <w:rPr>
          <w:sz w:val="16"/>
          <w:szCs w:val="16"/>
        </w:rPr>
        <w:t xml:space="preserve">. </w:t>
      </w:r>
    </w:p>
  </w:footnote>
  <w:footnote w:id="6">
    <w:p w:rsidR="007501AB" w14:paraId="65BADCB5" w14:textId="77777777">
      <w:pPr>
        <w:pStyle w:val="FootnoteText"/>
      </w:pPr>
      <w:r w:rsidRPr="007501AB">
        <w:rPr>
          <w:rStyle w:val="FootnoteReference"/>
          <w:sz w:val="16"/>
          <w:szCs w:val="16"/>
        </w:rPr>
        <w:footnoteRef/>
      </w:r>
      <w:r w:rsidRPr="007501AB">
        <w:rPr>
          <w:sz w:val="16"/>
          <w:szCs w:val="16"/>
        </w:rPr>
        <w:t xml:space="preserve"> Artikel 37 </w:t>
      </w:r>
      <w:r w:rsidRPr="007501AB">
        <w:rPr>
          <w:sz w:val="16"/>
          <w:szCs w:val="16"/>
        </w:rPr>
        <w:t>Wfpp</w:t>
      </w:r>
      <w:r w:rsidRPr="007501AB">
        <w:rPr>
          <w:sz w:val="16"/>
          <w:szCs w:val="16"/>
        </w:rPr>
        <w:t>.</w:t>
      </w:r>
      <w:r>
        <w:t xml:space="preserve"> </w:t>
      </w:r>
    </w:p>
  </w:footnote>
  <w:footnote w:id="7">
    <w:p w:rsidR="00250EF7" w14:paraId="4CB1E631" w14:textId="77777777">
      <w:pPr>
        <w:pStyle w:val="FootnoteText"/>
      </w:pPr>
      <w:r w:rsidRPr="00250EF7">
        <w:rPr>
          <w:rStyle w:val="FootnoteReference"/>
          <w:sz w:val="16"/>
          <w:szCs w:val="16"/>
        </w:rPr>
        <w:footnoteRef/>
      </w:r>
      <w:r w:rsidRPr="00250EF7">
        <w:rPr>
          <w:sz w:val="16"/>
          <w:szCs w:val="16"/>
        </w:rPr>
        <w:t xml:space="preserve"> Artikel 14 </w:t>
      </w:r>
      <w:r w:rsidRPr="00250EF7">
        <w:rPr>
          <w:sz w:val="16"/>
          <w:szCs w:val="16"/>
        </w:rPr>
        <w:t>Wfpp</w:t>
      </w:r>
      <w:r w:rsidRPr="00250EF7">
        <w:rPr>
          <w:sz w:val="16"/>
          <w:szCs w:val="16"/>
        </w:rPr>
        <w:t xml:space="preserve">. </w:t>
      </w:r>
    </w:p>
  </w:footnote>
  <w:footnote w:id="8">
    <w:p w:rsidR="00E16B58" w:rsidRPr="004572D8" w14:paraId="5FD8C8DB" w14:textId="77777777">
      <w:pPr>
        <w:pStyle w:val="FootnoteText"/>
        <w:rPr>
          <w:sz w:val="16"/>
          <w:szCs w:val="16"/>
        </w:rPr>
      </w:pPr>
      <w:r w:rsidRPr="004572D8">
        <w:rPr>
          <w:rStyle w:val="FootnoteReference"/>
          <w:sz w:val="16"/>
          <w:szCs w:val="16"/>
        </w:rPr>
        <w:footnoteRef/>
      </w:r>
      <w:r w:rsidRPr="004572D8">
        <w:rPr>
          <w:sz w:val="16"/>
          <w:szCs w:val="16"/>
        </w:rPr>
        <w:t xml:space="preserve"> Artikel 28, 28a en 29 </w:t>
      </w:r>
      <w:r w:rsidRPr="004572D8">
        <w:rPr>
          <w:sz w:val="16"/>
          <w:szCs w:val="16"/>
        </w:rPr>
        <w:t>Wfpp</w:t>
      </w:r>
      <w:r w:rsidRPr="004572D8">
        <w:rPr>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E4912" w14:paraId="39EE9A14"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B18EE" w14:paraId="537C3A35" w14:textId="77777777">
    <w:r>
      <w:rPr>
        <w:noProof/>
      </w:rPr>
      <mc:AlternateContent>
        <mc:Choice Requires="wps">
          <w:drawing>
            <wp:anchor distT="0" distB="0" distL="0" distR="0" simplePos="0" relativeHeight="251658240" behindDoc="0" locked="1" layoutInCell="1" allowOverlap="1">
              <wp:simplePos x="0" y="0"/>
              <wp:positionH relativeFrom="page">
                <wp:posOffset>1007744</wp:posOffset>
              </wp:positionH>
              <wp:positionV relativeFrom="paragraph">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290"/>
                      </a:xfrm>
                      <a:prstGeom prst="rect">
                        <a:avLst/>
                      </a:prstGeom>
                      <a:noFill/>
                    </wps:spPr>
                    <wps:txbx>
                      <w:txbxContent>
                        <w:p w:rsidR="00127DC0" w14:textId="77777777"/>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e07-aa3c-11ea-a756-beb5f67e67be" o:spid="_x0000_s2049" type="#_x0000_t202" style="width:377pt;height:12.7pt;margin-top:154.75pt;margin-left:79.35pt;mso-position-horizontal-relative:page;mso-wrap-distance-bottom:0;mso-wrap-distance-left:0;mso-wrap-distance-right:0;mso-wrap-distance-top:0;mso-wrap-style:square;position:absolute;v-text-anchor:top;visibility:visible;z-index:251659264" filled="f" stroked="f">
              <v:textbox inset="0,0,0,0">
                <w:txbxContent>
                  <w:p w:rsidR="00127DC0" w14:paraId="47AFF931" w14:textId="77777777"/>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2" name="46fef022-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6B18EE" w14:textId="77777777">
                          <w:pPr>
                            <w:pStyle w:val="Referentiegegevensbold"/>
                          </w:pPr>
                          <w:r>
                            <w:t xml:space="preserve">DG Openbaar Bestuur &amp; </w:t>
                          </w:r>
                          <w:r>
                            <w:t>Democr</w:t>
                          </w:r>
                          <w:r>
                            <w:t xml:space="preserve"> Rechtsstaat</w:t>
                          </w:r>
                        </w:p>
                        <w:p w:rsidR="006B18EE" w14:textId="77777777">
                          <w:pPr>
                            <w:pStyle w:val="Referentiegegevens"/>
                          </w:pPr>
                          <w:r>
                            <w:t>Democratie en Bestuur</w:t>
                          </w:r>
                        </w:p>
                        <w:p w:rsidR="006B18EE" w14:textId="77777777">
                          <w:pPr>
                            <w:pStyle w:val="WitregelW1"/>
                          </w:pPr>
                        </w:p>
                        <w:p w:rsidR="006B18EE" w14:textId="77777777">
                          <w:pPr>
                            <w:pStyle w:val="Referentiegegevensbold"/>
                          </w:pPr>
                          <w:r>
                            <w:t>Onze referentie</w:t>
                          </w:r>
                        </w:p>
                        <w:p w:rsidR="005E1D13" w14:textId="77777777">
                          <w:pPr>
                            <w:pStyle w:val="Referentiegegevens"/>
                          </w:pPr>
                          <w:r>
                            <w:fldChar w:fldCharType="begin"/>
                          </w:r>
                          <w:r>
                            <w:instrText xml:space="preserve"> DOCPROPERTY  "Kenmerk"  \* MERGEFORMAT </w:instrText>
                          </w:r>
                          <w:r>
                            <w:fldChar w:fldCharType="separate"/>
                          </w:r>
                          <w:r w:rsidR="00BD0EFE">
                            <w:t>2026-0000029061</w:t>
                          </w:r>
                          <w:r w:rsidR="00BD0EFE">
                            <w:fldChar w:fldCharType="end"/>
                          </w:r>
                        </w:p>
                      </w:txbxContent>
                    </wps:txbx>
                    <wps:bodyPr vert="horz" wrap="square" lIns="0" tIns="0" rIns="0" bIns="0" anchor="t" anchorCtr="0"/>
                  </wps:wsp>
                </a:graphicData>
              </a:graphic>
            </wp:anchor>
          </w:drawing>
        </mc:Choice>
        <mc:Fallback>
          <w:pict>
            <v:shape id="46fef022-aa3c-11ea-a756-beb5f67e67be" o:spid="_x0000_s2050" type="#_x0000_t202" alt="Colofon" style="width:100.6pt;height:630.7pt;margin-top:154.75pt;margin-left:466.25pt;mso-position-horizontal-relative:page;mso-wrap-distance-bottom:0;mso-wrap-distance-left:0;mso-wrap-distance-right:0;mso-wrap-distance-top:0;mso-wrap-style:square;position:absolute;v-text-anchor:top;visibility:visible;z-index:251661312" filled="f" stroked="f">
              <v:textbox inset="0,0,0,0">
                <w:txbxContent>
                  <w:p w:rsidR="006B18EE" w14:paraId="6B2B39F9" w14:textId="77777777">
                    <w:pPr>
                      <w:pStyle w:val="Referentiegegevensbold"/>
                    </w:pPr>
                    <w:r>
                      <w:t xml:space="preserve">DG Openbaar Bestuur &amp; </w:t>
                    </w:r>
                    <w:r>
                      <w:t>Democr</w:t>
                    </w:r>
                    <w:r>
                      <w:t xml:space="preserve"> Rechtsstaat</w:t>
                    </w:r>
                  </w:p>
                  <w:p w:rsidR="006B18EE" w14:paraId="745BF552" w14:textId="77777777">
                    <w:pPr>
                      <w:pStyle w:val="Referentiegegevens"/>
                    </w:pPr>
                    <w:r>
                      <w:t>Democratie en Bestuur</w:t>
                    </w:r>
                  </w:p>
                  <w:p w:rsidR="006B18EE" w14:paraId="06DF5257" w14:textId="77777777">
                    <w:pPr>
                      <w:pStyle w:val="WitregelW1"/>
                    </w:pPr>
                  </w:p>
                  <w:p w:rsidR="006B18EE" w14:paraId="40667759" w14:textId="77777777">
                    <w:pPr>
                      <w:pStyle w:val="Referentiegegevensbold"/>
                    </w:pPr>
                    <w:r>
                      <w:t>Onze referentie</w:t>
                    </w:r>
                  </w:p>
                  <w:p w:rsidR="005E1D13" w14:paraId="35FD5D76" w14:textId="77777777">
                    <w:pPr>
                      <w:pStyle w:val="Referentiegegevens"/>
                    </w:pPr>
                    <w:r>
                      <w:fldChar w:fldCharType="begin"/>
                    </w:r>
                    <w:r>
                      <w:instrText xml:space="preserve"> DOCPROPERTY  "Kenmerk"  \* MERGEFORMAT </w:instrText>
                    </w:r>
                    <w:r>
                      <w:fldChar w:fldCharType="separate"/>
                    </w:r>
                    <w:r w:rsidR="00BD0EFE">
                      <w:t>2026-0000029061</w:t>
                    </w:r>
                    <w:r w:rsidR="00BD0EFE">
                      <w:fldChar w:fldCharType="end"/>
                    </w:r>
                  </w:p>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1007744</wp:posOffset>
              </wp:positionH>
              <wp:positionV relativeFrom="paragraph">
                <wp:posOffset>10194925</wp:posOffset>
              </wp:positionV>
              <wp:extent cx="4787900" cy="161925"/>
              <wp:effectExtent l="0" t="0" r="0" b="0"/>
              <wp:wrapNone/>
              <wp:docPr id="3" name="46fef0b8-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127DC0" w14:textId="77777777"/>
                      </w:txbxContent>
                    </wps:txbx>
                    <wps:bodyPr vert="horz" wrap="square" lIns="0" tIns="0" rIns="0" bIns="0" anchor="t" anchorCtr="0"/>
                  </wps:wsp>
                </a:graphicData>
              </a:graphic>
            </wp:anchor>
          </w:drawing>
        </mc:Choice>
        <mc:Fallback>
          <w:pict>
            <v:shape id="46fef0b8-aa3c-11ea-a756-beb5f67e67be" o:spid="_x0000_s2051" type="#_x0000_t202" alt="Voettekst" style="width:377pt;height:12.75pt;margin-top:802.75pt;margin-left:79.35pt;mso-position-horizontal-relative:page;mso-wrap-distance-bottom:0;mso-wrap-distance-left:0;mso-wrap-distance-right:0;mso-wrap-distance-top:0;mso-wrap-style:square;position:absolute;v-text-anchor:top;visibility:visible;z-index:251663360" filled="f" stroked="f">
              <v:textbox inset="0,0,0,0">
                <w:txbxContent>
                  <w:p w:rsidR="00127DC0" w14:paraId="4F6B7C6E" w14:textId="77777777"/>
                </w:txbxContent>
              </v:textbox>
              <w10:anchorlock/>
            </v:shape>
          </w:pict>
        </mc:Fallback>
      </mc:AlternateContent>
    </w:r>
    <w:r>
      <w:rPr>
        <w:noProof/>
      </w:rPr>
      <mc:AlternateContent>
        <mc:Choice Requires="wps">
          <w:drawing>
            <wp:anchor distT="0" distB="0" distL="0" distR="0" simplePos="0" relativeHeight="251664384" behindDoc="0" locked="1" layoutInCell="1" allowOverlap="1">
              <wp:simplePos x="0" y="0"/>
              <wp:positionH relativeFrom="page">
                <wp:posOffset>5921375</wp:posOffset>
              </wp:positionH>
              <wp:positionV relativeFrom="paragraph">
                <wp:posOffset>10194925</wp:posOffset>
              </wp:positionV>
              <wp:extent cx="1285875" cy="161925"/>
              <wp:effectExtent l="0" t="0" r="0" b="0"/>
              <wp:wrapNone/>
              <wp:docPr id="4" name="46fef06f-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925"/>
                      </a:xfrm>
                      <a:prstGeom prst="rect">
                        <a:avLst/>
                      </a:prstGeom>
                      <a:noFill/>
                    </wps:spPr>
                    <wps:txbx>
                      <w:txbxContent>
                        <w:p w:rsidR="005E1D13"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6f-aa3c-11ea-a756-beb5f67e67be" o:spid="_x0000_s2052" type="#_x0000_t202" alt="Paginanummering" style="width:101.25pt;height:12.75pt;margin-top:802.75pt;margin-left:466.25pt;mso-position-horizontal-relative:page;mso-wrap-distance-bottom:0;mso-wrap-distance-left:0;mso-wrap-distance-right:0;mso-wrap-distance-top:0;mso-wrap-style:square;position:absolute;v-text-anchor:top;visibility:visible;z-index:251665408" filled="f" stroked="f">
              <v:textbox inset="0,0,0,0">
                <w:txbxContent>
                  <w:p w:rsidR="005E1D13" w14:paraId="08DD8D19"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B18EE" w14:paraId="7C715AE8" w14:textId="77777777">
    <w:pPr>
      <w:spacing w:after="6377" w:line="14" w:lineRule="exact"/>
    </w:pPr>
    <w:r>
      <w:rPr>
        <w:noProof/>
      </w:rPr>
      <mc:AlternateContent>
        <mc:Choice Requires="wps">
          <w:drawing>
            <wp:anchor distT="0" distB="0" distL="0" distR="0" simplePos="0" relativeHeight="251666432" behindDoc="0" locked="1" layoutInCell="1" allowOverlap="1">
              <wp:simplePos x="0" y="0"/>
              <wp:positionH relativeFrom="page">
                <wp:posOffset>3545840</wp:posOffset>
              </wp:positionH>
              <wp:positionV relativeFrom="paragraph">
                <wp:posOffset>0</wp:posOffset>
              </wp:positionV>
              <wp:extent cx="467995" cy="1583055"/>
              <wp:effectExtent l="0" t="0" r="0" b="0"/>
              <wp:wrapNone/>
              <wp:docPr id="5" name="8cd303e7-05ab-474b-9412-44e5272a8f7f" descr="Container voor beel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6B18EE" w14:textId="77777777">
                          <w:pPr>
                            <w:spacing w:line="240" w:lineRule="auto"/>
                          </w:pPr>
                          <w:r>
                            <w:rPr>
                              <w:noProof/>
                            </w:rPr>
                            <w:drawing>
                              <wp:inline distT="0" distB="0" distL="0" distR="0">
                                <wp:extent cx="467995" cy="1583865"/>
                                <wp:effectExtent l="0" t="0" r="0" b="0"/>
                                <wp:docPr id="47741919"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47741919"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8cd303e7-05ab-474b-9412-44e5272a8f7f" o:spid="_x0000_s2053" type="#_x0000_t202" alt="Container voor beeldmerk" style="width:36.85pt;height:124.65pt;margin-top:0;margin-left:279.2pt;mso-position-horizontal-relative:page;mso-wrap-distance-bottom:0;mso-wrap-distance-left:0;mso-wrap-distance-right:0;mso-wrap-distance-top:0;mso-wrap-style:square;position:absolute;v-text-anchor:top;visibility:visible;z-index:251667456" filled="f" stroked="f">
              <v:textbox inset="0,0,0,0">
                <w:txbxContent>
                  <w:p w:rsidR="006B18EE" w14:paraId="1AACE348" w14:textId="77777777">
                    <w:pPr>
                      <w:spacing w:line="240" w:lineRule="auto"/>
                    </w:pPr>
                    <w:drawing>
                      <wp:inline distT="0" distB="0" distL="0" distR="0">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3995420</wp:posOffset>
              </wp:positionH>
              <wp:positionV relativeFrom="paragraph">
                <wp:posOffset>0</wp:posOffset>
              </wp:positionV>
              <wp:extent cx="2339975" cy="1583690"/>
              <wp:effectExtent l="0" t="0" r="0" b="0"/>
              <wp:wrapNone/>
              <wp:docPr id="7" name="583cb846-a587-474e-9efc-17a024d629a0" descr="Container voor woor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6B18EE" w14:textId="77777777">
                          <w:pPr>
                            <w:spacing w:line="240" w:lineRule="auto"/>
                          </w:pPr>
                          <w:r>
                            <w:rPr>
                              <w:noProof/>
                            </w:rPr>
                            <w:drawing>
                              <wp:inline distT="0" distB="0" distL="0" distR="0">
                                <wp:extent cx="2339975" cy="1582834"/>
                                <wp:effectExtent l="0" t="0" r="0" b="0"/>
                                <wp:docPr id="263903629"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263903629"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583cb846-a587-474e-9efc-17a024d629a0" o:spid="_x0000_s2054" type="#_x0000_t202" alt="Container voor woordmerk" style="width:184.25pt;height:124.7pt;margin-top:0;margin-left:314.6pt;mso-position-horizontal-relative:page;mso-wrap-distance-bottom:0;mso-wrap-distance-left:0;mso-wrap-distance-right:0;mso-wrap-distance-top:0;mso-wrap-style:square;position:absolute;v-text-anchor:top;visibility:visible;z-index:251669504" filled="f" stroked="f">
              <v:textbox inset="0,0,0,0">
                <w:txbxContent>
                  <w:p w:rsidR="006B18EE" w14:paraId="60BC0618" w14:textId="77777777">
                    <w:pPr>
                      <w:spacing w:line="240" w:lineRule="auto"/>
                    </w:pPr>
                    <w:drawing>
                      <wp:inline distT="0" distB="0" distL="0" distR="0">
                        <wp:extent cx="2339975" cy="1582834"/>
                        <wp:effectExtent l="0" t="0" r="0" b="0"/>
                        <wp:docPr id="8"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1010919</wp:posOffset>
              </wp:positionH>
              <wp:positionV relativeFrom="paragraph">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6B18EE" w14:textId="77777777">
                          <w:pPr>
                            <w:pStyle w:val="Referentiegegevens"/>
                          </w:pPr>
                          <w:r>
                            <w:t>&gt; Retouradres Postbus 20011 2500 EA  Den Haag</w:t>
                          </w:r>
                        </w:p>
                      </w:txbxContent>
                    </wps:txbx>
                    <wps:bodyPr vert="horz" wrap="square" lIns="0" tIns="0" rIns="0" bIns="0" anchor="t" anchorCtr="0"/>
                  </wps:wsp>
                </a:graphicData>
              </a:graphic>
            </wp:anchor>
          </w:drawing>
        </mc:Choice>
        <mc:Fallback>
          <w:pict>
            <v:shape id="f053fe88-db2b-430b-bcc5-fbb915a19314" o:spid="_x0000_s2055" type="#_x0000_t202" style="width:377pt;height:12.75pt;margin-top:135.45pt;margin-left:79.6pt;mso-position-horizontal-relative:page;mso-wrap-distance-bottom:0;mso-wrap-distance-left:0;mso-wrap-distance-right:0;mso-wrap-distance-top:0;mso-wrap-style:square;position:absolute;v-text-anchor:top;visibility:visible;z-index:251671552" filled="f" stroked="f">
              <v:textbox inset="0,0,0,0">
                <w:txbxContent>
                  <w:p w:rsidR="006B18EE" w14:paraId="1EBA63C3" w14:textId="77777777">
                    <w:pPr>
                      <w:pStyle w:val="Referentiegegevens"/>
                    </w:pPr>
                    <w:r>
                      <w:t>&gt; Retouradres Postbus 20011 2500 EA  Den Haag</w:t>
                    </w:r>
                  </w:p>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1007744</wp:posOffset>
              </wp:positionH>
              <wp:positionV relativeFrom="paragraph">
                <wp:posOffset>1954530</wp:posOffset>
              </wp:positionV>
              <wp:extent cx="4787900" cy="1115695"/>
              <wp:effectExtent l="0" t="0" r="0" b="0"/>
              <wp:wrapNone/>
              <wp:docPr id="10" name="d302f2a1-bb28-4417-9701-e3b1450e5fb6" descr="Adresvak"/>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127DC0" w14:textId="77777777">
                          <w:r>
                            <w:t>Aan de voorzitter van de Tweede Kamer der Staten-Generaal</w:t>
                          </w:r>
                        </w:p>
                        <w:p w:rsidR="004C3B4C" w14:textId="77777777">
                          <w:r>
                            <w:t>Postbus 20018</w:t>
                          </w:r>
                        </w:p>
                        <w:p w:rsidR="004C3B4C" w14:textId="77777777">
                          <w:r>
                            <w:t>2500EA Den Haag</w:t>
                          </w:r>
                        </w:p>
                      </w:txbxContent>
                    </wps:txbx>
                    <wps:bodyPr vert="horz" wrap="square" lIns="0" tIns="0" rIns="0" bIns="0" anchor="t" anchorCtr="0"/>
                  </wps:wsp>
                </a:graphicData>
              </a:graphic>
            </wp:anchor>
          </w:drawing>
        </mc:Choice>
        <mc:Fallback>
          <w:pict>
            <v:shape id="d302f2a1-bb28-4417-9701-e3b1450e5fb6" o:spid="_x0000_s2056" type="#_x0000_t202" alt="Adresvak" style="width:377pt;height:87.85pt;margin-top:153.9pt;margin-left:79.35pt;mso-position-horizontal-relative:page;mso-wrap-distance-bottom:0;mso-wrap-distance-left:0;mso-wrap-distance-right:0;mso-wrap-distance-top:0;mso-wrap-style:square;position:absolute;v-text-anchor:top;visibility:visible;z-index:251673600" filled="f" stroked="f">
              <v:textbox inset="0,0,0,0">
                <w:txbxContent>
                  <w:p w:rsidR="00127DC0" w14:paraId="4D3D0FE7" w14:textId="77777777">
                    <w:r>
                      <w:t>Aan de voorzitter van de Tweede Kamer der Staten-Generaal</w:t>
                    </w:r>
                  </w:p>
                  <w:p w:rsidR="004C3B4C" w14:paraId="3A9800A3" w14:textId="77777777">
                    <w:r>
                      <w:t>Postbus 20018</w:t>
                    </w:r>
                  </w:p>
                  <w:p w:rsidR="004C3B4C" w14:paraId="745D4062" w14:textId="77777777">
                    <w:r>
                      <w:t>2500EA Den Haag</w:t>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margin">
                <wp:align>right</wp:align>
              </wp:positionH>
              <wp:positionV relativeFrom="paragraph">
                <wp:posOffset>3352165</wp:posOffset>
              </wp:positionV>
              <wp:extent cx="4787900" cy="784860"/>
              <wp:effectExtent l="0" t="0" r="0" b="0"/>
              <wp:wrapNone/>
              <wp:docPr id="11" name="1670fa0c-13cb-45ec-92be-ef1f34d237c5"/>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784860"/>
                      </a:xfrm>
                      <a:prstGeom prst="rect">
                        <a:avLst/>
                      </a:prstGeom>
                      <a:noFill/>
                    </wps:spPr>
                    <wps:txbx>
                      <w:txbxContent>
                        <w:tbl>
                          <w:tblPr>
                            <w:tblW w:w="0" w:type="auto"/>
                            <w:tblInd w:w="-120" w:type="dxa"/>
                            <w:tblLayout w:type="fixed"/>
                            <w:tblLook w:val="07E0"/>
                          </w:tblPr>
                          <w:tblGrid>
                            <w:gridCol w:w="1140"/>
                            <w:gridCol w:w="5918"/>
                          </w:tblGrid>
                          <w:tr w14:paraId="012D7D30" w14:textId="77777777">
                            <w:tblPrEx>
                              <w:tblW w:w="0" w:type="auto"/>
                              <w:tblInd w:w="-120" w:type="dxa"/>
                              <w:tblLayout w:type="fixed"/>
                              <w:tblLook w:val="07E0"/>
                            </w:tblPrEx>
                            <w:trPr>
                              <w:trHeight w:val="240"/>
                            </w:trPr>
                            <w:tc>
                              <w:tcPr>
                                <w:tcW w:w="1140" w:type="dxa"/>
                              </w:tcPr>
                              <w:p w:rsidR="006B18EE" w14:textId="77777777">
                                <w:r>
                                  <w:t>Datum</w:t>
                                </w:r>
                              </w:p>
                            </w:tc>
                            <w:tc>
                              <w:tcPr>
                                <w:tcW w:w="5918" w:type="dxa"/>
                              </w:tcPr>
                              <w:p w:rsidR="006B18EE" w14:textId="0B49D240">
                                <w:sdt>
                                  <w:sdtPr>
                                    <w:id w:val="1365181770"/>
                                    <w:date w:fullDate="2026-02-16T00:00:00Z">
                                      <w:dateFormat w:val="d MMMM yyyy"/>
                                      <w:lid w:val="nl"/>
                                      <w:storeMappedDataAs w:val="dateTime"/>
                                      <w:calendar w:val="gregorian"/>
                                    </w:date>
                                  </w:sdtPr>
                                  <w:sdtContent>
                                    <w:r w:rsidR="00BD0EFE">
                                      <w:rPr>
                                        <w:lang w:val="nl"/>
                                      </w:rPr>
                                      <w:t>16 februari 2026</w:t>
                                    </w:r>
                                  </w:sdtContent>
                                </w:sdt>
                              </w:p>
                            </w:tc>
                          </w:tr>
                          <w:tr w14:paraId="237783C6" w14:textId="77777777">
                            <w:tblPrEx>
                              <w:tblW w:w="0" w:type="auto"/>
                              <w:tblInd w:w="-120" w:type="dxa"/>
                              <w:tblLayout w:type="fixed"/>
                              <w:tblLook w:val="07E0"/>
                            </w:tblPrEx>
                            <w:trPr>
                              <w:trHeight w:val="240"/>
                            </w:trPr>
                            <w:tc>
                              <w:tcPr>
                                <w:tcW w:w="1140" w:type="dxa"/>
                              </w:tcPr>
                              <w:p w:rsidR="006B18EE" w14:textId="77777777">
                                <w:r>
                                  <w:t>Betreft</w:t>
                                </w:r>
                              </w:p>
                            </w:tc>
                            <w:tc>
                              <w:tcPr>
                                <w:tcW w:w="5918" w:type="dxa"/>
                              </w:tcPr>
                              <w:p w:rsidR="006B18EE" w14:textId="77777777">
                                <w:r>
                                  <w:t>Reactie</w:t>
                                </w:r>
                                <w:r w:rsidR="00127DC0">
                                  <w:t xml:space="preserve"> </w:t>
                                </w:r>
                                <w:r w:rsidR="007C32A5">
                                  <w:t xml:space="preserve">op </w:t>
                                </w:r>
                                <w:r w:rsidR="00127DC0">
                                  <w:t xml:space="preserve">adviezen </w:t>
                                </w:r>
                                <w:r w:rsidR="007C32A5">
                                  <w:t>Commissie toezicht financiën politieke partijen in</w:t>
                                </w:r>
                                <w:r w:rsidR="00127DC0">
                                  <w:t xml:space="preserve"> 2025</w:t>
                                </w:r>
                              </w:p>
                            </w:tc>
                          </w:tr>
                        </w:tbl>
                        <w:p w:rsidR="00127DC0" w14:textId="77777777"/>
                      </w:txbxContent>
                    </wps:txbx>
                    <wps:bodyPr vert="horz" wrap="square" lIns="0" tIns="0" rIns="0" bIns="0" anchor="t" anchorCtr="0"/>
                  </wps:wsp>
                </a:graphicData>
              </a:graphic>
              <wp14:sizeRelV relativeFrom="margin">
                <wp14:pctHeight>0</wp14:pctHeight>
              </wp14:sizeRelV>
            </wp:anchor>
          </w:drawing>
        </mc:Choice>
        <mc:Fallback>
          <w:pict>
            <v:shape id="1670fa0c-13cb-45ec-92be-ef1f34d237c5" o:spid="_x0000_s2057" type="#_x0000_t202" style="width:377pt;height:61.8pt;margin-top:263.95pt;margin-left:325.8pt;mso-height-percent:0;mso-height-relative:margin;mso-position-horizontal:right;mso-position-horizontal-relative:margin;mso-wrap-distance-bottom:0;mso-wrap-distance-left:0;mso-wrap-distance-right:0;mso-wrap-distance-top:0;mso-wrap-style:square;position:absolute;v-text-anchor:top;visibility:visible;z-index:251675648" filled="f" stroked="f">
              <v:textbox inset="0,0,0,0">
                <w:txbxContent>
                  <w:tbl>
                    <w:tblPr>
                      <w:tblW w:w="0" w:type="auto"/>
                      <w:tblInd w:w="-120" w:type="dxa"/>
                      <w:tblLayout w:type="fixed"/>
                      <w:tblLook w:val="07E0"/>
                    </w:tblPr>
                    <w:tblGrid>
                      <w:gridCol w:w="1140"/>
                      <w:gridCol w:w="5918"/>
                    </w:tblGrid>
                    <w:tr w14:paraId="012D7D2F" w14:textId="77777777">
                      <w:tblPrEx>
                        <w:tblW w:w="0" w:type="auto"/>
                        <w:tblInd w:w="-120" w:type="dxa"/>
                        <w:tblLayout w:type="fixed"/>
                        <w:tblLook w:val="07E0"/>
                      </w:tblPrEx>
                      <w:trPr>
                        <w:trHeight w:val="240"/>
                      </w:trPr>
                      <w:tc>
                        <w:tcPr>
                          <w:tcW w:w="1140" w:type="dxa"/>
                        </w:tcPr>
                        <w:p w:rsidR="006B18EE" w14:paraId="037DDCAD" w14:textId="77777777">
                          <w:r>
                            <w:t>Datum</w:t>
                          </w:r>
                        </w:p>
                      </w:tc>
                      <w:tc>
                        <w:tcPr>
                          <w:tcW w:w="5918" w:type="dxa"/>
                        </w:tcPr>
                        <w:p w:rsidR="006B18EE" w14:paraId="0E878CB4" w14:textId="0B49D240">
                          <w:sdt>
                            <w:sdtPr>
                              <w:id w:val="1804052514"/>
                              <w:date w:fullDate="2026-02-16T00:00:00Z">
                                <w:dateFormat w:val="d MMMM yyyy"/>
                                <w:lid w:val="nl"/>
                                <w:storeMappedDataAs w:val="dateTime"/>
                                <w:calendar w:val="gregorian"/>
                              </w:date>
                            </w:sdtPr>
                            <w:sdtContent>
                              <w:r w:rsidR="00BD0EFE">
                                <w:rPr>
                                  <w:lang w:val="nl"/>
                                </w:rPr>
                                <w:t>16 februari 2026</w:t>
                              </w:r>
                            </w:sdtContent>
                          </w:sdt>
                        </w:p>
                      </w:tc>
                    </w:tr>
                    <w:tr w14:paraId="237783C5" w14:textId="77777777">
                      <w:tblPrEx>
                        <w:tblW w:w="0" w:type="auto"/>
                        <w:tblInd w:w="-120" w:type="dxa"/>
                        <w:tblLayout w:type="fixed"/>
                        <w:tblLook w:val="07E0"/>
                      </w:tblPrEx>
                      <w:trPr>
                        <w:trHeight w:val="240"/>
                      </w:trPr>
                      <w:tc>
                        <w:tcPr>
                          <w:tcW w:w="1140" w:type="dxa"/>
                        </w:tcPr>
                        <w:p w:rsidR="006B18EE" w14:paraId="4928127F" w14:textId="77777777">
                          <w:r>
                            <w:t>Betreft</w:t>
                          </w:r>
                        </w:p>
                      </w:tc>
                      <w:tc>
                        <w:tcPr>
                          <w:tcW w:w="5918" w:type="dxa"/>
                        </w:tcPr>
                        <w:p w:rsidR="006B18EE" w14:paraId="215A623D" w14:textId="77777777">
                          <w:r>
                            <w:t>Reactie</w:t>
                          </w:r>
                          <w:r w:rsidR="00127DC0">
                            <w:t xml:space="preserve"> </w:t>
                          </w:r>
                          <w:r w:rsidR="007C32A5">
                            <w:t xml:space="preserve">op </w:t>
                          </w:r>
                          <w:r w:rsidR="00127DC0">
                            <w:t xml:space="preserve">adviezen </w:t>
                          </w:r>
                          <w:r w:rsidR="007C32A5">
                            <w:t>Commissie toezicht financiën politieke partijen in</w:t>
                          </w:r>
                          <w:r w:rsidR="00127DC0">
                            <w:t xml:space="preserve"> 2025</w:t>
                          </w:r>
                        </w:p>
                      </w:tc>
                    </w:tr>
                  </w:tbl>
                  <w:p w:rsidR="00127DC0" w14:paraId="3B06EC97" w14:textId="77777777"/>
                </w:txbxContent>
              </v:textbox>
              <w10:wrap anchorx="margin"/>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12" name="aa29ef58-fa5a-4ef1-bc47-43f659f7c670"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6B18EE" w14:textId="77777777">
                          <w:pPr>
                            <w:pStyle w:val="Referentiegegevensbold"/>
                          </w:pPr>
                          <w:r>
                            <w:t>DG</w:t>
                          </w:r>
                          <w:r w:rsidR="007C32A5">
                            <w:t xml:space="preserve"> Openbaar Bestuur &amp; </w:t>
                          </w:r>
                          <w:r w:rsidR="007C32A5">
                            <w:t>Democr</w:t>
                          </w:r>
                          <w:r w:rsidR="007C32A5">
                            <w:t xml:space="preserve"> Rechtsstaat</w:t>
                          </w:r>
                        </w:p>
                        <w:p w:rsidR="006B18EE" w14:textId="77777777">
                          <w:pPr>
                            <w:pStyle w:val="Referentiegegevens"/>
                          </w:pPr>
                          <w:r>
                            <w:t>Democratie en Bestuur</w:t>
                          </w:r>
                        </w:p>
                        <w:p w:rsidR="006B18EE" w14:textId="77777777">
                          <w:pPr>
                            <w:pStyle w:val="WitregelW1"/>
                          </w:pPr>
                        </w:p>
                        <w:p w:rsidR="006B18EE" w:rsidRPr="00FD4F30" w14:textId="77777777">
                          <w:pPr>
                            <w:pStyle w:val="Referentiegegevens"/>
                            <w:rPr>
                              <w:lang w:val="de-DE"/>
                            </w:rPr>
                          </w:pPr>
                          <w:r w:rsidRPr="00FD4F30">
                            <w:rPr>
                              <w:lang w:val="de-DE"/>
                            </w:rPr>
                            <w:t>Turfmarkt</w:t>
                          </w:r>
                          <w:r w:rsidRPr="00FD4F30">
                            <w:rPr>
                              <w:lang w:val="de-DE"/>
                            </w:rPr>
                            <w:t xml:space="preserve"> 147</w:t>
                          </w:r>
                        </w:p>
                        <w:p w:rsidR="006B18EE" w:rsidRPr="00FD4F30" w14:textId="77777777">
                          <w:pPr>
                            <w:pStyle w:val="Referentiegegevens"/>
                            <w:rPr>
                              <w:lang w:val="de-DE"/>
                            </w:rPr>
                          </w:pPr>
                          <w:r w:rsidRPr="00FD4F30">
                            <w:rPr>
                              <w:lang w:val="de-DE"/>
                            </w:rPr>
                            <w:t>2511 DP Den Haag</w:t>
                          </w:r>
                        </w:p>
                        <w:p w:rsidR="006B18EE" w:rsidRPr="00FD4F30" w14:textId="77777777">
                          <w:pPr>
                            <w:pStyle w:val="Referentiegegevens"/>
                            <w:rPr>
                              <w:lang w:val="de-DE"/>
                            </w:rPr>
                          </w:pPr>
                          <w:r w:rsidRPr="00FD4F30">
                            <w:rPr>
                              <w:lang w:val="de-DE"/>
                            </w:rPr>
                            <w:t>Postbus 20011</w:t>
                          </w:r>
                        </w:p>
                        <w:p w:rsidR="006B18EE" w14:textId="77777777">
                          <w:pPr>
                            <w:pStyle w:val="Referentiegegevens"/>
                          </w:pPr>
                          <w:r>
                            <w:t>2500 EA  Den Haag</w:t>
                          </w:r>
                        </w:p>
                        <w:p w:rsidR="006B18EE" w14:textId="77777777">
                          <w:pPr>
                            <w:pStyle w:val="WitregelW1"/>
                          </w:pPr>
                        </w:p>
                        <w:p w:rsidR="006B18EE" w14:textId="77777777">
                          <w:pPr>
                            <w:pStyle w:val="Referentiegegevensbold"/>
                          </w:pPr>
                          <w:r>
                            <w:t>Onze referentie</w:t>
                          </w:r>
                        </w:p>
                        <w:p w:rsidR="005E1D13" w14:textId="77777777">
                          <w:pPr>
                            <w:pStyle w:val="Referentiegegevens"/>
                          </w:pPr>
                          <w:r>
                            <w:fldChar w:fldCharType="begin"/>
                          </w:r>
                          <w:r>
                            <w:instrText xml:space="preserve"> DOCPROPERTY  "Kenmerk"  \* MERGEFORMAT </w:instrText>
                          </w:r>
                          <w:r>
                            <w:fldChar w:fldCharType="separate"/>
                          </w:r>
                          <w:r w:rsidR="00BD0EFE">
                            <w:t>2026-0000029061</w:t>
                          </w:r>
                          <w:r w:rsidR="00BD0EFE">
                            <w:fldChar w:fldCharType="end"/>
                          </w:r>
                        </w:p>
                        <w:p w:rsidR="006B18EE" w14:textId="77777777">
                          <w:pPr>
                            <w:pStyle w:val="WitregelW1"/>
                          </w:pPr>
                        </w:p>
                        <w:p w:rsidR="006B18EE" w14:textId="77777777"/>
                      </w:txbxContent>
                    </wps:txbx>
                    <wps:bodyPr vert="horz" wrap="square" lIns="0" tIns="0" rIns="0" bIns="0" anchor="t" anchorCtr="0"/>
                  </wps:wsp>
                </a:graphicData>
              </a:graphic>
            </wp:anchor>
          </w:drawing>
        </mc:Choice>
        <mc:Fallback>
          <w:pict>
            <v:shape id="aa29ef58-fa5a-4ef1-bc47-43f659f7c670" o:spid="_x0000_s2058" type="#_x0000_t202" alt="Colofon" style="width:100.6pt;height:630.7pt;margin-top:154.75pt;margin-left:466.25pt;mso-position-horizontal-relative:page;mso-wrap-distance-bottom:0;mso-wrap-distance-left:0;mso-wrap-distance-right:0;mso-wrap-distance-top:0;mso-wrap-style:square;position:absolute;v-text-anchor:top;visibility:visible;z-index:251677696" filled="f" stroked="f">
              <v:textbox inset="0,0,0,0">
                <w:txbxContent>
                  <w:p w:rsidR="006B18EE" w14:paraId="43C69CDA" w14:textId="77777777">
                    <w:pPr>
                      <w:pStyle w:val="Referentiegegevensbold"/>
                    </w:pPr>
                    <w:r>
                      <w:t>DG</w:t>
                    </w:r>
                    <w:r w:rsidR="007C32A5">
                      <w:t xml:space="preserve"> Openbaar Bestuur &amp; </w:t>
                    </w:r>
                    <w:r w:rsidR="007C32A5">
                      <w:t>Democr</w:t>
                    </w:r>
                    <w:r w:rsidR="007C32A5">
                      <w:t xml:space="preserve"> Rechtsstaat</w:t>
                    </w:r>
                  </w:p>
                  <w:p w:rsidR="006B18EE" w14:paraId="357C4112" w14:textId="77777777">
                    <w:pPr>
                      <w:pStyle w:val="Referentiegegevens"/>
                    </w:pPr>
                    <w:r>
                      <w:t>Democratie en Bestuur</w:t>
                    </w:r>
                  </w:p>
                  <w:p w:rsidR="006B18EE" w14:paraId="7AD91C43" w14:textId="77777777">
                    <w:pPr>
                      <w:pStyle w:val="WitregelW1"/>
                    </w:pPr>
                  </w:p>
                  <w:p w:rsidR="006B18EE" w:rsidRPr="00FD4F30" w14:paraId="761E368A" w14:textId="77777777">
                    <w:pPr>
                      <w:pStyle w:val="Referentiegegevens"/>
                      <w:rPr>
                        <w:lang w:val="de-DE"/>
                      </w:rPr>
                    </w:pPr>
                    <w:r w:rsidRPr="00FD4F30">
                      <w:rPr>
                        <w:lang w:val="de-DE"/>
                      </w:rPr>
                      <w:t>Turfmarkt</w:t>
                    </w:r>
                    <w:r w:rsidRPr="00FD4F30">
                      <w:rPr>
                        <w:lang w:val="de-DE"/>
                      </w:rPr>
                      <w:t xml:space="preserve"> 147</w:t>
                    </w:r>
                  </w:p>
                  <w:p w:rsidR="006B18EE" w:rsidRPr="00FD4F30" w14:paraId="001F443F" w14:textId="77777777">
                    <w:pPr>
                      <w:pStyle w:val="Referentiegegevens"/>
                      <w:rPr>
                        <w:lang w:val="de-DE"/>
                      </w:rPr>
                    </w:pPr>
                    <w:r w:rsidRPr="00FD4F30">
                      <w:rPr>
                        <w:lang w:val="de-DE"/>
                      </w:rPr>
                      <w:t>2511 DP Den Haag</w:t>
                    </w:r>
                  </w:p>
                  <w:p w:rsidR="006B18EE" w:rsidRPr="00FD4F30" w14:paraId="4A89DEF5" w14:textId="77777777">
                    <w:pPr>
                      <w:pStyle w:val="Referentiegegevens"/>
                      <w:rPr>
                        <w:lang w:val="de-DE"/>
                      </w:rPr>
                    </w:pPr>
                    <w:r w:rsidRPr="00FD4F30">
                      <w:rPr>
                        <w:lang w:val="de-DE"/>
                      </w:rPr>
                      <w:t>Postbus 20011</w:t>
                    </w:r>
                  </w:p>
                  <w:p w:rsidR="006B18EE" w14:paraId="263B2E14" w14:textId="77777777">
                    <w:pPr>
                      <w:pStyle w:val="Referentiegegevens"/>
                    </w:pPr>
                    <w:r>
                      <w:t>2500 EA  Den Haag</w:t>
                    </w:r>
                  </w:p>
                  <w:p w:rsidR="006B18EE" w14:paraId="47638BA8" w14:textId="77777777">
                    <w:pPr>
                      <w:pStyle w:val="WitregelW1"/>
                    </w:pPr>
                  </w:p>
                  <w:p w:rsidR="006B18EE" w14:paraId="50F1966E" w14:textId="77777777">
                    <w:pPr>
                      <w:pStyle w:val="Referentiegegevensbold"/>
                    </w:pPr>
                    <w:r>
                      <w:t>Onze referentie</w:t>
                    </w:r>
                  </w:p>
                  <w:p w:rsidR="005E1D13" w14:paraId="5F24D11A" w14:textId="77777777">
                    <w:pPr>
                      <w:pStyle w:val="Referentiegegevens"/>
                    </w:pPr>
                    <w:r>
                      <w:fldChar w:fldCharType="begin"/>
                    </w:r>
                    <w:r>
                      <w:instrText xml:space="preserve"> DOCPROPERTY  "Kenmerk"  \* MERGEFORMAT </w:instrText>
                    </w:r>
                    <w:r>
                      <w:fldChar w:fldCharType="separate"/>
                    </w:r>
                    <w:r w:rsidR="00BD0EFE">
                      <w:t>2026-0000029061</w:t>
                    </w:r>
                    <w:r w:rsidR="00BD0EFE">
                      <w:fldChar w:fldCharType="end"/>
                    </w:r>
                  </w:p>
                  <w:p w:rsidR="006B18EE" w14:paraId="2276B5CD" w14:textId="77777777">
                    <w:pPr>
                      <w:pStyle w:val="WitregelW1"/>
                    </w:pPr>
                  </w:p>
                  <w:p w:rsidR="006B18EE" w14:paraId="3F294DC4" w14:textId="77777777"/>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13" name="fc795519-edb4-40fa-b772-922592680a29"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5E1D13"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fc795519-edb4-40fa-b772-922592680a29" o:spid="_x0000_s2059"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79744" filled="f" stroked="f">
              <v:textbox inset="0,0,0,0">
                <w:txbxContent>
                  <w:p w:rsidR="005E1D13" w14:paraId="481E6AC7"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80768" behindDoc="0" locked="1" layoutInCell="1" allowOverlap="1">
              <wp:simplePos x="0" y="0"/>
              <wp:positionH relativeFrom="page">
                <wp:posOffset>998219</wp:posOffset>
              </wp:positionH>
              <wp:positionV relativeFrom="paragraph">
                <wp:posOffset>10197465</wp:posOffset>
              </wp:positionV>
              <wp:extent cx="4787900" cy="161925"/>
              <wp:effectExtent l="0" t="0" r="0" b="0"/>
              <wp:wrapNone/>
              <wp:docPr id="14" name="ea113d41-b39a-4e3b-9a6a-dce66e72abe4"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127DC0" w14:textId="77777777"/>
                      </w:txbxContent>
                    </wps:txbx>
                    <wps:bodyPr vert="horz" wrap="square" lIns="0" tIns="0" rIns="0" bIns="0" anchor="t" anchorCtr="0"/>
                  </wps:wsp>
                </a:graphicData>
              </a:graphic>
            </wp:anchor>
          </w:drawing>
        </mc:Choice>
        <mc:Fallback>
          <w:pict>
            <v:shape id="ea113d41-b39a-4e3b-9a6a-dce66e72abe4" o:spid="_x0000_s2060" type="#_x0000_t202" alt="Voettekst" style="width:377pt;height:12.75pt;margin-top:802.95pt;margin-left:78.6pt;mso-position-horizontal-relative:page;mso-wrap-distance-bottom:0;mso-wrap-distance-left:0;mso-wrap-distance-right:0;mso-wrap-distance-top:0;mso-wrap-style:square;position:absolute;v-text-anchor:top;visibility:visible;z-index:251681792" filled="f" stroked="f">
              <v:textbox inset="0,0,0,0">
                <w:txbxContent>
                  <w:p w:rsidR="00127DC0" w14:paraId="791841B4" w14:textId="77777777"/>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22F6A7A"/>
    <w:multiLevelType w:val="multilevel"/>
    <w:tmpl w:val="98D03767"/>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1">
    <w:nsid w:val="04816905"/>
    <w:multiLevelType w:val="hybridMultilevel"/>
    <w:tmpl w:val="4FB8C3E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9AD5BB1"/>
    <w:multiLevelType w:val="multilevel"/>
    <w:tmpl w:val="6B0C4F66"/>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nsid w:val="3346392E"/>
    <w:multiLevelType w:val="hybridMultilevel"/>
    <w:tmpl w:val="5DD2D49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37AC78E9"/>
    <w:multiLevelType w:val="hybridMultilevel"/>
    <w:tmpl w:val="8EB2A778"/>
    <w:lvl w:ilvl="0">
      <w:start w:val="1"/>
      <w:numFmt w:val="bullet"/>
      <w:lvlText w:val=""/>
      <w:lvlJc w:val="left"/>
      <w:pPr>
        <w:ind w:left="360" w:hanging="360"/>
      </w:pPr>
      <w:rPr>
        <w:rFonts w:ascii="Symbol" w:hAnsi="Symbol" w:hint="default"/>
      </w:rPr>
    </w:lvl>
    <w:lvl w:ilvl="1">
      <w:start w:val="1"/>
      <w:numFmt w:val="bullet"/>
      <w:lvlText w:val="o"/>
      <w:lvlJc w:val="left"/>
      <w:pPr>
        <w:ind w:left="785"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
    <w:nsid w:val="502B59DC"/>
    <w:multiLevelType w:val="hybridMultilevel"/>
    <w:tmpl w:val="37C6362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6">
    <w:nsid w:val="5DBB1DDC"/>
    <w:multiLevelType w:val="hybridMultilevel"/>
    <w:tmpl w:val="3C40AD78"/>
    <w:lvl w:ilvl="0">
      <w:start w:val="1"/>
      <w:numFmt w:val="bullet"/>
      <w:lvlText w:val=""/>
      <w:lvlJc w:val="left"/>
      <w:pPr>
        <w:ind w:left="360" w:hanging="360"/>
      </w:pPr>
      <w:rPr>
        <w:rFonts w:ascii="Symbol" w:hAnsi="Symbol" w:hint="default"/>
      </w:rPr>
    </w:lvl>
    <w:lvl w:ilvl="1">
      <w:start w:val="1"/>
      <w:numFmt w:val="bullet"/>
      <w:lvlText w:val="o"/>
      <w:lvlJc w:val="left"/>
      <w:pPr>
        <w:ind w:left="785"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7">
    <w:nsid w:val="62EA72DD"/>
    <w:multiLevelType w:val="multilevel"/>
    <w:tmpl w:val="E1CE2530"/>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lowerLetter"/>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8">
    <w:nsid w:val="692C0FD5"/>
    <w:multiLevelType w:val="hybridMultilevel"/>
    <w:tmpl w:val="6C7EABAE"/>
    <w:lvl w:ilvl="0">
      <w:start w:val="1"/>
      <w:numFmt w:val="bullet"/>
      <w:lvlText w:val=""/>
      <w:lvlJc w:val="left"/>
      <w:pPr>
        <w:ind w:left="360" w:hanging="360"/>
      </w:pPr>
      <w:rPr>
        <w:rFonts w:ascii="Symbol" w:hAnsi="Symbol"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9">
    <w:nsid w:val="6F0560D3"/>
    <w:multiLevelType w:val="hybridMultilevel"/>
    <w:tmpl w:val="89DC41E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756D2A46"/>
    <w:multiLevelType w:val="hybridMultilevel"/>
    <w:tmpl w:val="0EA4184C"/>
    <w:lvl w:ilvl="0">
      <w:start w:val="1"/>
      <w:numFmt w:val="bullet"/>
      <w:lvlText w:val="o"/>
      <w:lvlJc w:val="left"/>
      <w:pPr>
        <w:ind w:left="720" w:hanging="360"/>
      </w:pPr>
      <w:rPr>
        <w:rFonts w:ascii="Courier New" w:hAnsi="Courier New" w:cs="Courier New"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7676D3E3"/>
    <w:multiLevelType w:val="multilevel"/>
    <w:tmpl w:val="E4B7F020"/>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2">
    <w:nsid w:val="77341FE5"/>
    <w:multiLevelType w:val="multilevel"/>
    <w:tmpl w:val="3A9DC043"/>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16cid:durableId="1903439109">
    <w:abstractNumId w:val="0"/>
  </w:num>
  <w:num w:numId="2" w16cid:durableId="2024701342">
    <w:abstractNumId w:val="2"/>
  </w:num>
  <w:num w:numId="3" w16cid:durableId="1856266749">
    <w:abstractNumId w:val="12"/>
  </w:num>
  <w:num w:numId="4" w16cid:durableId="579558425">
    <w:abstractNumId w:val="11"/>
  </w:num>
  <w:num w:numId="5" w16cid:durableId="1585338811">
    <w:abstractNumId w:val="9"/>
  </w:num>
  <w:num w:numId="6" w16cid:durableId="211233529">
    <w:abstractNumId w:val="5"/>
  </w:num>
  <w:num w:numId="7" w16cid:durableId="986083754">
    <w:abstractNumId w:val="6"/>
  </w:num>
  <w:num w:numId="8" w16cid:durableId="396050744">
    <w:abstractNumId w:val="4"/>
  </w:num>
  <w:num w:numId="9" w16cid:durableId="51123904">
    <w:abstractNumId w:val="10"/>
  </w:num>
  <w:num w:numId="10" w16cid:durableId="1449856278">
    <w:abstractNumId w:val="7"/>
  </w:num>
  <w:num w:numId="11" w16cid:durableId="2008442404">
    <w:abstractNumId w:val="3"/>
  </w:num>
  <w:num w:numId="12" w16cid:durableId="2109541764">
    <w:abstractNumId w:val="8"/>
  </w:num>
  <w:num w:numId="13" w16cid:durableId="16213043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18EE"/>
    <w:rsid w:val="0000045B"/>
    <w:rsid w:val="00016EF9"/>
    <w:rsid w:val="000242CD"/>
    <w:rsid w:val="00026565"/>
    <w:rsid w:val="00062840"/>
    <w:rsid w:val="000728A1"/>
    <w:rsid w:val="00091405"/>
    <w:rsid w:val="000B6263"/>
    <w:rsid w:val="000D792D"/>
    <w:rsid w:val="000D7DDA"/>
    <w:rsid w:val="000E284B"/>
    <w:rsid w:val="000E38C1"/>
    <w:rsid w:val="000F17BE"/>
    <w:rsid w:val="0011407B"/>
    <w:rsid w:val="00127DC0"/>
    <w:rsid w:val="001407BE"/>
    <w:rsid w:val="0014696F"/>
    <w:rsid w:val="001547FF"/>
    <w:rsid w:val="001720C0"/>
    <w:rsid w:val="0017602F"/>
    <w:rsid w:val="00180260"/>
    <w:rsid w:val="001A6000"/>
    <w:rsid w:val="001A65B6"/>
    <w:rsid w:val="001B0DAC"/>
    <w:rsid w:val="001C5973"/>
    <w:rsid w:val="001E2F3F"/>
    <w:rsid w:val="001E31C3"/>
    <w:rsid w:val="001F623E"/>
    <w:rsid w:val="00226046"/>
    <w:rsid w:val="00250EF7"/>
    <w:rsid w:val="0026476B"/>
    <w:rsid w:val="00265C69"/>
    <w:rsid w:val="00283DA0"/>
    <w:rsid w:val="002C1138"/>
    <w:rsid w:val="002C1E55"/>
    <w:rsid w:val="002E0B24"/>
    <w:rsid w:val="003009B5"/>
    <w:rsid w:val="00327371"/>
    <w:rsid w:val="00333B25"/>
    <w:rsid w:val="003342B3"/>
    <w:rsid w:val="00337477"/>
    <w:rsid w:val="00341255"/>
    <w:rsid w:val="00343ABB"/>
    <w:rsid w:val="00346A6D"/>
    <w:rsid w:val="00354F7C"/>
    <w:rsid w:val="003557BA"/>
    <w:rsid w:val="00365D34"/>
    <w:rsid w:val="00382B76"/>
    <w:rsid w:val="00392F9A"/>
    <w:rsid w:val="003B7737"/>
    <w:rsid w:val="003C4A34"/>
    <w:rsid w:val="003C77C6"/>
    <w:rsid w:val="003D1ECA"/>
    <w:rsid w:val="003D7FF8"/>
    <w:rsid w:val="003E03C8"/>
    <w:rsid w:val="003E2A6F"/>
    <w:rsid w:val="004052F1"/>
    <w:rsid w:val="00422F3F"/>
    <w:rsid w:val="00433091"/>
    <w:rsid w:val="00434A9E"/>
    <w:rsid w:val="00437777"/>
    <w:rsid w:val="00442D90"/>
    <w:rsid w:val="004572D8"/>
    <w:rsid w:val="00461822"/>
    <w:rsid w:val="00467AC5"/>
    <w:rsid w:val="00472F5B"/>
    <w:rsid w:val="00482B9B"/>
    <w:rsid w:val="00487764"/>
    <w:rsid w:val="004C3B4C"/>
    <w:rsid w:val="004E48BF"/>
    <w:rsid w:val="0050432A"/>
    <w:rsid w:val="00510B2D"/>
    <w:rsid w:val="00517069"/>
    <w:rsid w:val="005215BF"/>
    <w:rsid w:val="00524433"/>
    <w:rsid w:val="005258C9"/>
    <w:rsid w:val="00527ABF"/>
    <w:rsid w:val="00554DFB"/>
    <w:rsid w:val="00563DE1"/>
    <w:rsid w:val="00566987"/>
    <w:rsid w:val="00570C28"/>
    <w:rsid w:val="00584024"/>
    <w:rsid w:val="00585B9C"/>
    <w:rsid w:val="005868FD"/>
    <w:rsid w:val="005C38CD"/>
    <w:rsid w:val="005C7202"/>
    <w:rsid w:val="005E1D13"/>
    <w:rsid w:val="005E5AA6"/>
    <w:rsid w:val="006151F5"/>
    <w:rsid w:val="00634227"/>
    <w:rsid w:val="00681B2E"/>
    <w:rsid w:val="0068497B"/>
    <w:rsid w:val="006A7329"/>
    <w:rsid w:val="006B18EE"/>
    <w:rsid w:val="006C69D0"/>
    <w:rsid w:val="006D7347"/>
    <w:rsid w:val="006E4912"/>
    <w:rsid w:val="006F2FBD"/>
    <w:rsid w:val="007501AB"/>
    <w:rsid w:val="007543F0"/>
    <w:rsid w:val="00754DB4"/>
    <w:rsid w:val="00764D83"/>
    <w:rsid w:val="0076642D"/>
    <w:rsid w:val="007729D4"/>
    <w:rsid w:val="00781966"/>
    <w:rsid w:val="0078522D"/>
    <w:rsid w:val="0078536E"/>
    <w:rsid w:val="00791B9E"/>
    <w:rsid w:val="007B0253"/>
    <w:rsid w:val="007C32A5"/>
    <w:rsid w:val="007C718E"/>
    <w:rsid w:val="007D4E2E"/>
    <w:rsid w:val="007E0BC6"/>
    <w:rsid w:val="007E5637"/>
    <w:rsid w:val="008155F5"/>
    <w:rsid w:val="008252EC"/>
    <w:rsid w:val="008302B1"/>
    <w:rsid w:val="008428F8"/>
    <w:rsid w:val="00863DDA"/>
    <w:rsid w:val="00874BB3"/>
    <w:rsid w:val="00891217"/>
    <w:rsid w:val="008A073F"/>
    <w:rsid w:val="008A2EEF"/>
    <w:rsid w:val="0090393A"/>
    <w:rsid w:val="00950FBB"/>
    <w:rsid w:val="00962E6E"/>
    <w:rsid w:val="00967F3F"/>
    <w:rsid w:val="009762B6"/>
    <w:rsid w:val="00993F1D"/>
    <w:rsid w:val="009D5968"/>
    <w:rsid w:val="009E3D3A"/>
    <w:rsid w:val="00A77B04"/>
    <w:rsid w:val="00A829E0"/>
    <w:rsid w:val="00A83FBC"/>
    <w:rsid w:val="00AA719F"/>
    <w:rsid w:val="00AC012B"/>
    <w:rsid w:val="00AD63F3"/>
    <w:rsid w:val="00B00858"/>
    <w:rsid w:val="00B24A80"/>
    <w:rsid w:val="00B5131D"/>
    <w:rsid w:val="00B52D1E"/>
    <w:rsid w:val="00B60CA1"/>
    <w:rsid w:val="00B6606F"/>
    <w:rsid w:val="00B72564"/>
    <w:rsid w:val="00B82D71"/>
    <w:rsid w:val="00B96024"/>
    <w:rsid w:val="00B9742E"/>
    <w:rsid w:val="00BA18AA"/>
    <w:rsid w:val="00BA7741"/>
    <w:rsid w:val="00BB37F0"/>
    <w:rsid w:val="00BC01E5"/>
    <w:rsid w:val="00BD0EFE"/>
    <w:rsid w:val="00BD1238"/>
    <w:rsid w:val="00BD4CB9"/>
    <w:rsid w:val="00BF028B"/>
    <w:rsid w:val="00BF3E62"/>
    <w:rsid w:val="00C03538"/>
    <w:rsid w:val="00C177FE"/>
    <w:rsid w:val="00C225F5"/>
    <w:rsid w:val="00C4384C"/>
    <w:rsid w:val="00C53499"/>
    <w:rsid w:val="00C80F5B"/>
    <w:rsid w:val="00CB0C50"/>
    <w:rsid w:val="00CB40BA"/>
    <w:rsid w:val="00CC2A9F"/>
    <w:rsid w:val="00CD3485"/>
    <w:rsid w:val="00CE2001"/>
    <w:rsid w:val="00CE44A6"/>
    <w:rsid w:val="00D14522"/>
    <w:rsid w:val="00D36BBC"/>
    <w:rsid w:val="00D42421"/>
    <w:rsid w:val="00D42D35"/>
    <w:rsid w:val="00D5401B"/>
    <w:rsid w:val="00D564E4"/>
    <w:rsid w:val="00DA534C"/>
    <w:rsid w:val="00DB2C43"/>
    <w:rsid w:val="00DC6016"/>
    <w:rsid w:val="00DE5D0F"/>
    <w:rsid w:val="00E16B58"/>
    <w:rsid w:val="00E2239A"/>
    <w:rsid w:val="00E22EB4"/>
    <w:rsid w:val="00E27C1B"/>
    <w:rsid w:val="00E32E77"/>
    <w:rsid w:val="00E36B2D"/>
    <w:rsid w:val="00E51F81"/>
    <w:rsid w:val="00E72E71"/>
    <w:rsid w:val="00E7476E"/>
    <w:rsid w:val="00E81FC2"/>
    <w:rsid w:val="00E838C7"/>
    <w:rsid w:val="00E94F69"/>
    <w:rsid w:val="00ED7FCE"/>
    <w:rsid w:val="00EF78C6"/>
    <w:rsid w:val="00F02316"/>
    <w:rsid w:val="00F07E53"/>
    <w:rsid w:val="00F13EED"/>
    <w:rsid w:val="00F36FC0"/>
    <w:rsid w:val="00F50131"/>
    <w:rsid w:val="00F82698"/>
    <w:rsid w:val="00F87BCE"/>
    <w:rsid w:val="00FB21BE"/>
    <w:rsid w:val="00FB4C89"/>
    <w:rsid w:val="00FB5ED2"/>
    <w:rsid w:val="00FD4F30"/>
    <w:rsid w:val="00FF772D"/>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02BFF7B5"/>
  <w15:docId w15:val="{94C85D56-43D6-48ED-A3AA-DC662627D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tabs>
        <w:tab w:val="num" w:pos="360"/>
      </w:tabs>
      <w:ind w:left="0" w:firstLine="0"/>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tabs>
        <w:tab w:val="num" w:pos="360"/>
      </w:tabs>
      <w:ind w:left="0" w:firstLine="0"/>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78536E"/>
    <w:pPr>
      <w:tabs>
        <w:tab w:val="center" w:pos="4536"/>
        <w:tab w:val="right" w:pos="9072"/>
      </w:tabs>
      <w:spacing w:line="240" w:lineRule="auto"/>
    </w:pPr>
  </w:style>
  <w:style w:type="character" w:customStyle="1" w:styleId="KoptekstChar">
    <w:name w:val="Koptekst Char"/>
    <w:basedOn w:val="DefaultParagraphFont"/>
    <w:link w:val="Header"/>
    <w:uiPriority w:val="99"/>
    <w:rsid w:val="0078536E"/>
    <w:rPr>
      <w:rFonts w:ascii="Verdana" w:hAnsi="Verdana"/>
      <w:color w:val="000000"/>
      <w:sz w:val="18"/>
      <w:szCs w:val="18"/>
    </w:rPr>
  </w:style>
  <w:style w:type="paragraph" w:styleId="Footer">
    <w:name w:val="footer"/>
    <w:basedOn w:val="Normal"/>
    <w:link w:val="VoettekstChar"/>
    <w:uiPriority w:val="99"/>
    <w:unhideWhenUsed/>
    <w:rsid w:val="0078536E"/>
    <w:pPr>
      <w:tabs>
        <w:tab w:val="center" w:pos="4536"/>
        <w:tab w:val="right" w:pos="9072"/>
      </w:tabs>
      <w:spacing w:line="240" w:lineRule="auto"/>
    </w:pPr>
  </w:style>
  <w:style w:type="character" w:customStyle="1" w:styleId="VoettekstChar">
    <w:name w:val="Voettekst Char"/>
    <w:basedOn w:val="DefaultParagraphFont"/>
    <w:link w:val="Footer"/>
    <w:uiPriority w:val="99"/>
    <w:rsid w:val="0078536E"/>
    <w:rPr>
      <w:rFonts w:ascii="Verdana" w:hAnsi="Verdana"/>
      <w:color w:val="000000"/>
      <w:sz w:val="18"/>
      <w:szCs w:val="18"/>
    </w:rPr>
  </w:style>
  <w:style w:type="paragraph" w:styleId="ListParagraph">
    <w:name w:val="List Paragraph"/>
    <w:basedOn w:val="Normal"/>
    <w:uiPriority w:val="34"/>
    <w:qFormat/>
    <w:rsid w:val="0078536E"/>
    <w:pPr>
      <w:autoSpaceDN/>
      <w:spacing w:after="160" w:line="259" w:lineRule="auto"/>
      <w:ind w:left="720"/>
      <w:contextualSpacing/>
      <w:textAlignment w:val="auto"/>
    </w:pPr>
    <w:rPr>
      <w:rFonts w:asciiTheme="minorHAnsi" w:eastAsiaTheme="minorHAnsi" w:hAnsiTheme="minorHAnsi" w:cstheme="minorBidi"/>
      <w:color w:val="auto"/>
      <w:kern w:val="2"/>
      <w:sz w:val="22"/>
      <w:szCs w:val="22"/>
      <w:lang w:eastAsia="en-US"/>
      <w14:ligatures w14:val="standardContextual"/>
    </w:rPr>
  </w:style>
  <w:style w:type="character" w:styleId="CommentReference">
    <w:name w:val="annotation reference"/>
    <w:basedOn w:val="DefaultParagraphFont"/>
    <w:uiPriority w:val="99"/>
    <w:semiHidden/>
    <w:unhideWhenUsed/>
    <w:rsid w:val="0078536E"/>
    <w:rPr>
      <w:sz w:val="16"/>
      <w:szCs w:val="16"/>
    </w:rPr>
  </w:style>
  <w:style w:type="paragraph" w:styleId="CommentText">
    <w:name w:val="annotation text"/>
    <w:basedOn w:val="Normal"/>
    <w:link w:val="TekstopmerkingChar"/>
    <w:uiPriority w:val="99"/>
    <w:unhideWhenUsed/>
    <w:rsid w:val="0078536E"/>
    <w:pPr>
      <w:autoSpaceDN/>
      <w:spacing w:after="160"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TekstopmerkingChar">
    <w:name w:val="Tekst opmerking Char"/>
    <w:basedOn w:val="DefaultParagraphFont"/>
    <w:link w:val="CommentText"/>
    <w:uiPriority w:val="99"/>
    <w:rsid w:val="0078536E"/>
    <w:rPr>
      <w:rFonts w:asciiTheme="minorHAnsi" w:eastAsiaTheme="minorHAnsi" w:hAnsiTheme="minorHAnsi" w:cstheme="minorBidi"/>
      <w:kern w:val="2"/>
      <w:lang w:eastAsia="en-US"/>
      <w14:ligatures w14:val="standardContextual"/>
    </w:rPr>
  </w:style>
  <w:style w:type="paragraph" w:styleId="FootnoteText">
    <w:name w:val="footnote text"/>
    <w:basedOn w:val="Normal"/>
    <w:link w:val="VoetnoottekstChar"/>
    <w:uiPriority w:val="99"/>
    <w:semiHidden/>
    <w:unhideWhenUsed/>
    <w:rsid w:val="003C4A34"/>
    <w:pPr>
      <w:spacing w:line="240" w:lineRule="auto"/>
    </w:pPr>
    <w:rPr>
      <w:sz w:val="20"/>
      <w:szCs w:val="20"/>
    </w:rPr>
  </w:style>
  <w:style w:type="character" w:customStyle="1" w:styleId="VoetnoottekstChar">
    <w:name w:val="Voetnoottekst Char"/>
    <w:basedOn w:val="DefaultParagraphFont"/>
    <w:link w:val="FootnoteText"/>
    <w:uiPriority w:val="99"/>
    <w:semiHidden/>
    <w:rsid w:val="003C4A34"/>
    <w:rPr>
      <w:rFonts w:ascii="Verdana" w:hAnsi="Verdana"/>
      <w:color w:val="000000"/>
    </w:rPr>
  </w:style>
  <w:style w:type="character" w:styleId="FootnoteReference">
    <w:name w:val="footnote reference"/>
    <w:basedOn w:val="DefaultParagraphFont"/>
    <w:uiPriority w:val="99"/>
    <w:semiHidden/>
    <w:unhideWhenUsed/>
    <w:rsid w:val="003C4A34"/>
    <w:rPr>
      <w:vertAlign w:val="superscript"/>
    </w:rPr>
  </w:style>
  <w:style w:type="character" w:styleId="UnresolvedMention">
    <w:name w:val="Unresolved Mention"/>
    <w:basedOn w:val="DefaultParagraphFont"/>
    <w:uiPriority w:val="99"/>
    <w:semiHidden/>
    <w:unhideWhenUsed/>
    <w:rsid w:val="003C4A34"/>
    <w:rPr>
      <w:color w:val="605E5C"/>
      <w:shd w:val="clear" w:color="auto" w:fill="E1DFDD"/>
    </w:rPr>
  </w:style>
  <w:style w:type="paragraph" w:styleId="Revision">
    <w:name w:val="Revision"/>
    <w:hidden/>
    <w:uiPriority w:val="99"/>
    <w:semiHidden/>
    <w:rsid w:val="00863DDA"/>
    <w:pPr>
      <w:autoSpaceDN/>
      <w:textAlignment w:val="auto"/>
    </w:pPr>
    <w:rPr>
      <w:rFonts w:ascii="Verdana" w:hAnsi="Verdana"/>
      <w:color w:val="000000"/>
      <w:sz w:val="18"/>
      <w:szCs w:val="18"/>
    </w:rPr>
  </w:style>
  <w:style w:type="paragraph" w:styleId="CommentSubject">
    <w:name w:val="annotation subject"/>
    <w:basedOn w:val="CommentText"/>
    <w:next w:val="CommentText"/>
    <w:link w:val="OnderwerpvanopmerkingChar"/>
    <w:uiPriority w:val="99"/>
    <w:semiHidden/>
    <w:unhideWhenUsed/>
    <w:rsid w:val="00863DDA"/>
    <w:pPr>
      <w:autoSpaceDN w:val="0"/>
      <w:spacing w:after="0"/>
      <w:textAlignment w:val="baseline"/>
    </w:pPr>
    <w:rPr>
      <w:rFonts w:ascii="Verdana" w:eastAsia="DejaVu Sans" w:hAnsi="Verdana" w:cs="Lohit Hindi"/>
      <w:b/>
      <w:bCs/>
      <w:color w:val="000000"/>
      <w:kern w:val="0"/>
      <w:lang w:eastAsia="nl-NL"/>
      <w14:ligatures w14:val="none"/>
    </w:rPr>
  </w:style>
  <w:style w:type="character" w:customStyle="1" w:styleId="OnderwerpvanopmerkingChar">
    <w:name w:val="Onderwerp van opmerking Char"/>
    <w:basedOn w:val="TekstopmerkingChar"/>
    <w:link w:val="CommentSubject"/>
    <w:uiPriority w:val="99"/>
    <w:semiHidden/>
    <w:rsid w:val="00863DDA"/>
    <w:rPr>
      <w:rFonts w:ascii="Verdana" w:hAnsi="Verdana" w:eastAsiaTheme="minorHAnsi" w:cstheme="minorBidi"/>
      <w:b/>
      <w:bCs/>
      <w:color w:val="000000"/>
      <w:kern w:val="2"/>
      <w:lang w:eastAsia="en-US"/>
      <w14:ligatures w14:val="standardContextual"/>
    </w:rPr>
  </w:style>
  <w:style w:type="paragraph" w:styleId="NormalWeb">
    <w:name w:val="Normal (Web)"/>
    <w:basedOn w:val="Normal"/>
    <w:uiPriority w:val="99"/>
    <w:semiHidden/>
    <w:unhideWhenUsed/>
    <w:rsid w:val="00E838C7"/>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1A65B6"/>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footer" Target="footer2.xml" Id="rId10" /><Relationship Type="http://schemas.openxmlformats.org/officeDocument/2006/relationships/header" Target="header3.xml" Id="rId11" /><Relationship Type="http://schemas.openxmlformats.org/officeDocument/2006/relationships/footer" Target="footer3.xml" Id="rId12" /><Relationship Type="http://schemas.openxmlformats.org/officeDocument/2006/relationships/theme" Target="theme/theme1.xml" Id="rId13" /><Relationship Type="http://schemas.openxmlformats.org/officeDocument/2006/relationships/numbering" Target="numbering.xml" Id="rId14" /><Relationship Type="http://schemas.openxmlformats.org/officeDocument/2006/relationships/styles" Target="styles.xml" Id="rId15"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header" Target="header1.xml" Id="rId7" /><Relationship Type="http://schemas.openxmlformats.org/officeDocument/2006/relationships/header" Target="header2.xml" Id="rId8" /><Relationship Type="http://schemas.openxmlformats.org/officeDocument/2006/relationships/footer" Target="footer1.xml" Id="rId9" /></Relationships>
</file>

<file path=word/_rels/footnotes.xml.rels><?xml version="1.0" encoding="utf-8" standalone="yes"?><Relationships xmlns="http://schemas.openxmlformats.org/package/2006/relationships"><Relationship Id="rId1" Type="http://schemas.openxmlformats.org/officeDocument/2006/relationships/hyperlink" Target="https://www.rijksoverheid.nl/documenten/jaarverslagen/2025/10/22/overzichten-financiering-politieke-partijen-2024" TargetMode="External" /><Relationship Id="rId2" Type="http://schemas.openxmlformats.org/officeDocument/2006/relationships/hyperlink" Target="https://www.rijksoverheid.nl/documenten/rapporten/2025/10/22/giften-en-schulden-van-partijen-en-kandidaten-voor-de-tweede-kamerverkiezing-2025" TargetMode="External" /><Relationship Id="rId3" Type="http://schemas.openxmlformats.org/officeDocument/2006/relationships/hyperlink" Target="https://www.rijksoverheid.nl/actueel/nieuws/2025/12/19/aanvullend-overzicht-giften-en-schulden-politieke-partijen-tweede-kamerverkiezing-2025" TargetMode="External"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6</ap:Pages>
  <ap:Words>2334</ap:Words>
  <ap:Characters>12839</ap:Characters>
  <ap:DocSecurity>0</ap:DocSecurity>
  <ap:Lines>106</ap:Lines>
  <ap:Paragraphs>30</ap:Paragraphs>
  <ap:ScaleCrop>false</ap:ScaleCrop>
  <ap:HeadingPairs>
    <vt:vector baseType="variant" size="2">
      <vt:variant>
        <vt:lpstr>Titel</vt:lpstr>
      </vt:variant>
      <vt:variant>
        <vt:i4>1</vt:i4>
      </vt:variant>
    </vt:vector>
  </ap:HeadingPairs>
  <ap:TitlesOfParts>
    <vt:vector baseType="lpstr" size="1">
      <vt:lpstr>Brief - reactie adviezen Ctfpp 2025</vt:lpstr>
    </vt:vector>
  </ap:TitlesOfParts>
  <ap:LinksUpToDate>false</ap:LinksUpToDate>
  <ap:CharactersWithSpaces>15143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2026-02-16T15:58:00.0000000Z</dcterms:created>
  <dcterms:modified xsi:type="dcterms:W3CDTF">2026-02-16T16:00:00.0000000Z</dcterms:modified>
  <dc:creator/>
  <lastModifiedBy/>
  <dc:description>------------------------</dc:description>
  <dc:subject/>
  <keywords/>
  <version/>
  <category/>
</coreProperties>
</file>