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B51DF8" w14:paraId="398BA203" w14:textId="77777777"/>
    <w:p w:rsidR="00837860" w14:paraId="3CD3140C" w14:textId="77777777">
      <w:r w:rsidRPr="00B51DF8">
        <w:t>Hierbij bied ik u de antwoorden aan op de schriftelijke vragen die zijn gesteld door het lid</w:t>
      </w:r>
      <w:r>
        <w:t xml:space="preserve"> Dassen (Volt) over </w:t>
      </w:r>
      <w:r w:rsidRPr="00AE5015">
        <w:t>het</w:t>
      </w:r>
      <w:r>
        <w:t xml:space="preserve"> </w:t>
      </w:r>
      <w:r w:rsidRPr="00AE5015">
        <w:t>bericht 'Transparantie is alweer passé, met dank aan het ultrakorte politieke geheugen in Den Haag'</w:t>
      </w:r>
      <w:r>
        <w:t xml:space="preserve">. Deze vragen werden </w:t>
      </w:r>
      <w:r>
        <w:t>ingezonden</w:t>
      </w:r>
      <w:r>
        <w:t xml:space="preserve"> op 22 december 2025, met kenmerk </w:t>
      </w:r>
      <w:r w:rsidRPr="00B51DF8">
        <w:t>2025Z22661</w:t>
      </w:r>
      <w:r>
        <w:t>.</w:t>
      </w:r>
    </w:p>
    <w:p w:rsidR="00837860" w14:paraId="08B4EABA" w14:textId="77777777"/>
    <w:p w:rsidR="00837860" w14:paraId="1F9D974C" w14:textId="77777777"/>
    <w:p w:rsidR="00837860" w14:paraId="7BC1FB26" w14:textId="77777777">
      <w:r>
        <w:t xml:space="preserve">De </w:t>
      </w:r>
      <w:r w:rsidR="004D0950">
        <w:t>m</w:t>
      </w:r>
      <w:r>
        <w:t>inister van Binnenlandse Zaken en Koninkrijksrelaties</w:t>
      </w:r>
      <w:r>
        <w:rPr>
          <w:i/>
        </w:rPr>
        <w:t>,</w:t>
      </w:r>
    </w:p>
    <w:p w:rsidR="00837860" w14:paraId="5BCCD804" w14:textId="77777777"/>
    <w:p w:rsidR="00837860" w14:paraId="5C87EAFE" w14:textId="77777777"/>
    <w:p w:rsidR="00837860" w14:paraId="654EEE6F" w14:textId="77777777"/>
    <w:p w:rsidR="00837860" w14:paraId="201E0233" w14:textId="77777777"/>
    <w:p w:rsidR="00602C61" w14:paraId="3A472B41" w14:textId="77777777"/>
    <w:p w:rsidR="00837860" w14:paraId="57533674" w14:textId="77777777">
      <w:r>
        <w:t xml:space="preserve">F. </w:t>
      </w:r>
      <w:r w:rsidR="003F4D1A">
        <w:t>Rijkaart</w:t>
      </w:r>
    </w:p>
    <w:p w:rsidR="00837860" w14:paraId="2E5CD1D0" w14:textId="77777777"/>
    <w:p w:rsidR="00B51DF8" w14:paraId="39E9F1F4" w14:textId="77777777">
      <w:pPr>
        <w:spacing w:line="240" w:lineRule="auto"/>
      </w:pPr>
      <w:r>
        <w:br w:type="page"/>
      </w:r>
    </w:p>
    <w:p w:rsidRPr="004D0950" w:rsidR="00B51DF8" w:rsidP="00B51DF8" w14:paraId="5EF3EBDD" w14:textId="77777777">
      <w:pPr>
        <w:rPr>
          <w:b/>
          <w:bCs/>
        </w:rPr>
      </w:pPr>
      <w:r w:rsidRPr="00AE5015">
        <w:rPr>
          <w:b/>
          <w:bCs/>
        </w:rPr>
        <w:t>2025Z22661</w:t>
      </w:r>
      <w:r w:rsidR="004D0950">
        <w:rPr>
          <w:b/>
          <w:bCs/>
        </w:rPr>
        <w:t xml:space="preserve"> </w:t>
      </w:r>
      <w:r w:rsidRPr="00AE5015">
        <w:t>(ingezonden 22 december 2025)</w:t>
      </w:r>
    </w:p>
    <w:p w:rsidR="004D0950" w:rsidP="00B51DF8" w14:paraId="4EAC6F66" w14:textId="77777777"/>
    <w:p w:rsidR="00B51DF8" w:rsidP="00B51DF8" w14:paraId="483A8E65" w14:textId="77777777">
      <w:r w:rsidRPr="00AE5015">
        <w:t>Vragen van het lid Dassen (Volt) aan de minister van Binnenlandse Zaken en Koninkrijksrelaties over het</w:t>
      </w:r>
      <w:r>
        <w:t xml:space="preserve"> </w:t>
      </w:r>
      <w:r w:rsidRPr="00AE5015">
        <w:t>bericht 'Transparantie is alweer passé, met dank aan het ultrakorte politieke geheugen in Den Haag'</w:t>
      </w:r>
      <w:r w:rsidR="004D0950">
        <w:t>.</w:t>
      </w:r>
    </w:p>
    <w:p w:rsidRPr="00AE5015" w:rsidR="00B51DF8" w:rsidP="00B51DF8" w14:paraId="09759994" w14:textId="77777777"/>
    <w:p w:rsidR="004D0950" w:rsidP="00B51DF8" w14:paraId="7F9170EB" w14:textId="77777777">
      <w:pPr>
        <w:rPr>
          <w:b/>
          <w:bCs/>
        </w:rPr>
      </w:pPr>
      <w:r>
        <w:rPr>
          <w:b/>
          <w:bCs/>
        </w:rPr>
        <w:t>Vraag 1</w:t>
      </w:r>
    </w:p>
    <w:p w:rsidR="00B51DF8" w:rsidP="00B51DF8" w14:paraId="09A5E362" w14:textId="77777777">
      <w:r w:rsidRPr="00AE5015">
        <w:t>Bent u bekend met het Volkskrant-bericht 'Transparantie is alweer passé, met dank aan het ultrakorte</w:t>
      </w:r>
      <w:r>
        <w:t xml:space="preserve"> </w:t>
      </w:r>
      <w:r w:rsidRPr="00AE5015">
        <w:t>politieke geheugen in Den Haag' d.d. 17 december 2025?</w:t>
      </w:r>
    </w:p>
    <w:p w:rsidR="004D0950" w:rsidP="00B51DF8" w14:paraId="3C10CB64" w14:textId="77777777"/>
    <w:p w:rsidR="004D0950" w:rsidP="00B51DF8" w14:paraId="6B579C48" w14:textId="77777777">
      <w:pPr>
        <w:rPr>
          <w:b/>
          <w:bCs/>
        </w:rPr>
      </w:pPr>
      <w:r>
        <w:rPr>
          <w:b/>
          <w:bCs/>
        </w:rPr>
        <w:t>Antwoord</w:t>
      </w:r>
    </w:p>
    <w:p w:rsidRPr="004D0950" w:rsidR="004D0950" w:rsidP="00B51DF8" w14:paraId="1B137802" w14:textId="77777777">
      <w:r>
        <w:t>Ja.</w:t>
      </w:r>
    </w:p>
    <w:p w:rsidRPr="00AE5015" w:rsidR="00B51DF8" w:rsidP="00B51DF8" w14:paraId="54EFB653" w14:textId="77777777"/>
    <w:p w:rsidR="004D0950" w:rsidP="00B51DF8" w14:paraId="0B326094" w14:textId="77777777">
      <w:pPr>
        <w:rPr>
          <w:b/>
          <w:bCs/>
        </w:rPr>
      </w:pPr>
      <w:r>
        <w:rPr>
          <w:b/>
          <w:bCs/>
        </w:rPr>
        <w:t>Vraag 2</w:t>
      </w:r>
    </w:p>
    <w:p w:rsidR="00B51DF8" w:rsidP="00B51DF8" w14:paraId="26AFB9C0" w14:textId="77777777">
      <w:r w:rsidRPr="00AE5015">
        <w:t>Erkent u het belang van het recht van iedere burger op overheidsinformatie en dat dit een</w:t>
      </w:r>
      <w:r w:rsidR="004D0950">
        <w:t xml:space="preserve"> </w:t>
      </w:r>
      <w:r w:rsidRPr="00AE5015">
        <w:t>internationaal erkend mensenrecht is? Deelt u de mening dat het van belang is om het recht op</w:t>
      </w:r>
      <w:r w:rsidR="004D0950">
        <w:t xml:space="preserve"> </w:t>
      </w:r>
      <w:r w:rsidRPr="00AE5015">
        <w:t>overheidsinformatie niet in te perken?</w:t>
      </w:r>
    </w:p>
    <w:p w:rsidR="004D0950" w:rsidP="004D0950" w14:paraId="3E75C621" w14:textId="77777777"/>
    <w:p w:rsidRPr="0047544C" w:rsidR="004D0950" w:rsidP="004D0950" w14:paraId="473EAF7D" w14:textId="77777777">
      <w:pPr>
        <w:rPr>
          <w:b/>
        </w:rPr>
      </w:pPr>
      <w:r>
        <w:rPr>
          <w:b/>
          <w:bCs/>
        </w:rPr>
        <w:t>Antwoord</w:t>
      </w:r>
      <w:r w:rsidR="00850C8A">
        <w:rPr>
          <w:b/>
          <w:bCs/>
        </w:rPr>
        <w:t xml:space="preserve"> </w:t>
      </w:r>
    </w:p>
    <w:p w:rsidR="004D0950" w:rsidP="004D0950" w14:paraId="4ADF1D89" w14:textId="77777777">
      <w:r>
        <w:t>Ja, i</w:t>
      </w:r>
      <w:r w:rsidR="00E87785">
        <w:t xml:space="preserve">k erken het </w:t>
      </w:r>
      <w:r w:rsidR="006747C0">
        <w:t xml:space="preserve">belang van het </w:t>
      </w:r>
      <w:r w:rsidR="00E87785">
        <w:t>recht van iedere burger op overheidsinformatie</w:t>
      </w:r>
      <w:r>
        <w:t xml:space="preserve"> en het betreft inderdaad een internationaal erkend grondrecht</w:t>
      </w:r>
      <w:r w:rsidR="00E87785">
        <w:t xml:space="preserve">. </w:t>
      </w:r>
      <w:r>
        <w:t xml:space="preserve">Het recht op toegang tot overheidsinformatie is vastgelegd in verdragen waar Nederland partij bij is zoals in artikel 11 van het EU-Handvest, artikel 10 EVRM en artikel 19 IVBPR. </w:t>
      </w:r>
      <w:r w:rsidR="00DE2D6D">
        <w:t>Dit</w:t>
      </w:r>
      <w:r>
        <w:t xml:space="preserve"> recht heeft een sterke wisselwerking met het grondwettelijk verankerde </w:t>
      </w:r>
      <w:r w:rsidR="00BE1382">
        <w:t xml:space="preserve">recht op de </w:t>
      </w:r>
      <w:r>
        <w:t>vrijheid van meningsuiting (artikel 7 van de Grondwet). Nauw verbonden hiermee is de grondwettelijke bepaling dat de overheid bij de uitvoering van haar taak openbaarheid betracht (artikel 110 van de Grondwet).</w:t>
      </w:r>
      <w:r w:rsidR="00E87785">
        <w:t xml:space="preserve"> In </w:t>
      </w:r>
      <w:r w:rsidR="0031623D">
        <w:t>artikel 1.1 van</w:t>
      </w:r>
      <w:r w:rsidR="00E87785">
        <w:t xml:space="preserve"> de Woo is dit recht ook </w:t>
      </w:r>
      <w:r w:rsidR="001B6D0C">
        <w:t>verankerd</w:t>
      </w:r>
      <w:r w:rsidR="00E87785">
        <w:t xml:space="preserve">. </w:t>
      </w:r>
      <w:r w:rsidR="00F8017D">
        <w:t>Dit betekent niet dat</w:t>
      </w:r>
      <w:r>
        <w:t xml:space="preserve"> </w:t>
      </w:r>
      <w:r w:rsidR="003975C1">
        <w:t xml:space="preserve">er </w:t>
      </w:r>
      <w:r w:rsidR="00F8017D">
        <w:t>geen</w:t>
      </w:r>
      <w:r w:rsidR="003975C1">
        <w:t xml:space="preserve"> voorwaarden</w:t>
      </w:r>
      <w:r w:rsidR="003C1652">
        <w:t xml:space="preserve"> en beperkingen</w:t>
      </w:r>
      <w:r w:rsidR="003975C1">
        <w:t xml:space="preserve"> </w:t>
      </w:r>
      <w:r w:rsidR="00F8017D">
        <w:t xml:space="preserve">mogen </w:t>
      </w:r>
      <w:r w:rsidR="003975C1">
        <w:t>worden opgelegd</w:t>
      </w:r>
      <w:r w:rsidR="00F8017D">
        <w:t xml:space="preserve"> aan de toegang tot overheidsinformatie</w:t>
      </w:r>
      <w:r w:rsidR="00183E76">
        <w:t>, bijvoorbeeld ten aanzien van de omvang of werklast van een verzoek</w:t>
      </w:r>
      <w:r w:rsidR="003975C1">
        <w:t xml:space="preserve">. </w:t>
      </w:r>
      <w:r w:rsidR="00E87785">
        <w:t>Landen kunnen dan ook verschillend omgaan met het recht op overheidsinformatie.</w:t>
      </w:r>
      <w:r w:rsidR="007D3138">
        <w:t xml:space="preserve"> </w:t>
      </w:r>
      <w:r w:rsidR="00E87785">
        <w:t xml:space="preserve">Dit wordt ook geïllustreerd in het rechtsvergelijkend onderzoek dat </w:t>
      </w:r>
      <w:r w:rsidR="00781260">
        <w:t>mijn ambtsvoorganger</w:t>
      </w:r>
      <w:r w:rsidR="00E87785">
        <w:t xml:space="preserve"> eerder met </w:t>
      </w:r>
      <w:r w:rsidR="00781260">
        <w:t>uw</w:t>
      </w:r>
      <w:r w:rsidR="00E87785">
        <w:t xml:space="preserve"> Kamer he</w:t>
      </w:r>
      <w:r w:rsidR="00781260">
        <w:t>eft</w:t>
      </w:r>
      <w:r w:rsidR="00E87785">
        <w:t xml:space="preserve"> gedeeld.</w:t>
      </w:r>
      <w:r>
        <w:rPr>
          <w:rStyle w:val="FootnoteReference"/>
        </w:rPr>
        <w:footnoteReference w:id="3"/>
      </w:r>
      <w:r w:rsidR="00B16540">
        <w:t xml:space="preserve"> </w:t>
      </w:r>
    </w:p>
    <w:p w:rsidRPr="00C32A0A" w:rsidR="00E87785" w:rsidP="004D0950" w14:paraId="6C7CE36A" w14:textId="77777777"/>
    <w:p w:rsidR="004D0950" w:rsidP="004D0950" w14:paraId="0E2D40C3" w14:textId="77777777">
      <w:pPr>
        <w:rPr>
          <w:b/>
          <w:bCs/>
        </w:rPr>
      </w:pPr>
      <w:r>
        <w:rPr>
          <w:b/>
          <w:bCs/>
        </w:rPr>
        <w:t>Vraag 3</w:t>
      </w:r>
    </w:p>
    <w:p w:rsidR="00B51DF8" w:rsidP="00B51DF8" w14:paraId="791A3800" w14:textId="77777777">
      <w:r w:rsidRPr="00AE5015">
        <w:t>Kunt u reageren op de kritiek dat voorstellen zoals het begrenzen van de omvang van Woo-verzoeken,</w:t>
      </w:r>
      <w:r>
        <w:t xml:space="preserve"> </w:t>
      </w:r>
      <w:r w:rsidRPr="00AE5015">
        <w:t>het invoeren van verplichte formulieren of het doorberekenen van kosten neerkomen op</w:t>
      </w:r>
      <w:r w:rsidR="004D0950">
        <w:t xml:space="preserve"> </w:t>
      </w:r>
      <w:r w:rsidRPr="00AE5015">
        <w:t>drempelverhoging voor een mensenrecht?</w:t>
      </w:r>
      <w:r w:rsidR="007D3138">
        <w:t xml:space="preserve"> </w:t>
      </w:r>
    </w:p>
    <w:p w:rsidR="004D0950" w:rsidP="004D0950" w14:paraId="7DE35CEB" w14:textId="77777777"/>
    <w:p w:rsidR="004D0950" w:rsidP="004D0950" w14:paraId="1670AC91" w14:textId="77777777">
      <w:pPr>
        <w:rPr>
          <w:b/>
          <w:bCs/>
        </w:rPr>
      </w:pPr>
      <w:r>
        <w:rPr>
          <w:b/>
          <w:bCs/>
        </w:rPr>
        <w:t>Antwoord</w:t>
      </w:r>
      <w:r w:rsidR="00850C8A">
        <w:rPr>
          <w:b/>
          <w:bCs/>
        </w:rPr>
        <w:t xml:space="preserve"> </w:t>
      </w:r>
    </w:p>
    <w:p w:rsidR="00EF4381" w:rsidP="004D0950" w14:paraId="7B9900A0" w14:textId="77777777">
      <w:r>
        <w:t xml:space="preserve">Het recht op toegang tot informatie </w:t>
      </w:r>
      <w:r w:rsidR="003C1652">
        <w:t xml:space="preserve">is een belangrijk recht. Tegelijkertijd zijn hier altijd </w:t>
      </w:r>
      <w:r>
        <w:t>voorwaarden en beperkingen</w:t>
      </w:r>
      <w:r w:rsidR="003C1652">
        <w:t xml:space="preserve"> aan verbonden</w:t>
      </w:r>
      <w:r>
        <w:t>. De</w:t>
      </w:r>
      <w:r w:rsidR="003C1652">
        <w:t>rgelijke</w:t>
      </w:r>
      <w:r>
        <w:t xml:space="preserve"> beperkingen zijn toegestaan volgens internationaal recht</w:t>
      </w:r>
      <w:r w:rsidR="00B673B3">
        <w:t xml:space="preserve"> en </w:t>
      </w:r>
      <w:r>
        <w:t xml:space="preserve">zorgen ervoor dat </w:t>
      </w:r>
      <w:r w:rsidR="00F935A1">
        <w:t>de toegang tot overheidsinformatie voor iedereen gewaarborgd blijft</w:t>
      </w:r>
      <w:r>
        <w:t xml:space="preserve">. </w:t>
      </w:r>
      <w:r w:rsidR="00855B8C">
        <w:t xml:space="preserve">Uit het eerder aangehaalde rechtsvergelijkend onderzoek blijkt ook dat </w:t>
      </w:r>
      <w:r>
        <w:t xml:space="preserve">andere landen, die uiteraard ook </w:t>
      </w:r>
      <w:r w:rsidR="00781260">
        <w:t xml:space="preserve">het </w:t>
      </w:r>
      <w:r>
        <w:t xml:space="preserve">recht van burgers op overheidsinformatie erkennen, beperkingen en voorwaarden </w:t>
      </w:r>
      <w:r w:rsidR="00855B8C">
        <w:t xml:space="preserve">opleggen </w:t>
      </w:r>
      <w:r>
        <w:t xml:space="preserve">aan het kunnen verkrijgen van overheidsinformatie. </w:t>
      </w:r>
      <w:r w:rsidR="00B8284A">
        <w:t xml:space="preserve">Nadere regels hebben tot doel om het </w:t>
      </w:r>
      <w:r w:rsidR="00BE1382">
        <w:t>openbaarmakings</w:t>
      </w:r>
      <w:r w:rsidR="00B8284A">
        <w:t xml:space="preserve">proces te verbeteren, te stroomlijnen of de publicatie van betekenisvolle informatie te versnellen en te vergroten. </w:t>
      </w:r>
    </w:p>
    <w:p w:rsidRPr="00AE5015" w:rsidR="00B51DF8" w:rsidP="00B51DF8" w14:paraId="37BA050B" w14:textId="77777777"/>
    <w:p w:rsidR="00031C7C" w14:paraId="766047D7" w14:textId="77777777">
      <w:pPr>
        <w:spacing w:line="240" w:lineRule="auto"/>
        <w:rPr>
          <w:b/>
          <w:bCs/>
        </w:rPr>
      </w:pPr>
      <w:r>
        <w:rPr>
          <w:b/>
          <w:bCs/>
        </w:rPr>
        <w:br w:type="page"/>
      </w:r>
    </w:p>
    <w:p w:rsidR="004D0950" w:rsidP="004D0950" w14:paraId="66B102EE" w14:textId="77777777">
      <w:pPr>
        <w:rPr>
          <w:b/>
          <w:bCs/>
        </w:rPr>
      </w:pPr>
      <w:r>
        <w:rPr>
          <w:b/>
          <w:bCs/>
        </w:rPr>
        <w:t>Vraag 4</w:t>
      </w:r>
      <w:r w:rsidR="00850C8A">
        <w:rPr>
          <w:b/>
          <w:bCs/>
        </w:rPr>
        <w:t xml:space="preserve"> </w:t>
      </w:r>
    </w:p>
    <w:p w:rsidR="00B51DF8" w:rsidP="00B51DF8" w14:paraId="2FCA602B" w14:textId="77777777">
      <w:r w:rsidRPr="00AE5015">
        <w:t>Deelt u de opvatting dat de Woo bijdraagt aan transparantie en daarmee aan het vergroten van het</w:t>
      </w:r>
      <w:r>
        <w:t xml:space="preserve"> </w:t>
      </w:r>
      <w:r w:rsidRPr="00AE5015">
        <w:t>vertrouwen in de overheid?</w:t>
      </w:r>
    </w:p>
    <w:p w:rsidR="004D0950" w:rsidP="004D0950" w14:paraId="01D82731" w14:textId="77777777"/>
    <w:p w:rsidR="004D0950" w:rsidP="004D0950" w14:paraId="5C6446E9" w14:textId="77777777">
      <w:pPr>
        <w:rPr>
          <w:b/>
          <w:bCs/>
        </w:rPr>
      </w:pPr>
      <w:r>
        <w:rPr>
          <w:b/>
          <w:bCs/>
        </w:rPr>
        <w:t>Antwoord</w:t>
      </w:r>
    </w:p>
    <w:p w:rsidR="004D0950" w:rsidP="004D0950" w14:paraId="0E0136C3" w14:textId="77777777">
      <w:r>
        <w:t xml:space="preserve">Ja, deze opvatting deel ik. </w:t>
      </w:r>
    </w:p>
    <w:p w:rsidRPr="00AE5015" w:rsidR="00B51DF8" w:rsidP="00B51DF8" w14:paraId="5F9E8059" w14:textId="77777777"/>
    <w:p w:rsidR="004D0950" w:rsidP="004D0950" w14:paraId="5EAEC84C" w14:textId="77777777">
      <w:pPr>
        <w:rPr>
          <w:b/>
          <w:bCs/>
        </w:rPr>
      </w:pPr>
      <w:r>
        <w:rPr>
          <w:b/>
          <w:bCs/>
        </w:rPr>
        <w:t>Vraag 5</w:t>
      </w:r>
      <w:r w:rsidR="00850C8A">
        <w:rPr>
          <w:b/>
          <w:bCs/>
        </w:rPr>
        <w:t xml:space="preserve"> </w:t>
      </w:r>
    </w:p>
    <w:p w:rsidR="00B51DF8" w:rsidP="00B51DF8" w14:paraId="7246F003" w14:textId="77777777">
      <w:r w:rsidRPr="00AE5015">
        <w:t>Kunt u toelichten waarom het ministerie van Binnenlandse Zaken en</w:t>
      </w:r>
      <w:r>
        <w:t xml:space="preserve"> </w:t>
      </w:r>
      <w:r w:rsidRPr="00AE5015">
        <w:t>Koninkrijksrelaties vooruitlopend op de geplande evaluatie van de Woo in 2026 al voorstellen doet die</w:t>
      </w:r>
      <w:r>
        <w:t xml:space="preserve"> </w:t>
      </w:r>
      <w:r w:rsidRPr="00AE5015">
        <w:t>het recht op overheidsinformatie feitelijk kunnen beperken? Acht u het getuigen van goed bestuur om</w:t>
      </w:r>
      <w:r w:rsidR="004D0950">
        <w:t xml:space="preserve"> </w:t>
      </w:r>
      <w:r w:rsidRPr="00AE5015">
        <w:t>conclusies te trekken over de werking van de Woo voordat de wettelijke evaluatie heeft</w:t>
      </w:r>
      <w:r w:rsidR="004D0950">
        <w:t xml:space="preserve"> </w:t>
      </w:r>
      <w:r w:rsidRPr="00AE5015">
        <w:t>plaatsgevonden? Zo ja, kunt u dat uitleggen?</w:t>
      </w:r>
    </w:p>
    <w:p w:rsidR="004D0950" w:rsidP="004D0950" w14:paraId="26728C37" w14:textId="77777777"/>
    <w:p w:rsidR="004D0950" w:rsidP="004D0950" w14:paraId="1379EDD4" w14:textId="77777777">
      <w:pPr>
        <w:rPr>
          <w:b/>
          <w:bCs/>
        </w:rPr>
      </w:pPr>
      <w:r>
        <w:rPr>
          <w:b/>
          <w:bCs/>
        </w:rPr>
        <w:t>Antwoord</w:t>
      </w:r>
    </w:p>
    <w:p w:rsidRPr="00CF46BE" w:rsidR="00EF4381" w:rsidP="00B244F1" w14:paraId="47A59B4F" w14:textId="77777777">
      <w:r>
        <w:t xml:space="preserve">In het kader van de formatie zijn er </w:t>
      </w:r>
      <w:r>
        <w:t xml:space="preserve">door de </w:t>
      </w:r>
      <w:r w:rsidR="00C76988">
        <w:t>in</w:t>
      </w:r>
      <w:r>
        <w:t xml:space="preserve">formateur </w:t>
      </w:r>
      <w:r>
        <w:t>vragen gesteld aan mijn ministerie</w:t>
      </w:r>
      <w:r w:rsidR="00A4136F">
        <w:t xml:space="preserve">. </w:t>
      </w:r>
      <w:r>
        <w:t xml:space="preserve">Zoals </w:t>
      </w:r>
      <w:r w:rsidR="00B8284A">
        <w:t xml:space="preserve">door de informateur </w:t>
      </w:r>
      <w:r w:rsidR="00F935A1">
        <w:t>verzocht</w:t>
      </w:r>
      <w:r w:rsidR="00D23880">
        <w:t>,</w:t>
      </w:r>
      <w:r>
        <w:t xml:space="preserve"> zijn </w:t>
      </w:r>
      <w:r w:rsidR="00B8284A">
        <w:t xml:space="preserve">ter beantwoording van </w:t>
      </w:r>
      <w:r w:rsidR="000A7B10">
        <w:t>die</w:t>
      </w:r>
      <w:r w:rsidR="00B8284A">
        <w:t xml:space="preserve"> vragen </w:t>
      </w:r>
      <w:r w:rsidR="006747C0">
        <w:t>vanuit</w:t>
      </w:r>
      <w:r>
        <w:t xml:space="preserve"> mijn ministerie</w:t>
      </w:r>
      <w:r w:rsidR="001B6D0C">
        <w:t xml:space="preserve"> </w:t>
      </w:r>
      <w:r w:rsidR="00F935A1">
        <w:t xml:space="preserve">mogelijkheden </w:t>
      </w:r>
      <w:r w:rsidR="001B6D0C">
        <w:t>opgenomen die</w:t>
      </w:r>
      <w:r>
        <w:t xml:space="preserve"> de uitvoering van de Wet open overheid (Woo) </w:t>
      </w:r>
      <w:r w:rsidR="001B6D0C">
        <w:t>kunnen</w:t>
      </w:r>
      <w:r>
        <w:t xml:space="preserve"> verbeteren. </w:t>
      </w:r>
      <w:r w:rsidR="00B8284A">
        <w:t xml:space="preserve">De beschreven mogelijkheden zijn geen </w:t>
      </w:r>
      <w:r w:rsidR="007071AF">
        <w:t>staand beleid</w:t>
      </w:r>
      <w:r w:rsidR="00B8284A">
        <w:t xml:space="preserve">. </w:t>
      </w:r>
      <w:r w:rsidR="00AD7318">
        <w:t xml:space="preserve">Verder is in de beantwoording </w:t>
      </w:r>
      <w:r w:rsidR="00325C87">
        <w:t xml:space="preserve">ook gewezen op </w:t>
      </w:r>
      <w:r w:rsidR="00AD7318">
        <w:t xml:space="preserve">de </w:t>
      </w:r>
      <w:r w:rsidR="00325C87">
        <w:t>aanstaande</w:t>
      </w:r>
      <w:r w:rsidR="00AD7318">
        <w:t xml:space="preserve"> evaluatie van de Woo. </w:t>
      </w:r>
      <w:r w:rsidRPr="00DB7348" w:rsidR="00B244F1">
        <w:t xml:space="preserve">De door mijn ministerie gegeven antwoorden zijn input voor de lopende formatie van een nieuw kabinet. </w:t>
      </w:r>
      <w:r w:rsidRPr="00CF46BE" w:rsidR="00B244F1">
        <w:t>Daarom vind ik het niet passend om hier als demissionair minister van Binnenlandse Zaken en Koninkrijksrelaties</w:t>
      </w:r>
      <w:r w:rsidRPr="00CF46BE" w:rsidR="00A4136F">
        <w:t xml:space="preserve"> inhoudelijk</w:t>
      </w:r>
      <w:r w:rsidRPr="00CF46BE" w:rsidR="00B244F1">
        <w:t xml:space="preserve"> op te reageren. </w:t>
      </w:r>
    </w:p>
    <w:p w:rsidRPr="00CF46BE" w:rsidR="00B51DF8" w:rsidP="00B51DF8" w14:paraId="3743EF81" w14:textId="77777777"/>
    <w:p w:rsidR="004D0950" w:rsidP="004D0950" w14:paraId="4447FE7B" w14:textId="77777777">
      <w:pPr>
        <w:rPr>
          <w:b/>
          <w:bCs/>
        </w:rPr>
      </w:pPr>
      <w:r>
        <w:rPr>
          <w:b/>
          <w:bCs/>
        </w:rPr>
        <w:t>Vraag 6</w:t>
      </w:r>
      <w:r w:rsidR="00850C8A">
        <w:rPr>
          <w:b/>
          <w:bCs/>
        </w:rPr>
        <w:t xml:space="preserve"> </w:t>
      </w:r>
    </w:p>
    <w:p w:rsidR="00B51DF8" w:rsidP="00B51DF8" w14:paraId="18FA8DA0" w14:textId="77777777">
      <w:r w:rsidRPr="00AE5015">
        <w:t>Welke concrete stappen heeft u sinds de inwerkingtreding van de Woo gezet om proactieve</w:t>
      </w:r>
      <w:r w:rsidR="004D0950">
        <w:t xml:space="preserve"> </w:t>
      </w:r>
      <w:r w:rsidRPr="00AE5015">
        <w:t>openbaarmaking daadwerkelijk de norm te maken, zoals de wet al mogelijk maakt?</w:t>
      </w:r>
    </w:p>
    <w:p w:rsidR="004D0950" w:rsidP="004D0950" w14:paraId="5F17FDE7" w14:textId="77777777"/>
    <w:p w:rsidR="005F44CA" w:rsidP="004D0950" w14:paraId="36746B66" w14:textId="77777777">
      <w:r>
        <w:rPr>
          <w:b/>
          <w:bCs/>
        </w:rPr>
        <w:t>Antwoord</w:t>
      </w:r>
    </w:p>
    <w:p w:rsidR="001B0FCA" w:rsidP="00A66920" w14:paraId="2B48F1C9" w14:textId="77777777">
      <w:r>
        <w:t>In het kader van (pro)actieve openbaarmaking staat</w:t>
      </w:r>
      <w:r w:rsidRPr="005F44CA">
        <w:t xml:space="preserve"> </w:t>
      </w:r>
      <w:r>
        <w:t>‘</w:t>
      </w:r>
      <w:r w:rsidRPr="005F44CA">
        <w:t>betekenisvolle openbaarheid</w:t>
      </w:r>
      <w:r>
        <w:t>’ centraal</w:t>
      </w:r>
      <w:r w:rsidRPr="005F44CA">
        <w:t>.</w:t>
      </w:r>
      <w:r>
        <w:t xml:space="preserve"> </w:t>
      </w:r>
      <w:r w:rsidR="00B76D9F">
        <w:t>Afgelopen jaar</w:t>
      </w:r>
      <w:r w:rsidRPr="00C06931">
        <w:t xml:space="preserve"> is </w:t>
      </w:r>
      <w:r w:rsidR="00B76D9F">
        <w:t>in opdracht van mijn ministerie een</w:t>
      </w:r>
      <w:r w:rsidRPr="00221DE2">
        <w:t xml:space="preserve"> stappenplan met afwegingskader </w:t>
      </w:r>
      <w:r w:rsidR="00B76D9F">
        <w:t xml:space="preserve">ontwikkeld dat overheidsorganisaties moet helpen </w:t>
      </w:r>
      <w:r w:rsidRPr="00221DE2">
        <w:t>om betekenisvol invulling te geven aan de inspanningsverplichting</w:t>
      </w:r>
      <w:r>
        <w:t xml:space="preserve"> tot actieve openbaarmaking uit de Woo (art. 3.1).</w:t>
      </w:r>
      <w:r>
        <w:rPr>
          <w:rStyle w:val="FootnoteReference"/>
        </w:rPr>
        <w:footnoteReference w:id="4"/>
      </w:r>
      <w:r>
        <w:t xml:space="preserve"> </w:t>
      </w:r>
      <w:r w:rsidRPr="00221DE2">
        <w:t xml:space="preserve">Met het stappenplan en afwegingskader kunnen overheidsorganisaties beter bepalen welke informatie zij uit eigen beweging openbaar maken en op welke manier. </w:t>
      </w:r>
      <w:r w:rsidR="00E50952">
        <w:t>Het</w:t>
      </w:r>
      <w:r w:rsidRPr="00221DE2">
        <w:t xml:space="preserve"> streven </w:t>
      </w:r>
      <w:r w:rsidR="00E50952">
        <w:t xml:space="preserve">is </w:t>
      </w:r>
      <w:r w:rsidRPr="00221DE2">
        <w:t xml:space="preserve">om </w:t>
      </w:r>
      <w:r w:rsidR="00E50952">
        <w:t>in aanvulling hierop in</w:t>
      </w:r>
      <w:r w:rsidRPr="00221DE2">
        <w:t xml:space="preserve"> </w:t>
      </w:r>
      <w:r>
        <w:t>het voorjaar van</w:t>
      </w:r>
      <w:r w:rsidRPr="00221DE2">
        <w:t xml:space="preserve"> 2026 een beleidslijn te publiceren, die verder invulling en kaders geeft aan de inspanningsverplichting.</w:t>
      </w:r>
      <w:r w:rsidRPr="005F44CA">
        <w:t xml:space="preserve"> </w:t>
      </w:r>
      <w:r w:rsidR="00635937">
        <w:t xml:space="preserve">Daarnaast stimuleren we overheidsorganisaties om jaarlijks minimaal 1 maatschappelijk relevant dossier openbaar te maken.  </w:t>
      </w:r>
    </w:p>
    <w:p w:rsidR="00A66920" w:rsidP="00A66920" w14:paraId="28707BAC" w14:textId="77777777"/>
    <w:p w:rsidR="00A66920" w:rsidP="004D0950" w14:paraId="7E452C2E" w14:textId="77777777">
      <w:r>
        <w:t xml:space="preserve">Een ander </w:t>
      </w:r>
      <w:r w:rsidR="00F56B46">
        <w:t xml:space="preserve">belangrijk </w:t>
      </w:r>
      <w:r>
        <w:t xml:space="preserve">onderdeel van de Woo betreft de </w:t>
      </w:r>
      <w:r w:rsidR="00515D3D">
        <w:t xml:space="preserve">actieve openbaarmaking </w:t>
      </w:r>
      <w:r>
        <w:t>van verplichte informatiecategorieën. V</w:t>
      </w:r>
      <w:r w:rsidRPr="00A66920">
        <w:t>anuit mijn ministerie</w:t>
      </w:r>
      <w:r>
        <w:t xml:space="preserve"> zijn</w:t>
      </w:r>
      <w:r w:rsidRPr="00A66920">
        <w:t xml:space="preserve">, in samenwerking met andere bestuursorganen en de koepels van de medeoverheden, werkdefinities </w:t>
      </w:r>
      <w:r>
        <w:t>en hulpmiddelen ontwikkeld</w:t>
      </w:r>
      <w:r w:rsidRPr="00A66920">
        <w:t xml:space="preserve"> voor iedere informatiecategorie uit de Woo</w:t>
      </w:r>
      <w:r w:rsidRPr="001B0FCA" w:rsidR="001B0FCA">
        <w:t>.</w:t>
      </w:r>
      <w:r w:rsidRPr="001B0FCA" w:rsidR="001B0FCA">
        <w:rPr>
          <w:rStyle w:val="FootnoteReference"/>
        </w:rPr>
        <w:t xml:space="preserve"> </w:t>
      </w:r>
      <w:r>
        <w:rPr>
          <w:rStyle w:val="FootnoteReference"/>
        </w:rPr>
        <w:footnoteReference w:id="5"/>
      </w:r>
      <w:r w:rsidR="001B0FCA">
        <w:t xml:space="preserve"> </w:t>
      </w:r>
      <w:r w:rsidRPr="001B0FCA" w:rsidR="001B0FCA">
        <w:t xml:space="preserve">Deze </w:t>
      </w:r>
      <w:r>
        <w:t>producten</w:t>
      </w:r>
      <w:r w:rsidRPr="001B0FCA" w:rsidR="001B0FCA">
        <w:t xml:space="preserve"> dra</w:t>
      </w:r>
      <w:r>
        <w:t>gen</w:t>
      </w:r>
      <w:r w:rsidRPr="001B0FCA" w:rsidR="001B0FCA">
        <w:t xml:space="preserve"> bij aan meer helderheid en een betere uitvoerbaarheid voor overheidsorganisaties.</w:t>
      </w:r>
      <w:r w:rsidR="00680724">
        <w:t xml:space="preserve"> </w:t>
      </w:r>
      <w:r w:rsidRPr="001B0FCA" w:rsidR="001B0FCA">
        <w:t xml:space="preserve">Met de inwerkingtreding van de eerste tranche is op 1 november 2024 de eerste fase van de verplichte actieve openbaarmaking van start gegaan. Sinds dat moment zijn bestuursorganen verplicht vijf informatiecategorieën actief openbaar te maken. </w:t>
      </w:r>
      <w:r>
        <w:t>De komende jaren zal de verplichting voor de overige categorieën in werking treden.</w:t>
      </w:r>
      <w:r w:rsidRPr="001B0FCA" w:rsidR="001B0FCA">
        <w:t xml:space="preserve"> </w:t>
      </w:r>
    </w:p>
    <w:p w:rsidR="00515D3D" w:rsidP="004D0950" w14:paraId="3EBCD17A" w14:textId="77777777"/>
    <w:p w:rsidR="002048AC" w:rsidP="004D0950" w14:paraId="6CBD1D65" w14:textId="77777777">
      <w:r>
        <w:t xml:space="preserve">Sinds de inwerkingtreding van de Woo </w:t>
      </w:r>
      <w:r w:rsidR="00F56B46">
        <w:t xml:space="preserve">wordt </w:t>
      </w:r>
      <w:r>
        <w:t xml:space="preserve">al </w:t>
      </w:r>
      <w:r w:rsidR="00F56B46">
        <w:t>veel</w:t>
      </w:r>
      <w:r>
        <w:t xml:space="preserve"> meer informatie actief openbaar </w:t>
      </w:r>
      <w:r w:rsidR="00F56B46">
        <w:t>gemaakt</w:t>
      </w:r>
      <w:r>
        <w:rPr>
          <w:rStyle w:val="FootnoteReference"/>
        </w:rPr>
        <w:footnoteReference w:id="6"/>
      </w:r>
      <w:r w:rsidR="00F56B46">
        <w:t xml:space="preserve"> </w:t>
      </w:r>
      <w:r>
        <w:t>en geven</w:t>
      </w:r>
      <w:r w:rsidR="00F56B46">
        <w:t xml:space="preserve"> overheidsorganisaties</w:t>
      </w:r>
      <w:r>
        <w:t xml:space="preserve"> </w:t>
      </w:r>
      <w:r w:rsidR="00F56B46">
        <w:t xml:space="preserve">steeds meer </w:t>
      </w:r>
      <w:r>
        <w:t xml:space="preserve">invulling aan de inspanningsverplichting. </w:t>
      </w:r>
      <w:r w:rsidRPr="00BA3928">
        <w:t xml:space="preserve">Zo </w:t>
      </w:r>
      <w:r>
        <w:t xml:space="preserve">maakt het Waterschap Rijn en IJssel </w:t>
      </w:r>
      <w:r w:rsidRPr="00BA3928">
        <w:t>al hun meetgegevens over waterhoeveelheden en waterkwaliteit publiekelijk toegankelijk</w:t>
      </w:r>
      <w:r w:rsidR="00F4476F">
        <w:t>.</w:t>
      </w:r>
      <w:r>
        <w:rPr>
          <w:rStyle w:val="FootnoteReference"/>
        </w:rPr>
        <w:footnoteReference w:id="7"/>
      </w:r>
      <w:r w:rsidR="00F4476F">
        <w:t xml:space="preserve"> Ook vanuit mijn eigen ministerie zijn we hiermee proactief aan de slag, zoals met </w:t>
      </w:r>
      <w:r w:rsidRPr="00BA3928" w:rsidR="00F4476F">
        <w:t xml:space="preserve">het dashboard Groningen </w:t>
      </w:r>
      <w:r w:rsidR="00F4476F">
        <w:t xml:space="preserve">dat </w:t>
      </w:r>
      <w:r w:rsidRPr="00BA3928" w:rsidR="00F4476F">
        <w:t xml:space="preserve">een overzicht </w:t>
      </w:r>
      <w:r w:rsidR="00F4476F">
        <w:t xml:space="preserve">biedt </w:t>
      </w:r>
      <w:r w:rsidRPr="00BA3928" w:rsidR="00F4476F">
        <w:t>van de belangrijkste documenten die inzicht geven in de totstandkoming van het wetsvoorstel Wet Groningen</w:t>
      </w:r>
      <w:r>
        <w:rPr>
          <w:rStyle w:val="FootnoteReference"/>
        </w:rPr>
        <w:footnoteReference w:id="8"/>
      </w:r>
      <w:r w:rsidR="00F4476F">
        <w:t xml:space="preserve"> en </w:t>
      </w:r>
      <w:r w:rsidRPr="00BA3928" w:rsidR="00F4476F">
        <w:t>de website van de Nederlandse Digitaliseringsstrategie</w:t>
      </w:r>
      <w:r w:rsidR="00F4476F">
        <w:t xml:space="preserve"> (NDS) met een tijdlijn van de totstandkoming van de NDS en de besluitvormende (interne)documenten die daaraan ten grondslag liggen.</w:t>
      </w:r>
      <w:r>
        <w:rPr>
          <w:rStyle w:val="FootnoteReference"/>
        </w:rPr>
        <w:footnoteReference w:id="9"/>
      </w:r>
      <w:r w:rsidR="00F4476F">
        <w:t xml:space="preserve"> Deze goede voorbeelden moeten ook andere bestuursorganen stimuleren en inspireren om met de inspanningsverplichting aan de slag te gaan.</w:t>
      </w:r>
    </w:p>
    <w:p w:rsidR="002048AC" w:rsidP="004D0950" w14:paraId="2E1D90FF" w14:textId="77777777"/>
    <w:p w:rsidR="00515D3D" w:rsidP="004D0950" w14:paraId="3F50504B" w14:textId="77777777">
      <w:r>
        <w:t>De</w:t>
      </w:r>
      <w:r w:rsidR="002048AC">
        <w:t xml:space="preserve"> verdere</w:t>
      </w:r>
      <w:r>
        <w:t xml:space="preserve"> invulling van de inspanningsverplichting tot ‘betekenisvolle openbaarmaking’ en de voorbereiding van de </w:t>
      </w:r>
      <w:r w:rsidR="00551841">
        <w:t xml:space="preserve">actieve </w:t>
      </w:r>
      <w:r>
        <w:t xml:space="preserve">openbaarmaking van de zeventien </w:t>
      </w:r>
      <w:r w:rsidR="00B76D9F">
        <w:t xml:space="preserve">verplichte </w:t>
      </w:r>
      <w:r>
        <w:t xml:space="preserve">informatiecategorieën </w:t>
      </w:r>
      <w:r w:rsidR="00B76D9F">
        <w:t>moeten</w:t>
      </w:r>
      <w:r>
        <w:t xml:space="preserve"> op termijn </w:t>
      </w:r>
      <w:r w:rsidR="002048AC">
        <w:t xml:space="preserve">verder </w:t>
      </w:r>
      <w:r w:rsidR="00B76D9F">
        <w:t>bijdragen</w:t>
      </w:r>
      <w:r w:rsidR="00680724">
        <w:t xml:space="preserve"> aan </w:t>
      </w:r>
      <w:r>
        <w:t xml:space="preserve">de gewenste normverandering naar </w:t>
      </w:r>
      <w:r w:rsidR="00B76D9F">
        <w:t>(pro)</w:t>
      </w:r>
      <w:r>
        <w:t xml:space="preserve">actieve openbaarmaking. </w:t>
      </w:r>
    </w:p>
    <w:p w:rsidRPr="00AE5015" w:rsidR="00B51DF8" w:rsidP="00B51DF8" w14:paraId="072515EE" w14:textId="77777777"/>
    <w:p w:rsidR="004D0950" w:rsidP="004D0950" w14:paraId="34C70648" w14:textId="77777777">
      <w:pPr>
        <w:rPr>
          <w:b/>
          <w:bCs/>
        </w:rPr>
      </w:pPr>
      <w:r>
        <w:rPr>
          <w:b/>
          <w:bCs/>
        </w:rPr>
        <w:t>Vraag 7</w:t>
      </w:r>
      <w:r w:rsidR="00850C8A">
        <w:rPr>
          <w:b/>
          <w:bCs/>
        </w:rPr>
        <w:t xml:space="preserve"> </w:t>
      </w:r>
    </w:p>
    <w:p w:rsidR="00B51DF8" w:rsidP="00B51DF8" w14:paraId="5248C22F" w14:textId="77777777">
      <w:r w:rsidRPr="00AE5015">
        <w:t>Bent u bereid om, naar Scandinavisch voorbeeld, te onderzoeken hoe informatie sneller en minder</w:t>
      </w:r>
      <w:r>
        <w:t xml:space="preserve"> </w:t>
      </w:r>
      <w:r w:rsidRPr="00AE5015">
        <w:t>politiek (zijnde met meer vertrouwen in de Woo-specialisten en daarmee een drastisch inkorting van</w:t>
      </w:r>
      <w:r>
        <w:t xml:space="preserve"> </w:t>
      </w:r>
      <w:r w:rsidRPr="00AE5015">
        <w:t>de parafenlijn) kan worden verstrekt, inclusief e-mails en informele documenten? Zo ja, hoe gaat u</w:t>
      </w:r>
      <w:r>
        <w:t xml:space="preserve"> </w:t>
      </w:r>
      <w:r w:rsidRPr="00AE5015">
        <w:t>daar invulling aan geven? Zo niet, waarom niet?</w:t>
      </w:r>
    </w:p>
    <w:p w:rsidR="004D0950" w:rsidP="004D0950" w14:paraId="4C4E7099" w14:textId="77777777"/>
    <w:p w:rsidR="004D0950" w:rsidP="004D0950" w14:paraId="78426A28" w14:textId="77777777">
      <w:pPr>
        <w:rPr>
          <w:b/>
          <w:bCs/>
        </w:rPr>
      </w:pPr>
      <w:r>
        <w:rPr>
          <w:b/>
          <w:bCs/>
        </w:rPr>
        <w:t>Antwoord</w:t>
      </w:r>
    </w:p>
    <w:p w:rsidR="00E044E3" w:rsidP="004D0950" w14:paraId="26EF72CC" w14:textId="77777777">
      <w:pPr>
        <w:rPr>
          <w:b/>
          <w:bCs/>
        </w:rPr>
      </w:pPr>
      <w:r>
        <w:t xml:space="preserve">Ja, hier ben ik mee momenteel mee bezig. </w:t>
      </w:r>
      <w:r w:rsidR="00F86FB2">
        <w:t xml:space="preserve">Vanuit mijn stelselverantwoordelijkheid voor de Woo werk ik </w:t>
      </w:r>
      <w:r w:rsidR="00572D3B">
        <w:t xml:space="preserve">voortdurend aan het </w:t>
      </w:r>
      <w:r w:rsidR="00F86FB2">
        <w:t xml:space="preserve">stimuleren en ondersteunen van bestuursorganen bij het tijdig en efficiënt uitvoeren van de Woo. Zo wordt op dit moment met een </w:t>
      </w:r>
      <w:r w:rsidR="00F86FB2">
        <w:t>overheidsbrede</w:t>
      </w:r>
      <w:r w:rsidR="00F86FB2">
        <w:t xml:space="preserve"> werkgroep gewerkt aan een optimaal Woo-proces, waarmee het proces efficiënt, responsief en uniform wordt ingericht als een proactief dienstverleningsproces. </w:t>
      </w:r>
      <w:r w:rsidR="00572D3B">
        <w:t xml:space="preserve">Hierin </w:t>
      </w:r>
      <w:r w:rsidR="00632DAE">
        <w:t xml:space="preserve">nemen we </w:t>
      </w:r>
      <w:r w:rsidR="00CC1E9B">
        <w:t xml:space="preserve">goede voorbeelden uit zowel de binnenlandse als de buitenlandse praktijk mee, zoals de Scandinavische voorbeelden. </w:t>
      </w:r>
      <w:r w:rsidRPr="008273DB" w:rsidR="009B66D1">
        <w:t xml:space="preserve">Daarbij wil ik </w:t>
      </w:r>
      <w:r w:rsidR="009B66D1">
        <w:t>wel</w:t>
      </w:r>
      <w:r w:rsidRPr="008273DB" w:rsidR="009B66D1">
        <w:t xml:space="preserve"> opmerken dat de reikwijdte van de Woo </w:t>
      </w:r>
      <w:r w:rsidR="009B66D1">
        <w:t>breder</w:t>
      </w:r>
      <w:r w:rsidRPr="008273DB" w:rsidR="009B66D1">
        <w:t xml:space="preserve"> is dan </w:t>
      </w:r>
      <w:r w:rsidR="009B66D1">
        <w:t xml:space="preserve">openbaarheidswetgeving </w:t>
      </w:r>
      <w:r w:rsidRPr="008273DB" w:rsidR="009B66D1">
        <w:t>in veel andere landen</w:t>
      </w:r>
      <w:r w:rsidR="009B66D1">
        <w:t>, waar bijvoorbeeld</w:t>
      </w:r>
      <w:r w:rsidRPr="008273DB" w:rsidR="009B66D1">
        <w:t xml:space="preserve"> interne communicatie niet openbaar </w:t>
      </w:r>
      <w:r w:rsidR="009B66D1">
        <w:t xml:space="preserve">wordt </w:t>
      </w:r>
      <w:r w:rsidRPr="008273DB" w:rsidR="009B66D1">
        <w:t>gemaakt.</w:t>
      </w:r>
      <w:r w:rsidR="009B66D1">
        <w:t xml:space="preserve"> Goede voorbeelden</w:t>
      </w:r>
      <w:r w:rsidR="00CC1E9B">
        <w:t xml:space="preserve"> die onder andere worden meegenomen </w:t>
      </w:r>
      <w:r w:rsidR="007F3F57">
        <w:t>in het optima</w:t>
      </w:r>
      <w:r w:rsidR="00AB494A">
        <w:t>le</w:t>
      </w:r>
      <w:r w:rsidR="007F3F57">
        <w:t xml:space="preserve"> Woo-proces </w:t>
      </w:r>
      <w:r w:rsidR="00CC1E9B">
        <w:t xml:space="preserve">zijn </w:t>
      </w:r>
      <w:r w:rsidR="00B244F1">
        <w:t xml:space="preserve">de inzet </w:t>
      </w:r>
      <w:r w:rsidR="00632DAE">
        <w:t>van informatiespecialisten</w:t>
      </w:r>
      <w:r w:rsidR="00CC1E9B">
        <w:t>, het verkorten van de parafenlijn en het centraal stellen van contact met de verzoeker en diens informatiebehoefte</w:t>
      </w:r>
      <w:r w:rsidR="00632DAE">
        <w:t xml:space="preserve">. Bij mijn eigen ministerie </w:t>
      </w:r>
      <w:r w:rsidR="00632DAE">
        <w:t xml:space="preserve">wordt sinds vorig jaar ook gebruik gemaakt van een verkorte parafenroute, wat </w:t>
      </w:r>
      <w:r w:rsidR="00354E4B">
        <w:t>tot positieve resultaten leidt.</w:t>
      </w:r>
      <w:r w:rsidR="00F86FB2">
        <w:t xml:space="preserve"> </w:t>
      </w:r>
    </w:p>
    <w:p w:rsidR="00E044E3" w:rsidP="004D0950" w14:paraId="4B13D619" w14:textId="77777777">
      <w:pPr>
        <w:rPr>
          <w:b/>
          <w:bCs/>
        </w:rPr>
      </w:pPr>
    </w:p>
    <w:p w:rsidR="004D0950" w:rsidP="004D0950" w14:paraId="53095CB1" w14:textId="77777777">
      <w:pPr>
        <w:rPr>
          <w:b/>
          <w:bCs/>
        </w:rPr>
      </w:pPr>
      <w:r>
        <w:rPr>
          <w:b/>
          <w:bCs/>
        </w:rPr>
        <w:t>Vraag 8</w:t>
      </w:r>
      <w:r w:rsidR="00850C8A">
        <w:rPr>
          <w:b/>
          <w:bCs/>
        </w:rPr>
        <w:t xml:space="preserve"> </w:t>
      </w:r>
    </w:p>
    <w:p w:rsidR="00B51DF8" w:rsidP="00B51DF8" w14:paraId="2935C373" w14:textId="77777777">
      <w:r w:rsidRPr="00AE5015">
        <w:t>Waarom worden in beleidsafwegingen rond de Woo vrijwel uitsluitend de kosten betrokken en niet de</w:t>
      </w:r>
      <w:r>
        <w:t xml:space="preserve"> </w:t>
      </w:r>
      <w:r w:rsidRPr="00AE5015">
        <w:t>maatschappelijke baten van openbaarheid, zoals beter bestuur, minder fouten en groter vertrouwen?</w:t>
      </w:r>
    </w:p>
    <w:p w:rsidR="004D0950" w:rsidP="004D0950" w14:paraId="0E97E1C1" w14:textId="77777777"/>
    <w:p w:rsidR="004D0950" w:rsidP="004D0950" w14:paraId="73BC6DD2" w14:textId="77777777">
      <w:pPr>
        <w:rPr>
          <w:b/>
          <w:bCs/>
        </w:rPr>
      </w:pPr>
      <w:r>
        <w:rPr>
          <w:b/>
          <w:bCs/>
        </w:rPr>
        <w:t>Antwoord</w:t>
      </w:r>
    </w:p>
    <w:p w:rsidR="004D0950" w:rsidP="004D0950" w14:paraId="1ECE00C9" w14:textId="77777777">
      <w:r>
        <w:t>In beleidsafwegingen wordt wel degelijk gekeken naar de maatschappelijke baten van openbaarheid. Zo is er afgelopen jaar een onderzoek uitgevoerd naar de informatiebehoeften van de samenleving als het gaat om overheidsinformatie.</w:t>
      </w:r>
      <w:r>
        <w:rPr>
          <w:rStyle w:val="FootnoteReference"/>
        </w:rPr>
        <w:footnoteReference w:id="10"/>
      </w:r>
      <w:r>
        <w:t xml:space="preserve"> </w:t>
      </w:r>
      <w:r w:rsidRPr="009B382D">
        <w:t xml:space="preserve">Op basis van de uitkomsten van dit onderzoek is meer zicht op de behoeften vanuit de samenleving en kan hier beter </w:t>
      </w:r>
      <w:r w:rsidR="00AA604B">
        <w:t xml:space="preserve">op ingespeeld </w:t>
      </w:r>
      <w:r w:rsidRPr="009B382D">
        <w:t>worden</w:t>
      </w:r>
      <w:r w:rsidR="00AA604B">
        <w:t xml:space="preserve"> met openbaarmaking</w:t>
      </w:r>
      <w:r w:rsidRPr="009B382D">
        <w:t>.</w:t>
      </w:r>
      <w:r>
        <w:t xml:space="preserve"> Deze uitkomsten zijn dan ook meegenomen in het </w:t>
      </w:r>
      <w:r>
        <w:t>overheidsbrede</w:t>
      </w:r>
      <w:r>
        <w:t xml:space="preserve"> afwegingskader voor de inspanningsverplichting (zie het antwoord op vraag 6). </w:t>
      </w:r>
      <w:r w:rsidR="00EC4219">
        <w:t xml:space="preserve">In de wetsevaluatie, die in 2026 wordt uitgevoerd, zullen de maatschappelijke baten </w:t>
      </w:r>
      <w:r w:rsidR="00D37320">
        <w:t xml:space="preserve">van openbaarheid uiteraard </w:t>
      </w:r>
      <w:r w:rsidR="00EC4219">
        <w:t xml:space="preserve">ook worden meegenomen. </w:t>
      </w:r>
      <w:r w:rsidR="001B49F0">
        <w:t>Onlangs hebben de Open State Foundation en Instituut Maatschappelijke Innovatie een rapport uitgebracht over de baten van transparantie,</w:t>
      </w:r>
      <w:r>
        <w:rPr>
          <w:rStyle w:val="FootnoteReference"/>
        </w:rPr>
        <w:footnoteReference w:id="11"/>
      </w:r>
      <w:r w:rsidR="001B49F0">
        <w:t xml:space="preserve"> wat ik met veel interesse zal lezen. </w:t>
      </w:r>
    </w:p>
    <w:p w:rsidRPr="00AE5015" w:rsidR="00B51DF8" w:rsidP="00B51DF8" w14:paraId="6000DD49" w14:textId="77777777"/>
    <w:p w:rsidR="004D0950" w:rsidP="004D0950" w14:paraId="1C361130" w14:textId="77777777">
      <w:pPr>
        <w:rPr>
          <w:b/>
          <w:bCs/>
        </w:rPr>
      </w:pPr>
      <w:r>
        <w:rPr>
          <w:b/>
          <w:bCs/>
        </w:rPr>
        <w:t>Vraag 9</w:t>
      </w:r>
      <w:r w:rsidR="00850C8A">
        <w:rPr>
          <w:b/>
          <w:bCs/>
        </w:rPr>
        <w:t xml:space="preserve"> </w:t>
      </w:r>
    </w:p>
    <w:p w:rsidR="00B51DF8" w:rsidP="00B51DF8" w14:paraId="613E25D8" w14:textId="77777777">
      <w:r w:rsidRPr="00AE5015">
        <w:t>Kunt u aangeven of er binnen andere ministeries onderzoeken zijn gedaan naar het verbeteren en</w:t>
      </w:r>
      <w:r>
        <w:t xml:space="preserve"> </w:t>
      </w:r>
      <w:r w:rsidRPr="00AE5015">
        <w:t>makkelijker maken van de Woo en wat hier de uitkomsten van zijn geweest?</w:t>
      </w:r>
    </w:p>
    <w:p w:rsidR="004D0950" w:rsidP="004D0950" w14:paraId="283EAD48" w14:textId="77777777"/>
    <w:p w:rsidR="004D0950" w:rsidP="004D0950" w14:paraId="078A6685" w14:textId="77777777">
      <w:pPr>
        <w:rPr>
          <w:b/>
          <w:bCs/>
        </w:rPr>
      </w:pPr>
      <w:r>
        <w:rPr>
          <w:b/>
          <w:bCs/>
        </w:rPr>
        <w:t>Antwoord</w:t>
      </w:r>
    </w:p>
    <w:p w:rsidR="004D0950" w:rsidP="004D0950" w14:paraId="638BBB1B" w14:textId="77777777">
      <w:r>
        <w:t xml:space="preserve">Andere ministeries </w:t>
      </w:r>
      <w:r w:rsidR="00E049A6">
        <w:t xml:space="preserve">werken ook continu aan het verbeteren en makkelijker maken van de uitvoering van de Woo. </w:t>
      </w:r>
      <w:r w:rsidR="0048786A">
        <w:t>Van eventuele onderzoeken die zij hiernaar hebben uitgevoerd, heb ik geen overzicht.</w:t>
      </w:r>
      <w:r w:rsidR="00E049A6">
        <w:t xml:space="preserve"> De ministeries zijn wel vertegenwoordigd in de eerdergenoemde werkgroep die werkt aan een optimaal Woo-proces. Via deze weg worden goede voorbeelden en resultaten van bijvoorbeeld pilots </w:t>
      </w:r>
      <w:r w:rsidR="00B33E4D">
        <w:t xml:space="preserve">of onderzoeken </w:t>
      </w:r>
      <w:r w:rsidR="00E049A6">
        <w:t>meegenomen.</w:t>
      </w:r>
      <w:r>
        <w:t xml:space="preserve"> </w:t>
      </w:r>
    </w:p>
    <w:p w:rsidRPr="00AE5015" w:rsidR="00B51DF8" w:rsidP="00B51DF8" w14:paraId="0295DCE5" w14:textId="77777777"/>
    <w:p w:rsidR="004D0950" w:rsidP="004D0950" w14:paraId="4A47E7C0" w14:textId="77777777">
      <w:pPr>
        <w:rPr>
          <w:b/>
          <w:bCs/>
        </w:rPr>
      </w:pPr>
      <w:r>
        <w:rPr>
          <w:b/>
          <w:bCs/>
        </w:rPr>
        <w:t>Vraag 10</w:t>
      </w:r>
      <w:r w:rsidR="00850C8A">
        <w:rPr>
          <w:b/>
          <w:bCs/>
        </w:rPr>
        <w:t xml:space="preserve"> </w:t>
      </w:r>
    </w:p>
    <w:p w:rsidR="00B51DF8" w:rsidP="00B51DF8" w14:paraId="4392912F" w14:textId="77777777">
      <w:r w:rsidRPr="00AE5015">
        <w:t>Kunt u aangeven hoe u aankijkt tegen het voorstel om het Adviescollege Openbaarmaking en</w:t>
      </w:r>
      <w:r w:rsidR="004D0950">
        <w:t xml:space="preserve"> </w:t>
      </w:r>
      <w:r w:rsidRPr="00AE5015">
        <w:t>Informatiehuishouding (ACOI) te versterken tot een onafhankelijke autoriteit met bindende</w:t>
      </w:r>
      <w:r w:rsidR="004D0950">
        <w:t xml:space="preserve"> </w:t>
      </w:r>
      <w:r w:rsidRPr="00AE5015">
        <w:t>bevoegdheden?</w:t>
      </w:r>
    </w:p>
    <w:p w:rsidR="004D0950" w:rsidP="004D0950" w14:paraId="68D8A026" w14:textId="77777777"/>
    <w:p w:rsidR="004D0950" w:rsidP="004D0950" w14:paraId="5984B71B" w14:textId="77777777">
      <w:pPr>
        <w:rPr>
          <w:b/>
          <w:bCs/>
        </w:rPr>
      </w:pPr>
      <w:r>
        <w:rPr>
          <w:b/>
          <w:bCs/>
        </w:rPr>
        <w:t>Antwoord</w:t>
      </w:r>
    </w:p>
    <w:p w:rsidR="004D0950" w:rsidP="004D0950" w14:paraId="537176D3" w14:textId="77777777">
      <w:r>
        <w:t xml:space="preserve">Het ACOI is ingesteld </w:t>
      </w:r>
      <w:r w:rsidR="006B2A7C">
        <w:t xml:space="preserve">onder </w:t>
      </w:r>
      <w:r>
        <w:t xml:space="preserve">de Woo en zal daarom ook </w:t>
      </w:r>
      <w:r w:rsidR="006B2A7C">
        <w:t>onderdeel uitmaken</w:t>
      </w:r>
      <w:r>
        <w:t xml:space="preserve"> </w:t>
      </w:r>
      <w:r w:rsidR="006B2A7C">
        <w:t>van</w:t>
      </w:r>
      <w:r>
        <w:t xml:space="preserve"> de wetsevaluatie. Daarnaast voert het ACOI op grond van</w:t>
      </w:r>
      <w:r>
        <w:t xml:space="preserve"> </w:t>
      </w:r>
      <w:r>
        <w:t>artikel 28 van de Kaderwet adviescolleges ook een zelfevaluatie</w:t>
      </w:r>
      <w:r w:rsidR="001B3E74">
        <w:t xml:space="preserve"> uit</w:t>
      </w:r>
      <w:r>
        <w:t xml:space="preserve">. </w:t>
      </w:r>
      <w:r w:rsidR="000801CF">
        <w:t xml:space="preserve">In deze twee onderzoeken zullen dus de rol en de taken van het ACOI aan de orde komen. </w:t>
      </w:r>
    </w:p>
    <w:p w:rsidR="001B3E74" w:rsidP="004D0950" w14:paraId="42E86BB2" w14:textId="77777777">
      <w:pPr>
        <w:rPr>
          <w:b/>
          <w:bCs/>
        </w:rPr>
      </w:pPr>
    </w:p>
    <w:p w:rsidR="00031C7C" w:rsidP="004D0950" w14:paraId="69786CD8" w14:textId="77777777">
      <w:pPr>
        <w:rPr>
          <w:b/>
          <w:bCs/>
        </w:rPr>
      </w:pPr>
    </w:p>
    <w:p w:rsidR="00031C7C" w:rsidP="004D0950" w14:paraId="4BF48ADC" w14:textId="77777777">
      <w:pPr>
        <w:rPr>
          <w:b/>
          <w:bCs/>
        </w:rPr>
      </w:pPr>
    </w:p>
    <w:p w:rsidR="00031C7C" w:rsidP="004D0950" w14:paraId="7F800571" w14:textId="77777777">
      <w:pPr>
        <w:rPr>
          <w:b/>
          <w:bCs/>
        </w:rPr>
      </w:pPr>
    </w:p>
    <w:p w:rsidR="004D0950" w:rsidP="004D0950" w14:paraId="6D5DB2FD" w14:textId="77777777">
      <w:pPr>
        <w:rPr>
          <w:b/>
          <w:bCs/>
        </w:rPr>
      </w:pPr>
      <w:r>
        <w:rPr>
          <w:b/>
          <w:bCs/>
        </w:rPr>
        <w:t>Vraag 11</w:t>
      </w:r>
      <w:r w:rsidR="00850C8A">
        <w:rPr>
          <w:b/>
          <w:bCs/>
        </w:rPr>
        <w:t xml:space="preserve"> </w:t>
      </w:r>
    </w:p>
    <w:p w:rsidR="00B51DF8" w:rsidP="00B51DF8" w14:paraId="3EA88653" w14:textId="77777777">
      <w:r w:rsidRPr="00AE5015">
        <w:t>Bent u voornemens om lessen te trekken uit de aanpak van onder andere de gemeente Amsterdam die</w:t>
      </w:r>
      <w:r>
        <w:t xml:space="preserve"> </w:t>
      </w:r>
      <w:r w:rsidRPr="00AE5015">
        <w:t>de doorlooptijd terugbracht en de proactieve openbaarmaking van de Dienst Uitvoering Onderwijs</w:t>
      </w:r>
      <w:r>
        <w:t xml:space="preserve"> </w:t>
      </w:r>
      <w:r w:rsidRPr="00AE5015">
        <w:t>(DUO)?</w:t>
      </w:r>
    </w:p>
    <w:p w:rsidR="004D0950" w:rsidP="004D0950" w14:paraId="62360613" w14:textId="77777777"/>
    <w:p w:rsidR="004D0950" w:rsidP="004D0950" w14:paraId="4D9404A2" w14:textId="77777777">
      <w:pPr>
        <w:rPr>
          <w:b/>
          <w:bCs/>
        </w:rPr>
      </w:pPr>
      <w:r>
        <w:rPr>
          <w:b/>
          <w:bCs/>
        </w:rPr>
        <w:t>Antwoord</w:t>
      </w:r>
    </w:p>
    <w:p w:rsidR="006B74FB" w:rsidP="004D0950" w14:paraId="42828CC0" w14:textId="77777777">
      <w:r>
        <w:t xml:space="preserve">Ja deze lessen neem ik mee. </w:t>
      </w:r>
      <w:r w:rsidR="00850C8A">
        <w:t xml:space="preserve">Uiteraard sta ik altijd open voor lessen die andere bestuursorganen trekken uit hun </w:t>
      </w:r>
      <w:r w:rsidR="002B1C62">
        <w:t xml:space="preserve">Woo-praktijk. </w:t>
      </w:r>
      <w:r w:rsidR="00904E35">
        <w:t xml:space="preserve">Zoals ook eerder benoemd, </w:t>
      </w:r>
      <w:r w:rsidR="001C5D45">
        <w:t>betrek ik deze</w:t>
      </w:r>
      <w:r w:rsidR="00904E35">
        <w:t xml:space="preserve"> bij </w:t>
      </w:r>
      <w:r w:rsidR="00F8017D">
        <w:t>de ontwikkeling</w:t>
      </w:r>
      <w:r w:rsidR="002B1C62">
        <w:t xml:space="preserve"> van het optimale Woo-proces </w:t>
      </w:r>
      <w:r w:rsidR="001C5D45">
        <w:t>waarbij uitgebreid wordt</w:t>
      </w:r>
      <w:r w:rsidR="002B1C62">
        <w:t xml:space="preserve"> gekeken naar de successen van andere bestuursorganen en hoe deze breder toegepast kunnen worden </w:t>
      </w:r>
      <w:r w:rsidR="008F3EF9">
        <w:t xml:space="preserve">binnen de overheid. </w:t>
      </w:r>
      <w:r w:rsidRPr="00D5058F" w:rsidR="00D5058F">
        <w:t>Ook voor de beleidsmatige invulling van de inspanningsverplichting tot actieve openbaarmaking worden continu goede voorbeelden opgehaald bij overheidsorganisaties, die vervolgens anderen kunnen inspireren.</w:t>
      </w:r>
    </w:p>
    <w:p w:rsidRPr="00AE5015" w:rsidR="00B51DF8" w:rsidP="00B51DF8" w14:paraId="255E69AF" w14:textId="77777777"/>
    <w:p w:rsidR="004D0950" w:rsidP="004D0950" w14:paraId="32092070" w14:textId="77777777">
      <w:pPr>
        <w:rPr>
          <w:b/>
          <w:bCs/>
        </w:rPr>
      </w:pPr>
      <w:r>
        <w:rPr>
          <w:b/>
          <w:bCs/>
        </w:rPr>
        <w:t>Vraag 12</w:t>
      </w:r>
    </w:p>
    <w:p w:rsidRPr="00AE5015" w:rsidR="00B51DF8" w:rsidP="00B51DF8" w14:paraId="232E3591" w14:textId="77777777">
      <w:r w:rsidRPr="00AE5015">
        <w:t>Kunt u deze vragen één voor één beantwoorden?</w:t>
      </w:r>
    </w:p>
    <w:p w:rsidR="004D0950" w:rsidP="004D0950" w14:paraId="3EC9BD17" w14:textId="77777777"/>
    <w:p w:rsidR="004D0950" w:rsidP="004D0950" w14:paraId="5C67E4C9" w14:textId="77777777">
      <w:pPr>
        <w:rPr>
          <w:b/>
          <w:bCs/>
        </w:rPr>
      </w:pPr>
      <w:r>
        <w:rPr>
          <w:b/>
          <w:bCs/>
        </w:rPr>
        <w:t>Antwoord</w:t>
      </w:r>
    </w:p>
    <w:p w:rsidR="00837860" w14:paraId="18C0CD29" w14:textId="77777777">
      <w:r>
        <w:t>Ja.</w:t>
      </w: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565C4" w14:paraId="67B86D4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37860" w14:paraId="73BD2AEE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565C4" w14:paraId="2DCAD3E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A53AC8" w14:paraId="3DC2B880" w14:textId="77777777">
      <w:pPr>
        <w:spacing w:line="240" w:lineRule="auto"/>
      </w:pPr>
      <w:r>
        <w:separator/>
      </w:r>
    </w:p>
  </w:footnote>
  <w:footnote w:type="continuationSeparator" w:id="1">
    <w:p w:rsidR="00A53AC8" w14:paraId="402B49D2" w14:textId="77777777">
      <w:pPr>
        <w:spacing w:line="240" w:lineRule="auto"/>
      </w:pPr>
      <w:r>
        <w:continuationSeparator/>
      </w:r>
    </w:p>
  </w:footnote>
  <w:footnote w:type="continuationNotice" w:id="2">
    <w:p w:rsidR="00A53AC8" w14:paraId="5947C08B" w14:textId="77777777">
      <w:pPr>
        <w:spacing w:line="240" w:lineRule="auto"/>
      </w:pPr>
    </w:p>
  </w:footnote>
  <w:footnote w:id="3">
    <w:p w:rsidR="00E87785" w:rsidRPr="00DB7348" w14:paraId="37666DEF" w14:textId="77777777">
      <w:pPr>
        <w:pStyle w:val="FootnoteText"/>
        <w:rPr>
          <w:sz w:val="16"/>
          <w:szCs w:val="16"/>
        </w:rPr>
      </w:pPr>
      <w:r w:rsidRPr="00DB7348">
        <w:rPr>
          <w:rStyle w:val="FootnoteReference"/>
          <w:sz w:val="16"/>
          <w:szCs w:val="16"/>
        </w:rPr>
        <w:footnoteRef/>
      </w:r>
      <w:r w:rsidRPr="00DB7348">
        <w:rPr>
          <w:sz w:val="16"/>
          <w:szCs w:val="16"/>
        </w:rPr>
        <w:t xml:space="preserve"> </w:t>
      </w:r>
      <w:r w:rsidRPr="00DB7348">
        <w:rPr>
          <w:i/>
          <w:iCs/>
          <w:sz w:val="16"/>
          <w:szCs w:val="16"/>
        </w:rPr>
        <w:t>Kamerstukken I</w:t>
      </w:r>
      <w:r w:rsidRPr="00DB7348">
        <w:rPr>
          <w:sz w:val="16"/>
          <w:szCs w:val="16"/>
        </w:rPr>
        <w:t xml:space="preserve"> 2022-2023, 33328, nr. AE.</w:t>
      </w:r>
    </w:p>
  </w:footnote>
  <w:footnote w:id="4">
    <w:p w:rsidR="001B0FCA" w:rsidRPr="00F56B46" w:rsidP="001B0FCA" w14:paraId="6F9446BC" w14:textId="77777777">
      <w:pPr>
        <w:pStyle w:val="FootnoteText"/>
        <w:rPr>
          <w:rStyle w:val="Hyperlink"/>
          <w:sz w:val="16"/>
          <w:szCs w:val="16"/>
        </w:rPr>
      </w:pPr>
      <w:r w:rsidRPr="00F56B46">
        <w:rPr>
          <w:rStyle w:val="FootnoteReference"/>
          <w:sz w:val="16"/>
          <w:szCs w:val="16"/>
        </w:rPr>
        <w:footnoteRef/>
      </w:r>
      <w:r w:rsidRPr="00F56B46">
        <w:rPr>
          <w:sz w:val="16"/>
          <w:szCs w:val="16"/>
        </w:rPr>
        <w:t xml:space="preserve"> </w:t>
      </w:r>
      <w:r w:rsidRPr="00A55483">
        <w:rPr>
          <w:sz w:val="16"/>
          <w:szCs w:val="16"/>
        </w:rPr>
        <w:t xml:space="preserve">Zie </w:t>
      </w:r>
      <w:hyperlink r:id="rId1" w:history="1">
        <w:r>
          <w:rPr>
            <w:rStyle w:val="Hyperlink"/>
            <w:sz w:val="16"/>
            <w:szCs w:val="16"/>
          </w:rPr>
          <w:t>Rapport en stappenplan: Aan de slag met de inspanningsverplichting uit de Wet open overheid</w:t>
        </w:r>
      </w:hyperlink>
    </w:p>
  </w:footnote>
  <w:footnote w:id="5">
    <w:p w:rsidR="001B0FCA" w:rsidP="001B0FCA" w14:paraId="266A9422" w14:textId="77777777">
      <w:pPr>
        <w:pStyle w:val="FootnoteText"/>
      </w:pPr>
      <w:r w:rsidRPr="00F56B46">
        <w:rPr>
          <w:sz w:val="16"/>
          <w:szCs w:val="16"/>
          <w:vertAlign w:val="superscript"/>
        </w:rPr>
        <w:footnoteRef/>
      </w:r>
      <w:r w:rsidRPr="00F56B46">
        <w:rPr>
          <w:sz w:val="16"/>
          <w:szCs w:val="16"/>
          <w:vertAlign w:val="superscript"/>
        </w:rPr>
        <w:t xml:space="preserve"> </w:t>
      </w:r>
      <w:r w:rsidRPr="00F92274">
        <w:rPr>
          <w:sz w:val="16"/>
          <w:szCs w:val="16"/>
        </w:rPr>
        <w:t xml:space="preserve">De werkdefinities en bijbehorende hulpmiddelen zijn beschikbaar via </w:t>
      </w:r>
      <w:hyperlink r:id="rId2" w:history="1">
        <w:r w:rsidRPr="00F92274">
          <w:rPr>
            <w:sz w:val="16"/>
            <w:szCs w:val="16"/>
          </w:rPr>
          <w:t>https://www.open-overheid.nl/onderwerpen/openbaar-maken/woo-informatiecategorieen-en-definities</w:t>
        </w:r>
      </w:hyperlink>
      <w:r w:rsidRPr="00F92274">
        <w:rPr>
          <w:sz w:val="16"/>
          <w:szCs w:val="16"/>
        </w:rPr>
        <w:t>.</w:t>
      </w:r>
      <w:r>
        <w:t xml:space="preserve"> </w:t>
      </w:r>
    </w:p>
  </w:footnote>
  <w:footnote w:id="6">
    <w:p w:rsidR="00F56B46" w:rsidRPr="00081572" w:rsidP="00F56B46" w14:paraId="61C19D50" w14:textId="77777777">
      <w:pPr>
        <w:pStyle w:val="FootnoteText"/>
        <w:rPr>
          <w:sz w:val="16"/>
          <w:szCs w:val="16"/>
        </w:rPr>
      </w:pPr>
      <w:r w:rsidRPr="00081572">
        <w:rPr>
          <w:rStyle w:val="FootnoteReference"/>
          <w:sz w:val="16"/>
          <w:szCs w:val="16"/>
        </w:rPr>
        <w:footnoteRef/>
      </w:r>
      <w:r w:rsidRPr="00081572">
        <w:rPr>
          <w:sz w:val="16"/>
          <w:szCs w:val="16"/>
        </w:rPr>
        <w:t xml:space="preserve"> </w:t>
      </w:r>
      <w:r w:rsidRPr="00081572">
        <w:rPr>
          <w:sz w:val="16"/>
          <w:szCs w:val="16"/>
        </w:rPr>
        <w:t>Het aantal documenten dat jaarlijks wordt gepubliceerd op open.overheid.nl is de afgelopen jaren toegenomen van 46.162 documenten in 2021 tot 104.897 documenten in 2025.</w:t>
      </w:r>
    </w:p>
  </w:footnote>
  <w:footnote w:id="7">
    <w:p w:rsidR="00F4476F" w:rsidRPr="00F56B46" w:rsidP="00F4476F" w14:paraId="5BBCF268" w14:textId="77777777">
      <w:pPr>
        <w:pStyle w:val="FootnoteText"/>
        <w:rPr>
          <w:sz w:val="16"/>
          <w:szCs w:val="16"/>
        </w:rPr>
      </w:pPr>
      <w:r w:rsidRPr="00F56B46">
        <w:rPr>
          <w:rStyle w:val="Hyperlink"/>
          <w:sz w:val="16"/>
          <w:szCs w:val="16"/>
          <w:vertAlign w:val="superscript"/>
        </w:rPr>
        <w:footnoteRef/>
      </w:r>
      <w:r w:rsidRPr="00F56B46">
        <w:rPr>
          <w:rStyle w:val="Hyperlink"/>
          <w:sz w:val="16"/>
          <w:szCs w:val="16"/>
        </w:rPr>
        <w:t xml:space="preserve"> Dit dataplatform is onderdeel van het Waterschap Rijn en IJssel. Zie hier: https://www.wrij.nl/actueel/cijfers-meetgegevens.</w:t>
      </w:r>
    </w:p>
  </w:footnote>
  <w:footnote w:id="8">
    <w:p w:rsidR="00F4476F" w:rsidRPr="00F56B46" w:rsidP="00F4476F" w14:paraId="7AAC72A5" w14:textId="77777777">
      <w:pPr>
        <w:pStyle w:val="FootnoteText"/>
        <w:rPr>
          <w:sz w:val="16"/>
          <w:szCs w:val="16"/>
        </w:rPr>
      </w:pPr>
      <w:r w:rsidRPr="00F56B46">
        <w:rPr>
          <w:rStyle w:val="Hyperlink"/>
          <w:sz w:val="16"/>
          <w:szCs w:val="16"/>
          <w:vertAlign w:val="superscript"/>
        </w:rPr>
        <w:footnoteRef/>
      </w:r>
      <w:r w:rsidRPr="00F56B46">
        <w:rPr>
          <w:rStyle w:val="Hyperlink"/>
          <w:sz w:val="16"/>
          <w:szCs w:val="16"/>
          <w:vertAlign w:val="superscript"/>
        </w:rPr>
        <w:t xml:space="preserve"> </w:t>
      </w:r>
      <w:r w:rsidRPr="00F56B46">
        <w:rPr>
          <w:rStyle w:val="Hyperlink"/>
          <w:sz w:val="16"/>
          <w:szCs w:val="16"/>
        </w:rPr>
        <w:t xml:space="preserve">De tijdlijn is via </w:t>
      </w:r>
      <w:hyperlink r:id="rId3" w:history="1">
        <w:r w:rsidRPr="00F56B46">
          <w:rPr>
            <w:rStyle w:val="Hyperlink"/>
            <w:sz w:val="16"/>
            <w:szCs w:val="16"/>
          </w:rPr>
          <w:t>https://www.dashboardgroningen.nl/wet-groningen</w:t>
        </w:r>
      </w:hyperlink>
      <w:r w:rsidRPr="00F56B46">
        <w:rPr>
          <w:sz w:val="16"/>
          <w:szCs w:val="16"/>
        </w:rPr>
        <w:t xml:space="preserve"> </w:t>
      </w:r>
      <w:r w:rsidRPr="00F56B46">
        <w:rPr>
          <w:rStyle w:val="Hyperlink"/>
          <w:sz w:val="16"/>
          <w:szCs w:val="16"/>
        </w:rPr>
        <w:t>raadpleegbaar</w:t>
      </w:r>
      <w:r w:rsidRPr="00F56B46">
        <w:rPr>
          <w:sz w:val="16"/>
          <w:szCs w:val="16"/>
        </w:rPr>
        <w:t>.</w:t>
      </w:r>
    </w:p>
  </w:footnote>
  <w:footnote w:id="9">
    <w:p w:rsidR="00F4476F" w:rsidP="00F4476F" w14:paraId="44B70F3D" w14:textId="77777777">
      <w:pPr>
        <w:pStyle w:val="FootnoteText"/>
      </w:pPr>
      <w:r w:rsidRPr="00F56B46">
        <w:rPr>
          <w:rStyle w:val="Hyperlink"/>
          <w:sz w:val="16"/>
          <w:szCs w:val="16"/>
          <w:vertAlign w:val="superscript"/>
        </w:rPr>
        <w:footnoteRef/>
      </w:r>
      <w:r w:rsidRPr="00F56B46">
        <w:rPr>
          <w:rStyle w:val="Hyperlink"/>
          <w:sz w:val="16"/>
          <w:szCs w:val="16"/>
          <w:vertAlign w:val="superscript"/>
        </w:rPr>
        <w:t xml:space="preserve"> </w:t>
      </w:r>
      <w:r w:rsidRPr="00FD7B17">
        <w:rPr>
          <w:rStyle w:val="Hyperlink"/>
          <w:sz w:val="16"/>
          <w:szCs w:val="16"/>
        </w:rPr>
        <w:t xml:space="preserve">Tijdlijn over de totstandkoming van de NDS is beschikbaar via: </w:t>
      </w:r>
      <w:hyperlink r:id="rId4" w:history="1">
        <w:r w:rsidRPr="00FD7B17">
          <w:rPr>
            <w:rStyle w:val="Hyperlink"/>
            <w:sz w:val="16"/>
            <w:szCs w:val="16"/>
          </w:rPr>
          <w:t>https://www.digitaleoverheid.nl/nederlandse-digitaliseringsstrategie-nds/tijdlijn-nds/</w:t>
        </w:r>
      </w:hyperlink>
      <w:r>
        <w:rPr>
          <w:rStyle w:val="Hyperlink"/>
          <w:sz w:val="16"/>
          <w:szCs w:val="16"/>
        </w:rPr>
        <w:t xml:space="preserve">. </w:t>
      </w:r>
    </w:p>
  </w:footnote>
  <w:footnote w:id="10">
    <w:p w:rsidR="009B382D" w14:paraId="3DD07532" w14:textId="77777777">
      <w:pPr>
        <w:pStyle w:val="FootnoteText"/>
      </w:pPr>
      <w:r w:rsidRPr="00DB7348">
        <w:rPr>
          <w:rStyle w:val="FootnoteReference"/>
          <w:sz w:val="16"/>
          <w:szCs w:val="16"/>
        </w:rPr>
        <w:footnoteRef/>
      </w:r>
      <w:r w:rsidRPr="00DB7348">
        <w:rPr>
          <w:sz w:val="16"/>
          <w:szCs w:val="16"/>
        </w:rPr>
        <w:t xml:space="preserve"> </w:t>
      </w:r>
      <w:hyperlink r:id="rId5" w:history="1">
        <w:r w:rsidRPr="00DB7348" w:rsidR="0065064F">
          <w:rPr>
            <w:rStyle w:val="Hyperlink"/>
            <w:sz w:val="16"/>
            <w:szCs w:val="16"/>
          </w:rPr>
          <w:t>IMI-onderzoek: Actieve openbaarmaking essentieel voor betere informatievoorziening | Open Overheid</w:t>
        </w:r>
      </w:hyperlink>
    </w:p>
  </w:footnote>
  <w:footnote w:id="11">
    <w:p w:rsidR="00685800" w14:paraId="012CD76F" w14:textId="77777777">
      <w:pPr>
        <w:pStyle w:val="FootnoteText"/>
      </w:pPr>
      <w:r w:rsidRPr="00F166FF">
        <w:rPr>
          <w:rStyle w:val="FootnoteReference"/>
          <w:sz w:val="16"/>
          <w:szCs w:val="16"/>
        </w:rPr>
        <w:footnoteRef/>
      </w:r>
      <w:r w:rsidRPr="00F166FF">
        <w:rPr>
          <w:sz w:val="16"/>
          <w:szCs w:val="16"/>
        </w:rPr>
        <w:t xml:space="preserve"> </w:t>
      </w:r>
      <w:r w:rsidRPr="00F166FF">
        <w:rPr>
          <w:i/>
          <w:iCs/>
          <w:sz w:val="16"/>
          <w:szCs w:val="16"/>
        </w:rPr>
        <w:t>De baten van transparantie</w:t>
      </w:r>
      <w:r w:rsidRPr="00F166FF">
        <w:rPr>
          <w:sz w:val="16"/>
          <w:szCs w:val="16"/>
        </w:rPr>
        <w:t xml:space="preserve">, Open State Foundation en Instituut Maatschappelijke Innovatie, januari 2026.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565C4" w14:paraId="6D5C3D4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37860" w14:paraId="72CB7234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7860" w14:textId="77777777">
                          <w:pPr>
                            <w:pStyle w:val="Referentiegegevensbold"/>
                          </w:pPr>
                          <w:r>
                            <w:t>DG Digitalisering &amp; Overheidsorganisatie</w:t>
                          </w:r>
                        </w:p>
                        <w:p w:rsidR="00837860" w14:textId="77777777">
                          <w:pPr>
                            <w:pStyle w:val="Referentiegegevens"/>
                          </w:pPr>
                          <w:r>
                            <w:t>Publieke Dienstverlening en Digitalisering</w:t>
                          </w:r>
                        </w:p>
                        <w:p w:rsidR="00837860" w14:textId="77777777">
                          <w:pPr>
                            <w:pStyle w:val="Referentiegegevens"/>
                          </w:pPr>
                          <w:r>
                            <w:t>Open Overheid</w:t>
                          </w:r>
                        </w:p>
                        <w:p w:rsidR="00837860" w14:textId="77777777">
                          <w:pPr>
                            <w:pStyle w:val="WitregelW2"/>
                          </w:pPr>
                        </w:p>
                        <w:p w:rsidR="00837860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837860" w14:textId="2AA73A4B">
                          <w:pPr>
                            <w:pStyle w:val="Referentiegegevens"/>
                          </w:pPr>
                          <w:sdt>
                            <w:sdtPr>
                              <w:id w:val="-1918784669"/>
                              <w:date w:fullDate="2026-02-17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4F4F40">
                                <w:rPr>
                                  <w:lang w:val="nl"/>
                                </w:rPr>
                                <w:t>17 februari 2026</w:t>
                              </w:r>
                            </w:sdtContent>
                          </w:sdt>
                        </w:p>
                        <w:p w:rsidR="00837860" w14:textId="77777777">
                          <w:pPr>
                            <w:pStyle w:val="WitregelW1"/>
                          </w:pPr>
                        </w:p>
                        <w:p w:rsidR="00837860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9D5E2F" w14:textId="23652A3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7606FD">
                            <w:t>2026-0000038832</w:t>
                          </w:r>
                          <w:r w:rsidR="007606FD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837860" w14:paraId="3F38FBF5" w14:textId="77777777">
                    <w:pPr>
                      <w:pStyle w:val="Referentiegegevensbold"/>
                    </w:pPr>
                    <w:r>
                      <w:t>DG Digitalisering &amp; Overheidsorganisatie</w:t>
                    </w:r>
                  </w:p>
                  <w:p w:rsidR="00837860" w14:paraId="0826B7DE" w14:textId="77777777">
                    <w:pPr>
                      <w:pStyle w:val="Referentiegegevens"/>
                    </w:pPr>
                    <w:r>
                      <w:t>Publieke Dienstverlening en Digitalisering</w:t>
                    </w:r>
                  </w:p>
                  <w:p w:rsidR="00837860" w14:paraId="506870F3" w14:textId="77777777">
                    <w:pPr>
                      <w:pStyle w:val="Referentiegegevens"/>
                    </w:pPr>
                    <w:r>
                      <w:t>Open Overheid</w:t>
                    </w:r>
                  </w:p>
                  <w:p w:rsidR="00837860" w14:paraId="51C2080C" w14:textId="77777777">
                    <w:pPr>
                      <w:pStyle w:val="WitregelW2"/>
                    </w:pPr>
                  </w:p>
                  <w:p w:rsidR="00837860" w14:paraId="1BBB922C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837860" w14:paraId="05E36559" w14:textId="2AA73A4B">
                    <w:pPr>
                      <w:pStyle w:val="Referentiegegevens"/>
                    </w:pPr>
                    <w:sdt>
                      <w:sdtPr>
                        <w:id w:val="1867851650"/>
                        <w:date w:fullDate="2026-02-17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 w:rsidR="004F4F40">
                          <w:rPr>
                            <w:lang w:val="nl"/>
                          </w:rPr>
                          <w:t>17 februari 2026</w:t>
                        </w:r>
                      </w:sdtContent>
                    </w:sdt>
                  </w:p>
                  <w:p w:rsidR="00837860" w14:paraId="7FB3C61E" w14:textId="77777777">
                    <w:pPr>
                      <w:pStyle w:val="WitregelW1"/>
                    </w:pPr>
                  </w:p>
                  <w:p w:rsidR="00837860" w14:paraId="2EC47558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9D5E2F" w14:paraId="41D681F7" w14:textId="23652A3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7606FD">
                      <w:t>2026-0000038832</w:t>
                    </w:r>
                    <w:r w:rsidR="007606FD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F4D1A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3F4D1A" w14:paraId="32BE8D4E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13D1E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913D1E" w14:paraId="4D91A527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37860" w14:paraId="0F0030E4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7860" w14:textId="77777777">
                          <w:r>
                            <w:t>Aan de voorzitter van de Tweede Kamer der Staten-Generaal</w:t>
                          </w:r>
                        </w:p>
                        <w:p w:rsidR="00837860" w14:textId="77777777">
                          <w:r>
                            <w:t>Postbus 20018</w:t>
                          </w:r>
                        </w:p>
                        <w:p w:rsidR="00837860" w14:textId="7777777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837860" w14:paraId="4089343C" w14:textId="77777777">
                    <w:r>
                      <w:t>Aan de voorzitter van de Tweede Kamer der Staten-Generaal</w:t>
                    </w:r>
                  </w:p>
                  <w:p w:rsidR="00837860" w14:paraId="6AA5BC75" w14:textId="77777777">
                    <w:r>
                      <w:t>Postbus 20018</w:t>
                    </w:r>
                  </w:p>
                  <w:p w:rsidR="00837860" w14:paraId="733BCC76" w14:textId="77777777">
                    <w:r>
                      <w:t>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3349625</wp:posOffset>
              </wp:positionV>
              <wp:extent cx="4787900" cy="65024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6502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56C53EE1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837860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837860" w14:textId="119853E5">
                                <w:sdt>
                                  <w:sdtPr>
                                    <w:id w:val="-2041664542"/>
                                    <w:date w:fullDate="2026-02-17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r w:rsidR="004F4F40">
                                      <w:rPr>
                                        <w:lang w:val="nl"/>
                                      </w:rPr>
                                      <w:t>17 februari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14:paraId="5B402DB7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837860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837860" w14:textId="77777777">
                                <w:r>
                                  <w:t>Beantwoording vragen over het bericht 'Transparantie is alweer passé, met dank aan het ultrakorte politieke geheugen in Den Haag'</w:t>
                                </w:r>
                              </w:p>
                            </w:tc>
                          </w:tr>
                        </w:tbl>
                        <w:p w:rsidR="003F4D1A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46feebd0-aa3c-11ea-a756-beb5f67e67be" o:spid="_x0000_s2053" type="#_x0000_t202" style="width:377pt;height:51.2pt;margin-top:263.75pt;margin-left:0;mso-height-percent:0;mso-height-relative:margin;mso-position-horizontal:left;mso-position-horizontal-relative:margin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56C53EE0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837860" w14:paraId="55A1B003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837860" w14:paraId="36EA54D5" w14:textId="119853E5">
                          <w:sdt>
                            <w:sdtPr>
                              <w:id w:val="1265757813"/>
                              <w:date w:fullDate="2026-02-17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4F4F40">
                                <w:rPr>
                                  <w:lang w:val="nl"/>
                                </w:rPr>
                                <w:t>17 februari 2026</w:t>
                              </w:r>
                            </w:sdtContent>
                          </w:sdt>
                        </w:p>
                      </w:tc>
                    </w:tr>
                    <w:tr w14:paraId="5B402DB6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837860" w14:paraId="680A0CDC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837860" w14:paraId="649C4CEE" w14:textId="77777777">
                          <w:r>
                            <w:t>Beantwoording vragen over het bericht 'Transparantie is alweer passé, met dank aan het ultrakorte politieke geheugen in Den Haag'</w:t>
                          </w:r>
                        </w:p>
                      </w:tc>
                    </w:tr>
                  </w:tbl>
                  <w:p w:rsidR="003F4D1A" w14:paraId="4826847F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7860" w14:textId="77777777">
                          <w:pPr>
                            <w:pStyle w:val="Referentiegegevensbold"/>
                          </w:pPr>
                          <w:r>
                            <w:t>DG Digitalisering &amp; Overheidsorganisatie</w:t>
                          </w:r>
                        </w:p>
                        <w:p w:rsidR="00837860" w14:textId="77777777">
                          <w:pPr>
                            <w:pStyle w:val="Referentiegegevens"/>
                          </w:pPr>
                          <w:r>
                            <w:t>Publieke Dienstverlening en Digitalisering</w:t>
                          </w:r>
                        </w:p>
                        <w:p w:rsidR="00837860" w14:textId="77777777">
                          <w:pPr>
                            <w:pStyle w:val="Referentiegegevens"/>
                          </w:pPr>
                          <w:r>
                            <w:t>Open Overheid</w:t>
                          </w:r>
                        </w:p>
                        <w:p w:rsidR="00837860" w14:textId="77777777">
                          <w:pPr>
                            <w:pStyle w:val="WitregelW1"/>
                          </w:pPr>
                        </w:p>
                        <w:p w:rsidR="00837860" w14:textId="77777777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:rsidR="00837860" w14:textId="77777777">
                          <w:pPr>
                            <w:pStyle w:val="Referentiegegevens"/>
                          </w:pPr>
                          <w:r>
                            <w:t>2511 DP Den Haag</w:t>
                          </w:r>
                        </w:p>
                        <w:p w:rsidR="00837860" w14:textId="77777777">
                          <w:pPr>
                            <w:pStyle w:val="Referentiegegevens"/>
                          </w:pPr>
                          <w:r>
                            <w:t>Postbus 20011</w:t>
                          </w:r>
                        </w:p>
                        <w:p w:rsidR="00837860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837860" w14:textId="77777777">
                          <w:pPr>
                            <w:pStyle w:val="WitregelW2"/>
                          </w:pPr>
                        </w:p>
                        <w:p w:rsidR="00837860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9D5E2F" w14:textId="5530A5E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7606FD">
                            <w:t>2026-0000038832</w:t>
                          </w:r>
                          <w:r w:rsidR="007606FD">
                            <w:fldChar w:fldCharType="end"/>
                          </w:r>
                        </w:p>
                        <w:p w:rsidR="00837860" w14:textId="77777777">
                          <w:pPr>
                            <w:pStyle w:val="WitregelW1"/>
                          </w:pPr>
                        </w:p>
                        <w:p w:rsidR="00837860" w14:textId="77777777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:rsidR="00837860" w14:textId="77777777">
                          <w:pPr>
                            <w:pStyle w:val="Referentiegegevens"/>
                          </w:pPr>
                          <w:r>
                            <w:t>2025Z22661</w:t>
                          </w:r>
                        </w:p>
                        <w:p w:rsidR="00837860" w14:textId="77777777">
                          <w:pPr>
                            <w:pStyle w:val="WitregelW1"/>
                          </w:pPr>
                        </w:p>
                        <w:p w:rsidR="00837860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837860" w14:textId="77777777">
                          <w:pPr>
                            <w:pStyle w:val="Referentiegegevens"/>
                          </w:pPr>
                          <w:r>
                            <w:t>0</w:t>
                          </w:r>
                        </w:p>
                        <w:p w:rsidR="00837860" w14:textId="77777777">
                          <w:pPr>
                            <w:pStyle w:val="WitregelW2"/>
                          </w:pPr>
                        </w:p>
                        <w:p w:rsidR="00837860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837860" w14:paraId="417D1966" w14:textId="77777777">
                    <w:pPr>
                      <w:pStyle w:val="Referentiegegevensbold"/>
                    </w:pPr>
                    <w:r>
                      <w:t>DG Digitalisering &amp; Overheidsorganisatie</w:t>
                    </w:r>
                  </w:p>
                  <w:p w:rsidR="00837860" w14:paraId="77443F9C" w14:textId="77777777">
                    <w:pPr>
                      <w:pStyle w:val="Referentiegegevens"/>
                    </w:pPr>
                    <w:r>
                      <w:t>Publieke Dienstverlening en Digitalisering</w:t>
                    </w:r>
                  </w:p>
                  <w:p w:rsidR="00837860" w14:paraId="1049308C" w14:textId="77777777">
                    <w:pPr>
                      <w:pStyle w:val="Referentiegegevens"/>
                    </w:pPr>
                    <w:r>
                      <w:t>Open Overheid</w:t>
                    </w:r>
                  </w:p>
                  <w:p w:rsidR="00837860" w14:paraId="62D81B7C" w14:textId="77777777">
                    <w:pPr>
                      <w:pStyle w:val="WitregelW1"/>
                    </w:pPr>
                  </w:p>
                  <w:p w:rsidR="00837860" w14:paraId="17A35FD5" w14:textId="77777777">
                    <w:pPr>
                      <w:pStyle w:val="Referentiegegevens"/>
                    </w:pPr>
                    <w:r>
                      <w:t>Turfmarkt 147</w:t>
                    </w:r>
                  </w:p>
                  <w:p w:rsidR="00837860" w14:paraId="71A0248D" w14:textId="77777777">
                    <w:pPr>
                      <w:pStyle w:val="Referentiegegevens"/>
                    </w:pPr>
                    <w:r>
                      <w:t>2511 DP Den Haag</w:t>
                    </w:r>
                  </w:p>
                  <w:p w:rsidR="00837860" w14:paraId="27A71B94" w14:textId="77777777">
                    <w:pPr>
                      <w:pStyle w:val="Referentiegegevens"/>
                    </w:pPr>
                    <w:r>
                      <w:t>Postbus 20011</w:t>
                    </w:r>
                  </w:p>
                  <w:p w:rsidR="00837860" w14:paraId="50D9B509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837860" w14:paraId="4B0303EB" w14:textId="77777777">
                    <w:pPr>
                      <w:pStyle w:val="WitregelW2"/>
                    </w:pPr>
                  </w:p>
                  <w:p w:rsidR="00837860" w14:paraId="4DBA2C8E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9D5E2F" w14:paraId="7A4C29C9" w14:textId="5530A5E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7606FD">
                      <w:t>2026-0000038832</w:t>
                    </w:r>
                    <w:r w:rsidR="007606FD">
                      <w:fldChar w:fldCharType="end"/>
                    </w:r>
                  </w:p>
                  <w:p w:rsidR="00837860" w14:paraId="56EBFAEE" w14:textId="77777777">
                    <w:pPr>
                      <w:pStyle w:val="WitregelW1"/>
                    </w:pPr>
                  </w:p>
                  <w:p w:rsidR="00837860" w14:paraId="3606607E" w14:textId="77777777">
                    <w:pPr>
                      <w:pStyle w:val="Referentiegegevensbold"/>
                    </w:pPr>
                    <w:r>
                      <w:t>Uw referentie</w:t>
                    </w:r>
                  </w:p>
                  <w:p w:rsidR="00837860" w14:paraId="2DB0880F" w14:textId="77777777">
                    <w:pPr>
                      <w:pStyle w:val="Referentiegegevens"/>
                    </w:pPr>
                    <w:r>
                      <w:t>2025Z22661</w:t>
                    </w:r>
                  </w:p>
                  <w:p w:rsidR="00837860" w14:paraId="68606975" w14:textId="77777777">
                    <w:pPr>
                      <w:pStyle w:val="WitregelW1"/>
                    </w:pPr>
                  </w:p>
                  <w:p w:rsidR="00837860" w14:paraId="55BAAEAE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837860" w14:paraId="75CC28BE" w14:textId="77777777">
                    <w:pPr>
                      <w:pStyle w:val="Referentiegegevens"/>
                    </w:pPr>
                    <w:r>
                      <w:t>0</w:t>
                    </w:r>
                  </w:p>
                  <w:p w:rsidR="00837860" w14:paraId="3443F191" w14:textId="77777777">
                    <w:pPr>
                      <w:pStyle w:val="WitregelW2"/>
                    </w:pPr>
                  </w:p>
                  <w:p w:rsidR="00837860" w14:paraId="2D971AEC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F4D1A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3F4D1A" w14:paraId="6283EB22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13D1E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913D1E" w14:paraId="3268BEFE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7860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548919168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48919168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837860" w14:paraId="3545606A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7860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599973457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99973457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837860" w14:paraId="64A54A2C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7860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837860" w14:paraId="1C28A0C0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C63FEA47"/>
    <w:multiLevelType w:val="multilevel"/>
    <w:tmpl w:val="054F9473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CCF21B83"/>
    <w:multiLevelType w:val="multilevel"/>
    <w:tmpl w:val="91ED6BF1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>
    <w:nsid w:val="26D7A501"/>
    <w:multiLevelType w:val="multilevel"/>
    <w:tmpl w:val="47E76BD6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3">
    <w:nsid w:val="699B61C9"/>
    <w:multiLevelType w:val="multilevel"/>
    <w:tmpl w:val="43CBCA71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149518732">
    <w:abstractNumId w:val="2"/>
  </w:num>
  <w:num w:numId="2" w16cid:durableId="868957031">
    <w:abstractNumId w:val="3"/>
  </w:num>
  <w:num w:numId="3" w16cid:durableId="1897858125">
    <w:abstractNumId w:val="1"/>
  </w:num>
  <w:num w:numId="4" w16cid:durableId="1902055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860"/>
    <w:rsid w:val="00002AF9"/>
    <w:rsid w:val="00014D53"/>
    <w:rsid w:val="00020D30"/>
    <w:rsid w:val="00020DF5"/>
    <w:rsid w:val="00021330"/>
    <w:rsid w:val="0002375B"/>
    <w:rsid w:val="00027887"/>
    <w:rsid w:val="00030172"/>
    <w:rsid w:val="00031C7C"/>
    <w:rsid w:val="00043D89"/>
    <w:rsid w:val="0005354A"/>
    <w:rsid w:val="000712B2"/>
    <w:rsid w:val="0007314E"/>
    <w:rsid w:val="000801CF"/>
    <w:rsid w:val="00081572"/>
    <w:rsid w:val="00084056"/>
    <w:rsid w:val="0008493A"/>
    <w:rsid w:val="000A2551"/>
    <w:rsid w:val="000A30CF"/>
    <w:rsid w:val="000A7B10"/>
    <w:rsid w:val="000B0183"/>
    <w:rsid w:val="000B403B"/>
    <w:rsid w:val="000E4556"/>
    <w:rsid w:val="000F289B"/>
    <w:rsid w:val="00100685"/>
    <w:rsid w:val="001010CB"/>
    <w:rsid w:val="00101AE1"/>
    <w:rsid w:val="00104A47"/>
    <w:rsid w:val="00116B8D"/>
    <w:rsid w:val="001207EC"/>
    <w:rsid w:val="00121927"/>
    <w:rsid w:val="00133A8D"/>
    <w:rsid w:val="001463E5"/>
    <w:rsid w:val="00150977"/>
    <w:rsid w:val="00162D66"/>
    <w:rsid w:val="00166FCC"/>
    <w:rsid w:val="00180804"/>
    <w:rsid w:val="00180B39"/>
    <w:rsid w:val="00182523"/>
    <w:rsid w:val="00183E76"/>
    <w:rsid w:val="001869A9"/>
    <w:rsid w:val="00191099"/>
    <w:rsid w:val="00192739"/>
    <w:rsid w:val="00192F2C"/>
    <w:rsid w:val="001A25B1"/>
    <w:rsid w:val="001B0FCA"/>
    <w:rsid w:val="001B3E74"/>
    <w:rsid w:val="001B49F0"/>
    <w:rsid w:val="001B6D0C"/>
    <w:rsid w:val="001C5D45"/>
    <w:rsid w:val="001D2A1B"/>
    <w:rsid w:val="001D4CAC"/>
    <w:rsid w:val="001D6049"/>
    <w:rsid w:val="001E1590"/>
    <w:rsid w:val="001E1B63"/>
    <w:rsid w:val="002048AC"/>
    <w:rsid w:val="00206161"/>
    <w:rsid w:val="00221DE2"/>
    <w:rsid w:val="00262CEF"/>
    <w:rsid w:val="0027228A"/>
    <w:rsid w:val="00284AAB"/>
    <w:rsid w:val="002910F8"/>
    <w:rsid w:val="00293D6C"/>
    <w:rsid w:val="00293EAF"/>
    <w:rsid w:val="002B1C62"/>
    <w:rsid w:val="002C5E2A"/>
    <w:rsid w:val="002C719E"/>
    <w:rsid w:val="002D1448"/>
    <w:rsid w:val="002D2066"/>
    <w:rsid w:val="002D7CE5"/>
    <w:rsid w:val="002E08E5"/>
    <w:rsid w:val="002E145D"/>
    <w:rsid w:val="003110A0"/>
    <w:rsid w:val="003116E9"/>
    <w:rsid w:val="00314342"/>
    <w:rsid w:val="0031623D"/>
    <w:rsid w:val="003173D5"/>
    <w:rsid w:val="00325C87"/>
    <w:rsid w:val="0032786D"/>
    <w:rsid w:val="00335D51"/>
    <w:rsid w:val="003445D8"/>
    <w:rsid w:val="003466EE"/>
    <w:rsid w:val="00354E4B"/>
    <w:rsid w:val="003561AE"/>
    <w:rsid w:val="00365CF9"/>
    <w:rsid w:val="00372CE8"/>
    <w:rsid w:val="00373FDF"/>
    <w:rsid w:val="00395FC9"/>
    <w:rsid w:val="003975C1"/>
    <w:rsid w:val="003A128C"/>
    <w:rsid w:val="003A20E1"/>
    <w:rsid w:val="003B7123"/>
    <w:rsid w:val="003C1652"/>
    <w:rsid w:val="003C6A43"/>
    <w:rsid w:val="003D1F40"/>
    <w:rsid w:val="003E298D"/>
    <w:rsid w:val="003E7243"/>
    <w:rsid w:val="003E753C"/>
    <w:rsid w:val="003F1DEA"/>
    <w:rsid w:val="003F4D1A"/>
    <w:rsid w:val="00400C8C"/>
    <w:rsid w:val="00403EDF"/>
    <w:rsid w:val="0040662C"/>
    <w:rsid w:val="0041579F"/>
    <w:rsid w:val="00415E54"/>
    <w:rsid w:val="0041743B"/>
    <w:rsid w:val="00420E63"/>
    <w:rsid w:val="0043018C"/>
    <w:rsid w:val="00435A98"/>
    <w:rsid w:val="0044162D"/>
    <w:rsid w:val="00450F46"/>
    <w:rsid w:val="0045110F"/>
    <w:rsid w:val="00457C4D"/>
    <w:rsid w:val="00457ED8"/>
    <w:rsid w:val="0047544C"/>
    <w:rsid w:val="00477DFC"/>
    <w:rsid w:val="004839C5"/>
    <w:rsid w:val="0048786A"/>
    <w:rsid w:val="00496BF7"/>
    <w:rsid w:val="004A37CD"/>
    <w:rsid w:val="004A49A4"/>
    <w:rsid w:val="004B311A"/>
    <w:rsid w:val="004D0950"/>
    <w:rsid w:val="004D4D2E"/>
    <w:rsid w:val="004E1E02"/>
    <w:rsid w:val="004E54D4"/>
    <w:rsid w:val="004E566F"/>
    <w:rsid w:val="004E62A6"/>
    <w:rsid w:val="004F4F40"/>
    <w:rsid w:val="004F71CB"/>
    <w:rsid w:val="005016CE"/>
    <w:rsid w:val="00507D23"/>
    <w:rsid w:val="00513DCE"/>
    <w:rsid w:val="00515CF1"/>
    <w:rsid w:val="00515D3D"/>
    <w:rsid w:val="00535098"/>
    <w:rsid w:val="00535BBE"/>
    <w:rsid w:val="0054153C"/>
    <w:rsid w:val="00551841"/>
    <w:rsid w:val="00563DE0"/>
    <w:rsid w:val="00572D3B"/>
    <w:rsid w:val="00573DCC"/>
    <w:rsid w:val="00583473"/>
    <w:rsid w:val="005855E9"/>
    <w:rsid w:val="00593724"/>
    <w:rsid w:val="005B0583"/>
    <w:rsid w:val="005B263A"/>
    <w:rsid w:val="005B7B1C"/>
    <w:rsid w:val="005C2ACB"/>
    <w:rsid w:val="005F17AA"/>
    <w:rsid w:val="005F44CA"/>
    <w:rsid w:val="005F708E"/>
    <w:rsid w:val="00602C61"/>
    <w:rsid w:val="00607CD9"/>
    <w:rsid w:val="00610251"/>
    <w:rsid w:val="00632DAE"/>
    <w:rsid w:val="00635937"/>
    <w:rsid w:val="00637AE8"/>
    <w:rsid w:val="00644F9E"/>
    <w:rsid w:val="00645C61"/>
    <w:rsid w:val="006475C2"/>
    <w:rsid w:val="0065064F"/>
    <w:rsid w:val="006747C0"/>
    <w:rsid w:val="00680724"/>
    <w:rsid w:val="00685800"/>
    <w:rsid w:val="00693A0E"/>
    <w:rsid w:val="0069422A"/>
    <w:rsid w:val="006A7362"/>
    <w:rsid w:val="006B2A7C"/>
    <w:rsid w:val="006B4527"/>
    <w:rsid w:val="006B74FB"/>
    <w:rsid w:val="006C1536"/>
    <w:rsid w:val="006C3F16"/>
    <w:rsid w:val="006D0A04"/>
    <w:rsid w:val="006D0A12"/>
    <w:rsid w:val="006D3C0B"/>
    <w:rsid w:val="007071AF"/>
    <w:rsid w:val="0071176D"/>
    <w:rsid w:val="00734FD2"/>
    <w:rsid w:val="00742343"/>
    <w:rsid w:val="00743CC8"/>
    <w:rsid w:val="00746279"/>
    <w:rsid w:val="00760265"/>
    <w:rsid w:val="007606FD"/>
    <w:rsid w:val="00760EED"/>
    <w:rsid w:val="0076496E"/>
    <w:rsid w:val="00764FC5"/>
    <w:rsid w:val="00767947"/>
    <w:rsid w:val="00774730"/>
    <w:rsid w:val="00781260"/>
    <w:rsid w:val="00784C2C"/>
    <w:rsid w:val="00791903"/>
    <w:rsid w:val="00793C2B"/>
    <w:rsid w:val="007B57A8"/>
    <w:rsid w:val="007D3138"/>
    <w:rsid w:val="007E3435"/>
    <w:rsid w:val="007F3F57"/>
    <w:rsid w:val="00812625"/>
    <w:rsid w:val="008138EC"/>
    <w:rsid w:val="00820605"/>
    <w:rsid w:val="00820C7B"/>
    <w:rsid w:val="008273DB"/>
    <w:rsid w:val="00832FA4"/>
    <w:rsid w:val="0083424F"/>
    <w:rsid w:val="00837860"/>
    <w:rsid w:val="00850C8A"/>
    <w:rsid w:val="00855B8C"/>
    <w:rsid w:val="00865BEB"/>
    <w:rsid w:val="008677A0"/>
    <w:rsid w:val="008711D6"/>
    <w:rsid w:val="00871E3A"/>
    <w:rsid w:val="00884195"/>
    <w:rsid w:val="0089677D"/>
    <w:rsid w:val="008A3145"/>
    <w:rsid w:val="008A3741"/>
    <w:rsid w:val="008A5184"/>
    <w:rsid w:val="008A64EA"/>
    <w:rsid w:val="008C0A91"/>
    <w:rsid w:val="008C3077"/>
    <w:rsid w:val="008D7FA6"/>
    <w:rsid w:val="008F3EF9"/>
    <w:rsid w:val="0090292C"/>
    <w:rsid w:val="00904E35"/>
    <w:rsid w:val="00910EC1"/>
    <w:rsid w:val="0091151B"/>
    <w:rsid w:val="00911AA6"/>
    <w:rsid w:val="00911B4A"/>
    <w:rsid w:val="0091335F"/>
    <w:rsid w:val="00913D1E"/>
    <w:rsid w:val="0092255C"/>
    <w:rsid w:val="00937F11"/>
    <w:rsid w:val="00941292"/>
    <w:rsid w:val="00963323"/>
    <w:rsid w:val="00974500"/>
    <w:rsid w:val="00975A34"/>
    <w:rsid w:val="00977301"/>
    <w:rsid w:val="00977B8D"/>
    <w:rsid w:val="00980750"/>
    <w:rsid w:val="009811E2"/>
    <w:rsid w:val="009A6243"/>
    <w:rsid w:val="009B382D"/>
    <w:rsid w:val="009B3FEB"/>
    <w:rsid w:val="009B66D1"/>
    <w:rsid w:val="009C4886"/>
    <w:rsid w:val="009C6CF5"/>
    <w:rsid w:val="009D5E2F"/>
    <w:rsid w:val="009E51AE"/>
    <w:rsid w:val="00A10E78"/>
    <w:rsid w:val="00A161DA"/>
    <w:rsid w:val="00A300DB"/>
    <w:rsid w:val="00A37AF8"/>
    <w:rsid w:val="00A4118B"/>
    <w:rsid w:val="00A4136F"/>
    <w:rsid w:val="00A4165D"/>
    <w:rsid w:val="00A515A4"/>
    <w:rsid w:val="00A53AC8"/>
    <w:rsid w:val="00A53B2E"/>
    <w:rsid w:val="00A55483"/>
    <w:rsid w:val="00A628A8"/>
    <w:rsid w:val="00A637D6"/>
    <w:rsid w:val="00A66920"/>
    <w:rsid w:val="00A67DB0"/>
    <w:rsid w:val="00A77E24"/>
    <w:rsid w:val="00A85690"/>
    <w:rsid w:val="00A87D1D"/>
    <w:rsid w:val="00A950A1"/>
    <w:rsid w:val="00A97F87"/>
    <w:rsid w:val="00AA604B"/>
    <w:rsid w:val="00AA76C2"/>
    <w:rsid w:val="00AB0FB7"/>
    <w:rsid w:val="00AB494A"/>
    <w:rsid w:val="00AB7120"/>
    <w:rsid w:val="00AD7318"/>
    <w:rsid w:val="00AE3DA0"/>
    <w:rsid w:val="00AE5015"/>
    <w:rsid w:val="00B100C6"/>
    <w:rsid w:val="00B16540"/>
    <w:rsid w:val="00B21620"/>
    <w:rsid w:val="00B244F1"/>
    <w:rsid w:val="00B258FC"/>
    <w:rsid w:val="00B33E4D"/>
    <w:rsid w:val="00B44787"/>
    <w:rsid w:val="00B45D68"/>
    <w:rsid w:val="00B51DF8"/>
    <w:rsid w:val="00B618BF"/>
    <w:rsid w:val="00B673B3"/>
    <w:rsid w:val="00B76D9F"/>
    <w:rsid w:val="00B77BD1"/>
    <w:rsid w:val="00B8284A"/>
    <w:rsid w:val="00B9048C"/>
    <w:rsid w:val="00B90737"/>
    <w:rsid w:val="00BA12E2"/>
    <w:rsid w:val="00BA3928"/>
    <w:rsid w:val="00BB7417"/>
    <w:rsid w:val="00BC6BDD"/>
    <w:rsid w:val="00BC7795"/>
    <w:rsid w:val="00BC787C"/>
    <w:rsid w:val="00BD3B38"/>
    <w:rsid w:val="00BD716A"/>
    <w:rsid w:val="00BE1382"/>
    <w:rsid w:val="00C03AA7"/>
    <w:rsid w:val="00C05F63"/>
    <w:rsid w:val="00C06931"/>
    <w:rsid w:val="00C11C43"/>
    <w:rsid w:val="00C26B81"/>
    <w:rsid w:val="00C3025B"/>
    <w:rsid w:val="00C32A0A"/>
    <w:rsid w:val="00C37143"/>
    <w:rsid w:val="00C40EAE"/>
    <w:rsid w:val="00C55332"/>
    <w:rsid w:val="00C67DAD"/>
    <w:rsid w:val="00C74BEF"/>
    <w:rsid w:val="00C76988"/>
    <w:rsid w:val="00C9217A"/>
    <w:rsid w:val="00C955A5"/>
    <w:rsid w:val="00CA5942"/>
    <w:rsid w:val="00CB4E74"/>
    <w:rsid w:val="00CB7AAB"/>
    <w:rsid w:val="00CC189A"/>
    <w:rsid w:val="00CC1E9B"/>
    <w:rsid w:val="00CC78EA"/>
    <w:rsid w:val="00CD36F1"/>
    <w:rsid w:val="00CD39C4"/>
    <w:rsid w:val="00CD520B"/>
    <w:rsid w:val="00CF1077"/>
    <w:rsid w:val="00CF21C7"/>
    <w:rsid w:val="00CF30A8"/>
    <w:rsid w:val="00CF3DD4"/>
    <w:rsid w:val="00CF46BE"/>
    <w:rsid w:val="00D06352"/>
    <w:rsid w:val="00D23880"/>
    <w:rsid w:val="00D37320"/>
    <w:rsid w:val="00D5058F"/>
    <w:rsid w:val="00D565C4"/>
    <w:rsid w:val="00D75AF8"/>
    <w:rsid w:val="00D93DE3"/>
    <w:rsid w:val="00D97D2A"/>
    <w:rsid w:val="00DB0E08"/>
    <w:rsid w:val="00DB51DC"/>
    <w:rsid w:val="00DB7348"/>
    <w:rsid w:val="00DC562F"/>
    <w:rsid w:val="00DC5A73"/>
    <w:rsid w:val="00DD3A98"/>
    <w:rsid w:val="00DE166D"/>
    <w:rsid w:val="00DE2D6D"/>
    <w:rsid w:val="00DF709E"/>
    <w:rsid w:val="00E03EAA"/>
    <w:rsid w:val="00E04300"/>
    <w:rsid w:val="00E044E3"/>
    <w:rsid w:val="00E049A6"/>
    <w:rsid w:val="00E11172"/>
    <w:rsid w:val="00E11743"/>
    <w:rsid w:val="00E11DA8"/>
    <w:rsid w:val="00E13FC4"/>
    <w:rsid w:val="00E17744"/>
    <w:rsid w:val="00E20F57"/>
    <w:rsid w:val="00E24308"/>
    <w:rsid w:val="00E34D94"/>
    <w:rsid w:val="00E44443"/>
    <w:rsid w:val="00E50952"/>
    <w:rsid w:val="00E5639B"/>
    <w:rsid w:val="00E747DC"/>
    <w:rsid w:val="00E74CA5"/>
    <w:rsid w:val="00E76E27"/>
    <w:rsid w:val="00E8225B"/>
    <w:rsid w:val="00E87785"/>
    <w:rsid w:val="00E97FCB"/>
    <w:rsid w:val="00EB1265"/>
    <w:rsid w:val="00EB30CB"/>
    <w:rsid w:val="00EB7A78"/>
    <w:rsid w:val="00EC4219"/>
    <w:rsid w:val="00EE6AB5"/>
    <w:rsid w:val="00EF0C78"/>
    <w:rsid w:val="00EF373C"/>
    <w:rsid w:val="00EF4381"/>
    <w:rsid w:val="00F07AF2"/>
    <w:rsid w:val="00F15AE5"/>
    <w:rsid w:val="00F15F30"/>
    <w:rsid w:val="00F164D2"/>
    <w:rsid w:val="00F166FF"/>
    <w:rsid w:val="00F17C7F"/>
    <w:rsid w:val="00F224FF"/>
    <w:rsid w:val="00F4476F"/>
    <w:rsid w:val="00F56B46"/>
    <w:rsid w:val="00F61564"/>
    <w:rsid w:val="00F64E47"/>
    <w:rsid w:val="00F66B63"/>
    <w:rsid w:val="00F70E85"/>
    <w:rsid w:val="00F74118"/>
    <w:rsid w:val="00F8017D"/>
    <w:rsid w:val="00F86FB2"/>
    <w:rsid w:val="00F92274"/>
    <w:rsid w:val="00F935A1"/>
    <w:rsid w:val="00F95575"/>
    <w:rsid w:val="00FA09FD"/>
    <w:rsid w:val="00FB3A09"/>
    <w:rsid w:val="00FC05E1"/>
    <w:rsid w:val="00FD7714"/>
    <w:rsid w:val="00FD7B17"/>
    <w:rsid w:val="00FF43D8"/>
    <w:rsid w:val="00FF4D1C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598DD7"/>
  <w15:docId w15:val="{FA661CF0-C24B-4F81-9F0F-425CC379A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B51DF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B51DF8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B51DF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B51DF8"/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F4D1A"/>
    <w:rPr>
      <w:sz w:val="16"/>
      <w:szCs w:val="16"/>
    </w:rPr>
  </w:style>
  <w:style w:type="paragraph" w:styleId="CommentText">
    <w:name w:val="annotation text"/>
    <w:basedOn w:val="Normal"/>
    <w:link w:val="TekstopmerkingChar"/>
    <w:uiPriority w:val="99"/>
    <w:unhideWhenUsed/>
    <w:rsid w:val="003F4D1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DefaultParagraphFont"/>
    <w:link w:val="CommentText"/>
    <w:uiPriority w:val="99"/>
    <w:rsid w:val="003F4D1A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OnderwerpvanopmerkingChar"/>
    <w:uiPriority w:val="99"/>
    <w:semiHidden/>
    <w:unhideWhenUsed/>
    <w:rsid w:val="003F4D1A"/>
    <w:rPr>
      <w:b/>
      <w:bCs/>
    </w:rPr>
  </w:style>
  <w:style w:type="character" w:customStyle="1" w:styleId="OnderwerpvanopmerkingChar">
    <w:name w:val="Onderwerp van opmerking Char"/>
    <w:basedOn w:val="TekstopmerkingChar"/>
    <w:link w:val="CommentSubject"/>
    <w:uiPriority w:val="99"/>
    <w:semiHidden/>
    <w:rsid w:val="003F4D1A"/>
    <w:rPr>
      <w:rFonts w:ascii="Verdana" w:hAnsi="Verdana"/>
      <w:b/>
      <w:bCs/>
      <w:color w:val="000000"/>
    </w:rPr>
  </w:style>
  <w:style w:type="paragraph" w:styleId="FootnoteText">
    <w:name w:val="footnote text"/>
    <w:basedOn w:val="Normal"/>
    <w:link w:val="VoetnoottekstChar"/>
    <w:uiPriority w:val="99"/>
    <w:semiHidden/>
    <w:unhideWhenUsed/>
    <w:rsid w:val="005F44CA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DefaultParagraphFont"/>
    <w:link w:val="FootnoteText"/>
    <w:uiPriority w:val="99"/>
    <w:semiHidden/>
    <w:rsid w:val="005F44CA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5F44CA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B126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F289B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D144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1" /><Relationship Type="http://schemas.openxmlformats.org/officeDocument/2006/relationships/header" Target="header1.xml" Id="rId10" /><Relationship Type="http://schemas.openxmlformats.org/officeDocument/2006/relationships/header" Target="header2.xml" Id="rId11" /><Relationship Type="http://schemas.openxmlformats.org/officeDocument/2006/relationships/footer" Target="footer1.xml" Id="rId12" /><Relationship Type="http://schemas.openxmlformats.org/officeDocument/2006/relationships/footer" Target="footer2.xml" Id="rId13" /><Relationship Type="http://schemas.openxmlformats.org/officeDocument/2006/relationships/header" Target="header3.xml" Id="rId14" /><Relationship Type="http://schemas.openxmlformats.org/officeDocument/2006/relationships/footer" Target="footer3.xml" Id="rId15" /><Relationship Type="http://schemas.openxmlformats.org/officeDocument/2006/relationships/theme" Target="theme/theme1.xml" Id="rId16" /><Relationship Type="http://schemas.openxmlformats.org/officeDocument/2006/relationships/numbering" Target="numbering.xml" Id="rId17" /><Relationship Type="http://schemas.openxmlformats.org/officeDocument/2006/relationships/styles" Target="styles.xml" Id="rId18" /><Relationship Type="http://schemas.openxmlformats.org/officeDocument/2006/relationships/settings" Target="settings.xml" Id="rId2" /><Relationship Type="http://schemas.openxmlformats.org/officeDocument/2006/relationships/webSettings" Target="webSettings.xml" Id="rId3" /><Relationship Type="http://schemas.openxmlformats.org/officeDocument/2006/relationships/fontTable" Target="fontTable.xml" Id="rId4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open-overheid.nl/documenten/2025/06/23/rapport-en-stappenplan-aan-de-slag-met-de-inspanningsverplichting-uit-de-wet-open-overheid" TargetMode="External" /><Relationship Id="rId2" Type="http://schemas.openxmlformats.org/officeDocument/2006/relationships/hyperlink" Target="https://www.open-overheid.nl/onderwerpen/openbaar-maken/woo-informatiecategorieen-en-definities" TargetMode="External" /><Relationship Id="rId3" Type="http://schemas.openxmlformats.org/officeDocument/2006/relationships/hyperlink" Target="https://www.dashboardgroningen.nl/wet-groningen" TargetMode="External" /><Relationship Id="rId4" Type="http://schemas.openxmlformats.org/officeDocument/2006/relationships/hyperlink" Target="https://www.digitaleoverheid.nl/nederlandse-digitaliseringsstrategie-nds/tijdlijn-nds/" TargetMode="External" /><Relationship Id="rId5" Type="http://schemas.openxmlformats.org/officeDocument/2006/relationships/hyperlink" Target="https://www.open-overheid.nl/actueel/nieuws/2025/02/24/imi-onderzoek-actieve-openbaarmaking-essentieel-voor-betere-informatievoorziening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1795</ap:Words>
  <ap:Characters>9877</ap:Characters>
  <ap:DocSecurity>0</ap:DocSecurity>
  <ap:Lines>82</ap:Lines>
  <ap:Paragraphs>23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Beantwoording vragen over het bericht 'Transparantie  is alweer passé, met dank aan het ultrakorte politieke geheugen in Den Haag'</vt:lpstr>
    </vt:vector>
  </ap:TitlesOfParts>
  <ap:LinksUpToDate>false</ap:LinksUpToDate>
  <ap:CharactersWithSpaces>11649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lastPrinted>2026-02-17T10:55:00.0000000Z</lastPrinted>
  <dcterms:created xsi:type="dcterms:W3CDTF">2026-01-06T09:59:00.0000000Z</dcterms:created>
  <dcterms:modified xsi:type="dcterms:W3CDTF">2026-02-17T10:55:00.0000000Z</dcterms:modified>
  <dc:creator/>
  <lastModifiedBy/>
  <dc:description>------------------------</dc:description>
  <dc:subject/>
  <keywords/>
  <version/>
  <category/>
</coreProperties>
</file>